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00264A" w14:textId="35E21BE2" w:rsidR="00075EB5" w:rsidRPr="0064587C" w:rsidRDefault="00075EB5" w:rsidP="0064587C">
      <w:pPr>
        <w:pStyle w:val="Caption"/>
        <w:spacing w:after="0"/>
        <w:rPr>
          <w:rFonts w:cs="Calibri"/>
          <w:sz w:val="22"/>
          <w:szCs w:val="22"/>
        </w:rPr>
      </w:pPr>
      <w:r w:rsidRPr="0064587C">
        <w:rPr>
          <w:rFonts w:cs="Calibri"/>
          <w:sz w:val="22"/>
          <w:szCs w:val="22"/>
        </w:rPr>
        <w:t xml:space="preserve">Table </w:t>
      </w:r>
      <w:r w:rsidR="00134DBB">
        <w:rPr>
          <w:rFonts w:cs="Calibri"/>
          <w:sz w:val="22"/>
          <w:szCs w:val="22"/>
        </w:rPr>
        <w:t>S1</w:t>
      </w:r>
      <w:r w:rsidRPr="0064587C">
        <w:rPr>
          <w:rFonts w:cs="Calibri"/>
          <w:sz w:val="22"/>
          <w:szCs w:val="22"/>
        </w:rPr>
        <w:t>. Key design themes and subthemes and corresponding design considerations </w:t>
      </w:r>
    </w:p>
    <w:tbl>
      <w:tblPr>
        <w:tblW w:w="130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5670"/>
        <w:gridCol w:w="5528"/>
      </w:tblGrid>
      <w:tr w:rsidR="00075EB5" w14:paraId="33DD3BA6" w14:textId="77777777" w:rsidTr="00351C9A">
        <w:trPr>
          <w:trHeight w:val="225"/>
        </w:trPr>
        <w:tc>
          <w:tcPr>
            <w:tcW w:w="1835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shd w:val="clear" w:color="auto" w:fill="001D34"/>
            <w:hideMark/>
          </w:tcPr>
          <w:p w14:paraId="2FC9CFE2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Theme</w:t>
            </w:r>
            <w:r>
              <w:rPr>
                <w:rStyle w:val="eop"/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shd w:val="clear" w:color="auto" w:fill="001D34"/>
            <w:hideMark/>
          </w:tcPr>
          <w:p w14:paraId="6C38D343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Key Design Feedback</w:t>
            </w:r>
            <w:r>
              <w:rPr>
                <w:rStyle w:val="eop"/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shd w:val="clear" w:color="auto" w:fill="001D34"/>
            <w:hideMark/>
          </w:tcPr>
          <w:p w14:paraId="5B0D9A17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Design Considerations</w:t>
            </w:r>
            <w:r>
              <w:rPr>
                <w:rStyle w:val="eop"/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</w:tr>
      <w:tr w:rsidR="00075EB5" w14:paraId="29DD98F9" w14:textId="77777777" w:rsidTr="00351C9A">
        <w:trPr>
          <w:trHeight w:val="225"/>
        </w:trPr>
        <w:tc>
          <w:tcPr>
            <w:tcW w:w="1835" w:type="dxa"/>
            <w:vMerge w:val="restart"/>
            <w:tcBorders>
              <w:top w:val="single" w:sz="6" w:space="0" w:color="00313C"/>
              <w:left w:val="single" w:sz="6" w:space="0" w:color="00313C"/>
              <w:bottom w:val="nil"/>
              <w:right w:val="single" w:sz="6" w:space="0" w:color="00313C"/>
            </w:tcBorders>
            <w:shd w:val="clear" w:color="auto" w:fill="6D2077"/>
            <w:hideMark/>
          </w:tcPr>
          <w:p w14:paraId="49461A3C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The need of integration </w:t>
            </w:r>
            <w:r>
              <w:rPr>
                <w:rStyle w:val="eop"/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5670" w:type="dxa"/>
            <w:vMerge w:val="restart"/>
            <w:tcBorders>
              <w:top w:val="single" w:sz="6" w:space="0" w:color="00313C"/>
              <w:left w:val="single" w:sz="6" w:space="0" w:color="00313C"/>
              <w:bottom w:val="nil"/>
              <w:right w:val="single" w:sz="6" w:space="0" w:color="00313C"/>
            </w:tcBorders>
            <w:hideMark/>
          </w:tcPr>
          <w:p w14:paraId="21693BDA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The </w:t>
            </w:r>
            <w:r w:rsidRPr="25B2FD9F">
              <w:rPr>
                <w:rStyle w:val="normaltextrun"/>
                <w:rFonts w:ascii="Calibri" w:hAnsi="Calibri" w:cs="Calibri"/>
                <w:sz w:val="22"/>
                <w:szCs w:val="22"/>
              </w:rPr>
              <w:t>current app duplicates effort by creating parallel action lists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that</w:t>
            </w:r>
            <w:r w:rsidRPr="25B2FD9F">
              <w:rPr>
                <w:rStyle w:val="normaltextrun"/>
                <w:rFonts w:ascii="Calibri" w:hAnsi="Calibri" w:cs="Calibri"/>
                <w:sz w:val="22"/>
                <w:szCs w:val="22"/>
              </w:rPr>
              <w:t> must be reconciled manually.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5D29DBAE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To streamline workflows, the app needs to integrate with the existing system, to address duplicated efforts in sign-off and action note handling.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EB5" w14:paraId="29B48CBF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35425E7A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vAlign w:val="center"/>
            <w:hideMark/>
          </w:tcPr>
          <w:p w14:paraId="4E2F35E0" w14:textId="77777777" w:rsidR="00075EB5" w:rsidRDefault="00075EB5" w:rsidP="00351C9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0432BE20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>Having the app on a separate screen with cross-reference information on the clinicians' existing computer screen as an interim solution.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75EB5" w14:paraId="12983E91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0E883AEE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vAlign w:val="center"/>
            <w:hideMark/>
          </w:tcPr>
          <w:p w14:paraId="1B497123" w14:textId="77777777" w:rsidR="00075EB5" w:rsidRDefault="00075EB5" w:rsidP="00351C9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6B8619CA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 practical solution is needed to quickly locate patients in the pools using UR number search, if the app integration is not yet available. </w:t>
            </w:r>
          </w:p>
        </w:tc>
      </w:tr>
      <w:tr w:rsidR="00075EB5" w14:paraId="1D3A495C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75A4EE9B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vAlign w:val="center"/>
            <w:hideMark/>
          </w:tcPr>
          <w:p w14:paraId="53629769" w14:textId="77777777" w:rsidR="00075EB5" w:rsidRDefault="00075EB5" w:rsidP="00351C9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08576E97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Introducing a dedicated tab or action for clearing signed-off patients from the list would improve usability.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EB5" w14:paraId="07C8414D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601D123B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vAlign w:val="center"/>
            <w:hideMark/>
          </w:tcPr>
          <w:p w14:paraId="56514A08" w14:textId="77777777" w:rsidR="00075EB5" w:rsidRDefault="00075EB5" w:rsidP="00351C9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079204A1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Copy and paste the note from the App to the Note in test review pool.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EB5" w14:paraId="64409095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287DCBEA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7D049889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Linking to external pathology and radiology service, My health record and other systems in the future.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345CB961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Linking to external pathology and radiology service, My health record and other systems in the future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EB5" w14:paraId="4BEC6220" w14:textId="77777777" w:rsidTr="00351C9A">
        <w:trPr>
          <w:trHeight w:val="225"/>
        </w:trPr>
        <w:tc>
          <w:tcPr>
            <w:tcW w:w="1835" w:type="dxa"/>
            <w:vMerge w:val="restart"/>
            <w:tcBorders>
              <w:top w:val="single" w:sz="6" w:space="0" w:color="00313C"/>
              <w:left w:val="single" w:sz="6" w:space="0" w:color="00313C"/>
              <w:bottom w:val="nil"/>
              <w:right w:val="single" w:sz="6" w:space="0" w:color="00313C"/>
            </w:tcBorders>
            <w:shd w:val="clear" w:color="auto" w:fill="00A9CE"/>
            <w:hideMark/>
          </w:tcPr>
          <w:p w14:paraId="1BF795DF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Clinical content and decision support</w:t>
            </w:r>
            <w:r>
              <w:rPr>
                <w:rStyle w:val="eop"/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043D5B84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The need to see Medications in discharge letter and Orders.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40EC7FB7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To get Order data in addition to discharge letter.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75EB5" w14:paraId="41A58538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467D4CE0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4FFB12C1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The need to see details of antibiotics order in case no discharge letter.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6E0B46BC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To show details of antibiotics Order data in case no discharge letter.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EB5" w14:paraId="128E549C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05F496FB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1350C24D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The need to see </w:t>
            </w:r>
            <w:r w:rsidRPr="25B2FD9F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additional microbiology data such as count of the bacteria growth, MRSA and MSSA.</w:t>
            </w:r>
            <w:r w:rsidRPr="25B2FD9F">
              <w:rPr>
                <w:rStyle w:val="eop"/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1C3AB068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To show additional microbiology data such as count of the bacteria growth, MRSA and MSSA.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EB5" w14:paraId="6C0DAD43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79509B71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246835CA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The need for patient-specific clinical details as decision making encompasses not only alerts and susceptibility data but also the interpretive judgment.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4CE443E6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To differentiate the preliminary phase from the completed results phase, e.g., to determine whether a script ordered at discharge was intended for immediate use or not due to pending results.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EB5" w14:paraId="2A788508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63BCD3F5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5E1C3824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Patient journey and other patient information is not important.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7BA2AA9F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Patient journey function may not be needed.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EB5" w14:paraId="5CCB4D29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6C9453B4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115C0B64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The need to see additional data from AUSLAB such as the suppressed ones.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132DBD7E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To show additional antibiotics culture data such as those suppressed ones.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EB5" w14:paraId="37554B61" w14:textId="77777777" w:rsidTr="00351C9A">
        <w:trPr>
          <w:trHeight w:val="225"/>
        </w:trPr>
        <w:tc>
          <w:tcPr>
            <w:tcW w:w="1835" w:type="dxa"/>
            <w:vMerge w:val="restart"/>
            <w:tcBorders>
              <w:top w:val="single" w:sz="6" w:space="0" w:color="00313C"/>
              <w:left w:val="single" w:sz="6" w:space="0" w:color="00313C"/>
              <w:bottom w:val="nil"/>
              <w:right w:val="single" w:sz="6" w:space="0" w:color="00313C"/>
            </w:tcBorders>
            <w:shd w:val="clear" w:color="auto" w:fill="007377"/>
            <w:hideMark/>
          </w:tcPr>
          <w:p w14:paraId="7E5BF52F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>Scope and prioritisation</w:t>
            </w:r>
            <w:r>
              <w:rPr>
                <w:rStyle w:val="eop"/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28D9FD5E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Workflow efficiency and the need for automatic</w:t>
            </w:r>
            <w:r w:rsidRPr="00B331BF">
              <w:rPr>
                <w:rStyle w:val="normaltextrun"/>
                <w:rFonts w:ascii="Calibri" w:hAnsi="Calibri" w:cs="Calibri"/>
                <w:sz w:val="22"/>
                <w:szCs w:val="22"/>
              </w:rPr>
              <w:t>ally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ordering</w:t>
            </w:r>
            <w:r w:rsidRPr="00B331BF">
              <w:rPr>
                <w:rStyle w:val="normaltextrun"/>
                <w:rFonts w:ascii="Calibri" w:hAnsi="Calibri" w:cs="Calibri"/>
                <w:sz w:val="22"/>
                <w:szCs w:val="22"/>
              </w:rPr>
              <w:t> patient list by urgency (e.g., notifiable diseases, mismatches, untreated cases),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so clinicians can focus on what matters first.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4DD9CB33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Keep existing automatic ordering but also need to consider priority of different scenarios so clinicians can focus on what matters first.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75EB5" w14:paraId="1AD98C72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5E3998A3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 w:val="restart"/>
            <w:tcBorders>
              <w:top w:val="single" w:sz="6" w:space="0" w:color="00313C"/>
              <w:left w:val="single" w:sz="6" w:space="0" w:color="00313C"/>
              <w:bottom w:val="nil"/>
              <w:right w:val="single" w:sz="6" w:space="0" w:color="00313C"/>
            </w:tcBorders>
            <w:hideMark/>
          </w:tcPr>
          <w:p w14:paraId="62A17B3B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Prioritisation and filters must reflect clinicians’ practical needs.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6801745A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Drug-bug mismatches should be prioritised in the workflow to ensure they receive earlier attention.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75EB5" w14:paraId="29F788BD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26EDAC89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vAlign w:val="center"/>
            <w:hideMark/>
          </w:tcPr>
          <w:p w14:paraId="0700C350" w14:textId="77777777" w:rsidR="00075EB5" w:rsidRDefault="00075EB5" w:rsidP="00351C9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435188BD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Keep the filter of admit and not admit; Add “admit to short stay” and “admit to inpatient” to the filter of Admit; Remove Antibiotics filter; Add a type of tests filter; Keep Priority filter; Rename Positive-negative filter to a more intuitive label; timeframe filter is useful.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75EB5" w14:paraId="3F8FF644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1845787B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3C2BB48A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Action and note functions are useful</w:t>
            </w:r>
            <w:r w:rsidRPr="25B2FD9F">
              <w:rPr>
                <w:rStyle w:val="normaltextrun"/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but integration is an issue.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73B9F243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Investigate a way to effectively copy and paste notes.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75EB5" w14:paraId="67923AAA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10E76732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186EB080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AI results need to account for clinical context and clinical nuance - not easy now but may be future.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6975CEFA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Other</w:t>
            </w:r>
            <w:proofErr w:type="gram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clinical context and clinical nuance need to be identified and integrated.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75EB5" w14:paraId="67947D31" w14:textId="77777777" w:rsidTr="00351C9A">
        <w:trPr>
          <w:trHeight w:val="225"/>
        </w:trPr>
        <w:tc>
          <w:tcPr>
            <w:tcW w:w="1835" w:type="dxa"/>
            <w:vMerge w:val="restart"/>
            <w:tcBorders>
              <w:top w:val="single" w:sz="6" w:space="0" w:color="00313C"/>
              <w:left w:val="single" w:sz="6" w:space="0" w:color="00313C"/>
              <w:bottom w:val="nil"/>
              <w:right w:val="single" w:sz="6" w:space="0" w:color="00313C"/>
            </w:tcBorders>
            <w:shd w:val="clear" w:color="auto" w:fill="1E22AA"/>
            <w:hideMark/>
          </w:tcPr>
          <w:p w14:paraId="6FE17089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Visual cues and clarity</w:t>
            </w:r>
            <w:r>
              <w:rPr>
                <w:rStyle w:val="eop"/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36A71D60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Clinicians rely on an ordering mechanism to create a queue of actionable results, and clear color-coding and flagging can further support quick prioritization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.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441EAB0A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Clear color-coding and flagging to support efficient navigation.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75EB5" w14:paraId="323858BB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4693A37B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28F387FE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Safety features and clinical relevance the app appears to offer.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21B4DABD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Automated identification and flagging of positive results, combined with checking for the correct drug-bug pairing.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75EB5" w14:paraId="5FFE2DC9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36B0D021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382D65CB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Display relevant content for easy understanding without extra navigation.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40A6F47D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Keep the current design of all information in one page with a clear scope of content at the top.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75EB5" w14:paraId="19C91492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352F51B6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735E76D9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The need for consistency and explicit legends so users understand what </w:t>
            </w:r>
            <w:r w:rsidRPr="25B2FD9F">
              <w:rPr>
                <w:rStyle w:val="normaltextrun"/>
                <w:rFonts w:ascii="Calibri" w:hAnsi="Calibri" w:cs="Calibri"/>
                <w:sz w:val="22"/>
                <w:szCs w:val="22"/>
              </w:rPr>
              <w:t>colours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mean across views.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0A026AD5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To improve the </w:t>
            </w:r>
            <w:r w:rsidRPr="25B2FD9F">
              <w:rPr>
                <w:rStyle w:val="normaltextrun"/>
                <w:rFonts w:ascii="Calibri" w:hAnsi="Calibri" w:cs="Calibri"/>
                <w:sz w:val="22"/>
                <w:szCs w:val="22"/>
              </w:rPr>
              <w:t>colour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coding of the app.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75EB5" w14:paraId="6B9645F9" w14:textId="77777777" w:rsidTr="00351C9A">
        <w:trPr>
          <w:trHeight w:val="225"/>
        </w:trPr>
        <w:tc>
          <w:tcPr>
            <w:tcW w:w="1835" w:type="dxa"/>
            <w:vMerge w:val="restart"/>
            <w:tcBorders>
              <w:top w:val="single" w:sz="6" w:space="0" w:color="00313C"/>
              <w:left w:val="single" w:sz="6" w:space="0" w:color="00313C"/>
              <w:bottom w:val="inset" w:sz="18" w:space="0" w:color="auto"/>
              <w:right w:val="single" w:sz="6" w:space="0" w:color="00313C"/>
            </w:tcBorders>
            <w:shd w:val="clear" w:color="auto" w:fill="757579"/>
            <w:hideMark/>
          </w:tcPr>
          <w:p w14:paraId="5226D870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Usability in busy environment</w:t>
            </w:r>
            <w:r>
              <w:rPr>
                <w:rStyle w:val="eop"/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374A31C1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Need to be simple to use and simple to learn as clinicians' cognitive burden, fatigue, and hesitation may impact on their adoption.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346396A0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Easy to use, easy to log in and easy to learn.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75EB5" w14:paraId="2EE3DF2F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7F075717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57A5144D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Consolidation of information and the resulting reduction in clicks.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7308AD0E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Keep the look and feel of current app which displays consolidated information in a single page and combined with clear visual cues.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EB5" w14:paraId="62F25C04" w14:textId="77777777" w:rsidTr="00351C9A">
        <w:trPr>
          <w:trHeight w:val="225"/>
        </w:trPr>
        <w:tc>
          <w:tcPr>
            <w:tcW w:w="1835" w:type="dxa"/>
            <w:vMerge/>
            <w:vAlign w:val="center"/>
            <w:hideMark/>
          </w:tcPr>
          <w:p w14:paraId="76F5D388" w14:textId="77777777" w:rsidR="00075EB5" w:rsidRDefault="00075EB5" w:rsidP="00351C9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4FC0F0DB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The “</w:t>
            </w:r>
            <w:proofErr w:type="gram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auto-correct</w:t>
            </w:r>
            <w:proofErr w:type="gram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for medication typos” feature is useful.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hideMark/>
          </w:tcPr>
          <w:p w14:paraId="37E4E357" w14:textId="77777777" w:rsidR="00075EB5" w:rsidRDefault="00075EB5" w:rsidP="00351C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Keep dealing with misspelling of medication.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06C0F660" w14:textId="77777777" w:rsidR="00075EB5" w:rsidRPr="00346560" w:rsidRDefault="00075EB5" w:rsidP="00075EB5">
      <w:pPr>
        <w:rPr>
          <w:lang w:eastAsia="en-AU"/>
        </w:rPr>
        <w:sectPr w:rsidR="00075EB5" w:rsidRPr="00346560" w:rsidSect="00075EB5">
          <w:headerReference w:type="even" r:id="rId6"/>
          <w:footerReference w:type="even" r:id="rId7"/>
          <w:footerReference w:type="default" r:id="rId8"/>
          <w:headerReference w:type="first" r:id="rId9"/>
          <w:footerReference w:type="first" r:id="rId10"/>
          <w:pgSz w:w="15840" w:h="1224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33B86A16" w14:textId="3E548EA9" w:rsidR="00075EB5" w:rsidRPr="0064587C" w:rsidRDefault="00075EB5" w:rsidP="0064587C">
      <w:pPr>
        <w:pStyle w:val="Caption"/>
        <w:spacing w:before="0" w:after="120"/>
        <w:rPr>
          <w:rFonts w:cs="Calibri"/>
          <w:sz w:val="22"/>
          <w:szCs w:val="22"/>
        </w:rPr>
      </w:pPr>
      <w:r w:rsidRPr="0064587C">
        <w:rPr>
          <w:rFonts w:cs="Calibri"/>
          <w:sz w:val="22"/>
          <w:szCs w:val="22"/>
        </w:rPr>
        <w:lastRenderedPageBreak/>
        <w:t xml:space="preserve">Table </w:t>
      </w:r>
      <w:r w:rsidR="00134DBB">
        <w:rPr>
          <w:rFonts w:cs="Calibri"/>
          <w:sz w:val="22"/>
          <w:szCs w:val="22"/>
        </w:rPr>
        <w:t>S2</w:t>
      </w:r>
      <w:r w:rsidRPr="0064587C">
        <w:rPr>
          <w:rFonts w:cs="Calibri"/>
          <w:sz w:val="22"/>
          <w:szCs w:val="22"/>
        </w:rPr>
        <w:t xml:space="preserve">. Subthemes-CFIR coding </w:t>
      </w:r>
    </w:p>
    <w:tbl>
      <w:tblPr>
        <w:tblW w:w="12955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681"/>
        <w:gridCol w:w="1559"/>
        <w:gridCol w:w="467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075EB5" w14:paraId="2CE840A0" w14:textId="77777777" w:rsidTr="00351C9A">
        <w:trPr>
          <w:trHeight w:val="3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CAA416" w14:textId="77777777" w:rsidR="00075EB5" w:rsidRDefault="00075EB5" w:rsidP="00351C9A"/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AE85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771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04E594" w14:textId="77777777" w:rsidR="00075EB5" w:rsidRDefault="00075EB5" w:rsidP="00351C9A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CFIR Coding</w:t>
            </w:r>
          </w:p>
        </w:tc>
      </w:tr>
      <w:tr w:rsidR="00075EB5" w14:paraId="53B6989B" w14:textId="77777777" w:rsidTr="00351C9A">
        <w:trPr>
          <w:trHeight w:val="3120"/>
        </w:trPr>
        <w:tc>
          <w:tcPr>
            <w:tcW w:w="368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503F624" w14:textId="77777777" w:rsidR="00075EB5" w:rsidRDefault="00075EB5" w:rsidP="00351C9A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6AFDF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F95F452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Innovation suitability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6CAE6B9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Innovation adaptability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102277E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Innovation Design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AB1CFE9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IT infrastructure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281EDE5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Work infrastructure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D903246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Relative advantage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5FE5773A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Local Conditions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011BD712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Communications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4168FB4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Innovation complexity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093AEC8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Tension for change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0CA4EB17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Policies and laws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DDB8492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Performance-measurement pressure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5979A181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Motivation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A35A67F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Capability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7412316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Access to knowledge and information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8EBF1BC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Reflecting and evaluating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extDirection w:val="btLr"/>
            <w:vAlign w:val="bottom"/>
            <w:hideMark/>
          </w:tcPr>
          <w:p w14:paraId="1EA5A4F9" w14:textId="77777777" w:rsidR="00075EB5" w:rsidRDefault="00075EB5" w:rsidP="00351C9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Opinion leaders</w:t>
            </w:r>
          </w:p>
        </w:tc>
      </w:tr>
      <w:tr w:rsidR="00075EB5" w14:paraId="088F1425" w14:textId="77777777" w:rsidTr="00351C9A">
        <w:trPr>
          <w:trHeight w:val="42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95C56" w14:textId="77777777" w:rsidR="00075EB5" w:rsidRDefault="00075EB5" w:rsidP="00351C9A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Inductive themes and subthemes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8038B" w14:textId="77777777" w:rsidR="00075EB5" w:rsidRDefault="00075EB5" w:rsidP="00351C9A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N </w:t>
            </w:r>
            <w:r w:rsidRPr="00AB368C">
              <w:rPr>
                <w:rFonts w:ascii="Aptos Narrow" w:hAnsi="Aptos Narrow"/>
                <w:color w:val="000000"/>
              </w:rPr>
              <w:t>(participant)</w:t>
            </w:r>
          </w:p>
        </w:tc>
        <w:tc>
          <w:tcPr>
            <w:tcW w:w="771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14:paraId="2B1CBD18" w14:textId="77777777" w:rsidR="00075EB5" w:rsidRDefault="00075EB5" w:rsidP="00351C9A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075EB5" w14:paraId="72DA7951" w14:textId="77777777" w:rsidTr="00351C9A">
        <w:trPr>
          <w:trHeight w:val="6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047B6C" w14:textId="77777777" w:rsidR="00075EB5" w:rsidRDefault="00075EB5" w:rsidP="00351C9A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 Results management and clinical workflow</w:t>
            </w:r>
          </w:p>
        </w:tc>
        <w:tc>
          <w:tcPr>
            <w:tcW w:w="9274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FFCFF9" w14:textId="77777777" w:rsidR="00075EB5" w:rsidRDefault="00075EB5" w:rsidP="00351C9A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075EB5" w14:paraId="4271D3CF" w14:textId="77777777" w:rsidTr="00351C9A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D0DFD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1.1Test Result Review and Prioritization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E7C99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62BEE3AE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16BD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30AF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7B8B5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6705ECF1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695FB6AF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04F50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6D9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A57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039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63DF877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02A1F6B4" w14:textId="77777777" w:rsidTr="00351C9A">
        <w:trPr>
          <w:trHeight w:val="6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7794D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1.2 Shared and individual pools and Safety Netting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5554B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B5DB51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2BAB6754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A7BE21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5F62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2831A4F7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926D4D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7E714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EEBD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A7E5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D0DC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BCD6B81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1C659893" w14:textId="77777777" w:rsidTr="00351C9A">
        <w:trPr>
          <w:trHeight w:val="6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20BC5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 Information Overload and Cognitive Burden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A36C6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408DF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51CA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994CD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E5DA9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8BC010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7C53EAF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A360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E08C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1634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9D56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94EBAEB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536B9D03" w14:textId="77777777" w:rsidTr="00351C9A">
        <w:trPr>
          <w:trHeight w:val="3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AF2A8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 Follow-up and Accountability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BD3CC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91EDE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1DCD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2657F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C8BDB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228E3EC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0B39A0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E8717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3D8160A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1A8B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0B5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98791F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4A6134C0" w14:textId="77777777" w:rsidTr="00351C9A">
        <w:trPr>
          <w:trHeight w:val="3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35494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 Result Sign-Off and Validation Processes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09F75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248B5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C35AD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3F33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6FFE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276499FD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43A8D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7238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49B0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B5A2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F9BF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8C3CB76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6764F307" w14:textId="77777777" w:rsidTr="00351C9A">
        <w:trPr>
          <w:trHeight w:val="3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889D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1.6 Triage and endorsement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2A0DD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05F2101C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0C32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452ADBB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3B2E8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3174DC57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5D3A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0512D9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C142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E430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A56F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A5F5C4D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10D52D24" w14:textId="77777777" w:rsidTr="00351C9A">
        <w:trPr>
          <w:trHeight w:val="6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C3374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1.7 Data access and clinical note quality and consistency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DEAFCD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B09F7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268A0EF1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C059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601F947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EDFC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2B097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6FAF6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54A69C50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86F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0E29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4523556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7DA0C33C" w14:textId="77777777" w:rsidTr="00351C9A">
        <w:trPr>
          <w:trHeight w:val="6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14:paraId="5D316C28" w14:textId="77777777" w:rsidR="00075EB5" w:rsidRDefault="00075EB5" w:rsidP="00351C9A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2. Antimicrobial Stewardship and Clinical Decision Making</w:t>
            </w:r>
          </w:p>
        </w:tc>
        <w:tc>
          <w:tcPr>
            <w:tcW w:w="9274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0F2F92" w14:textId="77777777" w:rsidR="00075EB5" w:rsidRDefault="00075EB5" w:rsidP="00351C9A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075EB5" w14:paraId="3FAECDB2" w14:textId="77777777" w:rsidTr="00351C9A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ED4C7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2.1 Antibiotic decision-making and preliminary results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59310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53478C33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7ADA73FD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0AD9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05D4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794C9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939FA2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00807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5D20F040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D9CE4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8C845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CD7D90E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48469DAC" w14:textId="77777777" w:rsidTr="00351C9A">
        <w:trPr>
          <w:trHeight w:val="6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5F6D0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2.2 Antimicrobial Stewardship and Treatment Guidelines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A5889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03136AD9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1AF6A99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5373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4014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2323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D935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A5A42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4DCC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7226714F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DA9C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3076B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5B6E17E4" w14:textId="77777777" w:rsidTr="00351C9A">
        <w:trPr>
          <w:trHeight w:val="3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81BB7DC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2.3 Patient Follow-Up and Reassurance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A694DBC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804D4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E298F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CD260B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95EB2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21F29F51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D6B94B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0F8F6E6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3E8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D9F1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CEC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8BBE5DC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0C8B647C" w14:textId="77777777" w:rsidTr="00351C9A">
        <w:trPr>
          <w:trHeight w:val="3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97601E" w14:textId="77777777" w:rsidR="00075EB5" w:rsidRDefault="00075EB5" w:rsidP="00351C9A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3. App usability and Workflow integration</w:t>
            </w:r>
          </w:p>
        </w:tc>
        <w:tc>
          <w:tcPr>
            <w:tcW w:w="9274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4F3405" w14:textId="77777777" w:rsidR="00075EB5" w:rsidRDefault="00075EB5" w:rsidP="00351C9A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075EB5" w14:paraId="4FD44E31" w14:textId="77777777" w:rsidTr="00351C9A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A9328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proofErr w:type="gramStart"/>
            <w:r>
              <w:rPr>
                <w:rFonts w:ascii="Aptos Narrow" w:hAnsi="Aptos Narrow"/>
                <w:color w:val="000000"/>
              </w:rPr>
              <w:t>3.1  Workflow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 Integration and Efficiency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C4284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60ABC1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13A9D0E0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ED8F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589699C1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55E1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7CEE2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D879DD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CAE2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F1166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52F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A7AB08F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2AA824FD" w14:textId="77777777" w:rsidTr="00351C9A">
        <w:trPr>
          <w:trHeight w:val="3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88B63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3.2 User Interface and Visual Indicators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829C9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7CF2B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3ABF1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62881809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F092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F0EFC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4EB005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35475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DF86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06E0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8822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D5A4224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51A4D193" w14:textId="77777777" w:rsidTr="00351C9A">
        <w:trPr>
          <w:trHeight w:val="6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FC372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3.3 Integration of the app with clinical systems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9B577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18539A42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18B66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DB574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7706DE1B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83B02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911FF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430F7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389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CFEC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6D1F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8DA16AE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5BF65E59" w14:textId="77777777" w:rsidTr="00351C9A">
        <w:trPr>
          <w:trHeight w:val="6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8CF5E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3.4 Integration and Interoperability of various systems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81041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475EA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C65D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C3FD9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261A5800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ECEB1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3C3C35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0DDEAA47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2449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CABB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22F9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1AFAFC1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52FE6BCB" w14:textId="77777777" w:rsidTr="00351C9A">
        <w:trPr>
          <w:trHeight w:val="6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E5101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3.5 App-enabled Automation for Checking and Flagging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65095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E26F7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9AC7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305A5029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2033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167E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71FB3751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6260C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6B5C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6975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A0D2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DF960AC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3094E1EB" w14:textId="77777777" w:rsidTr="00351C9A">
        <w:trPr>
          <w:trHeight w:val="3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A2543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3.6 Artificial Intelligence in clinical practices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43F00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1BDA9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5F45B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C197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A5608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233C49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72CC8C04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246AF1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723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CF6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hideMark/>
          </w:tcPr>
          <w:p w14:paraId="30A5FAE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A96A716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  <w:tr w:rsidR="00075EB5" w14:paraId="3DF857CC" w14:textId="77777777" w:rsidTr="00351C9A">
        <w:trPr>
          <w:trHeight w:val="3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AF90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3.7 Pilot Implementation and Change Management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B1430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7C225FE" w14:textId="77777777" w:rsidR="00075EB5" w:rsidRDefault="00075EB5" w:rsidP="00351C9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E384FB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1574CDE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D2CA044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40D0C59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39F7C4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86FE113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71A669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ADEED7A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5491865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F2D0"/>
            <w:hideMark/>
          </w:tcPr>
          <w:p w14:paraId="0039A194" w14:textId="77777777" w:rsidR="00075EB5" w:rsidRDefault="00075EB5" w:rsidP="00351C9A">
            <w:pPr>
              <w:rPr>
                <w:sz w:val="20"/>
                <w:szCs w:val="20"/>
              </w:rPr>
            </w:pPr>
          </w:p>
        </w:tc>
      </w:tr>
    </w:tbl>
    <w:p w14:paraId="7B4D0D51" w14:textId="77777777" w:rsidR="00075EB5" w:rsidRPr="00A1546D" w:rsidRDefault="00075EB5" w:rsidP="00075EB5">
      <w:pPr>
        <w:rPr>
          <w:rFonts w:asciiTheme="majorHAnsi" w:hAnsiTheme="majorHAnsi" w:cstheme="majorHAnsi"/>
        </w:rPr>
      </w:pPr>
    </w:p>
    <w:p w14:paraId="5604CD57" w14:textId="4CF1AFE7" w:rsidR="00075EB5" w:rsidRPr="0064587C" w:rsidRDefault="00075EB5" w:rsidP="0064587C">
      <w:pPr>
        <w:pStyle w:val="Caption"/>
        <w:spacing w:after="120"/>
        <w:rPr>
          <w:rFonts w:cs="Calibri"/>
          <w:sz w:val="22"/>
          <w:szCs w:val="22"/>
        </w:rPr>
      </w:pPr>
      <w:r w:rsidRPr="0064587C">
        <w:rPr>
          <w:rFonts w:cs="Calibri"/>
          <w:sz w:val="22"/>
          <w:szCs w:val="22"/>
        </w:rPr>
        <w:lastRenderedPageBreak/>
        <w:t xml:space="preserve">Table </w:t>
      </w:r>
      <w:r w:rsidR="00134DBB">
        <w:rPr>
          <w:rFonts w:cs="Calibri"/>
          <w:sz w:val="22"/>
          <w:szCs w:val="22"/>
        </w:rPr>
        <w:t>S3</w:t>
      </w:r>
      <w:r w:rsidRPr="0064587C">
        <w:rPr>
          <w:rFonts w:cs="Calibri"/>
          <w:sz w:val="22"/>
          <w:szCs w:val="22"/>
        </w:rPr>
        <w:t>. CFIR-ERIC Mapping</w:t>
      </w: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678"/>
        <w:gridCol w:w="5386"/>
      </w:tblGrid>
      <w:tr w:rsidR="00075EB5" w:rsidRPr="00A1546D" w14:paraId="02CCD346" w14:textId="77777777" w:rsidTr="00351C9A">
        <w:trPr>
          <w:trHeight w:val="270"/>
        </w:trPr>
        <w:tc>
          <w:tcPr>
            <w:tcW w:w="367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shd w:val="clear" w:color="auto" w:fill="156082" w:themeFill="accent1"/>
            <w:hideMark/>
          </w:tcPr>
          <w:p w14:paraId="1146789F" w14:textId="64384832" w:rsidR="00075EB5" w:rsidRPr="00A1546D" w:rsidRDefault="007C49EE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CFIR c</w:t>
            </w:r>
            <w:r w:rsidR="00075EB5" w:rsidRPr="00A1546D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onstruct</w:t>
            </w:r>
            <w:r w:rsidR="00075EB5" w:rsidRPr="00A1546D">
              <w:rPr>
                <w:rFonts w:asciiTheme="majorHAnsi" w:hAnsiTheme="majorHAnsi" w:cstheme="majorHAnsi"/>
                <w:color w:val="FFFFFF" w:themeColor="background1"/>
              </w:rPr>
              <w:t> </w:t>
            </w:r>
          </w:p>
        </w:tc>
        <w:tc>
          <w:tcPr>
            <w:tcW w:w="5386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  <w:shd w:val="clear" w:color="auto" w:fill="156082" w:themeFill="accent1"/>
            <w:hideMark/>
          </w:tcPr>
          <w:p w14:paraId="578E2275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color w:val="FFFFFF" w:themeColor="background1"/>
              </w:rPr>
            </w:pPr>
            <w:r w:rsidRPr="00A1546D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ERIC strategy</w:t>
            </w:r>
            <w:r w:rsidRPr="00A1546D">
              <w:rPr>
                <w:rFonts w:asciiTheme="majorHAnsi" w:hAnsiTheme="majorHAnsi" w:cstheme="majorHAnsi"/>
                <w:color w:val="FFFFFF" w:themeColor="background1"/>
              </w:rPr>
              <w:t> </w:t>
            </w:r>
          </w:p>
        </w:tc>
      </w:tr>
      <w:tr w:rsidR="00075EB5" w:rsidRPr="00A1546D" w14:paraId="2FF505BE" w14:textId="77777777" w:rsidTr="00351C9A">
        <w:trPr>
          <w:trHeight w:val="270"/>
        </w:trPr>
        <w:tc>
          <w:tcPr>
            <w:tcW w:w="367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06D1E612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A1546D">
              <w:rPr>
                <w:rFonts w:asciiTheme="majorHAnsi" w:hAnsiTheme="majorHAnsi" w:cstheme="majorHAnsi"/>
              </w:rPr>
              <w:t>Innovation Suitability </w:t>
            </w:r>
          </w:p>
        </w:tc>
        <w:tc>
          <w:tcPr>
            <w:tcW w:w="5386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3D73F883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Promote adaptability</w:t>
            </w:r>
          </w:p>
          <w:p w14:paraId="25119E5C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Conduct local consensus discussions</w:t>
            </w:r>
          </w:p>
        </w:tc>
      </w:tr>
      <w:tr w:rsidR="00075EB5" w:rsidRPr="00A1546D" w14:paraId="3873490E" w14:textId="77777777" w:rsidTr="00351C9A">
        <w:trPr>
          <w:trHeight w:val="270"/>
        </w:trPr>
        <w:tc>
          <w:tcPr>
            <w:tcW w:w="367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65EA0717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A1546D">
              <w:rPr>
                <w:rFonts w:asciiTheme="majorHAnsi" w:hAnsiTheme="majorHAnsi" w:cstheme="majorHAnsi"/>
              </w:rPr>
              <w:t>Innovation Adaptability</w:t>
            </w:r>
          </w:p>
        </w:tc>
        <w:tc>
          <w:tcPr>
            <w:tcW w:w="5386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5E1ED89E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Promote adaptability</w:t>
            </w:r>
          </w:p>
          <w:p w14:paraId="60690861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Conduct local needs assessment</w:t>
            </w:r>
          </w:p>
        </w:tc>
      </w:tr>
      <w:tr w:rsidR="00075EB5" w:rsidRPr="00A1546D" w14:paraId="3332EF10" w14:textId="77777777" w:rsidTr="00351C9A">
        <w:trPr>
          <w:trHeight w:val="270"/>
        </w:trPr>
        <w:tc>
          <w:tcPr>
            <w:tcW w:w="367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39C6736E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A1546D">
              <w:rPr>
                <w:rFonts w:asciiTheme="majorHAnsi" w:hAnsiTheme="majorHAnsi" w:cstheme="majorHAnsi"/>
              </w:rPr>
              <w:t>Innovation Design</w:t>
            </w:r>
          </w:p>
        </w:tc>
        <w:tc>
          <w:tcPr>
            <w:tcW w:w="5386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0D471888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Promote adaptability</w:t>
            </w:r>
          </w:p>
          <w:p w14:paraId="7B84DD83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Develop and implement tools for quality monitoring</w:t>
            </w:r>
          </w:p>
        </w:tc>
      </w:tr>
      <w:tr w:rsidR="00075EB5" w:rsidRPr="00A1546D" w14:paraId="2A0D9F76" w14:textId="77777777" w:rsidTr="00351C9A">
        <w:trPr>
          <w:trHeight w:val="270"/>
        </w:trPr>
        <w:tc>
          <w:tcPr>
            <w:tcW w:w="367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440A180C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A1546D">
              <w:rPr>
                <w:rFonts w:asciiTheme="majorHAnsi" w:hAnsiTheme="majorHAnsi" w:cstheme="majorHAnsi"/>
              </w:rPr>
              <w:t>Information Technology Infrastructure</w:t>
            </w:r>
          </w:p>
        </w:tc>
        <w:tc>
          <w:tcPr>
            <w:tcW w:w="5386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52495907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Access new fundings</w:t>
            </w:r>
          </w:p>
          <w:p w14:paraId="62E9451F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Change physical structure and equipment</w:t>
            </w:r>
          </w:p>
        </w:tc>
      </w:tr>
      <w:tr w:rsidR="00075EB5" w:rsidRPr="00A1546D" w14:paraId="396DE092" w14:textId="77777777" w:rsidTr="00351C9A">
        <w:trPr>
          <w:trHeight w:val="270"/>
        </w:trPr>
        <w:tc>
          <w:tcPr>
            <w:tcW w:w="367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67AB4C9A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A1546D">
              <w:rPr>
                <w:rFonts w:asciiTheme="majorHAnsi" w:hAnsiTheme="majorHAnsi" w:cstheme="majorHAnsi"/>
              </w:rPr>
              <w:t>Work Infrastructure</w:t>
            </w:r>
          </w:p>
        </w:tc>
        <w:tc>
          <w:tcPr>
            <w:tcW w:w="5386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31A6AEE0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Identify and prepare champions</w:t>
            </w:r>
          </w:p>
          <w:p w14:paraId="628F95AC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Build a coalition</w:t>
            </w:r>
          </w:p>
        </w:tc>
      </w:tr>
      <w:tr w:rsidR="00075EB5" w:rsidRPr="00A1546D" w14:paraId="13965969" w14:textId="77777777" w:rsidTr="00351C9A">
        <w:trPr>
          <w:trHeight w:val="270"/>
        </w:trPr>
        <w:tc>
          <w:tcPr>
            <w:tcW w:w="367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474D08E5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A1546D">
              <w:rPr>
                <w:rFonts w:asciiTheme="majorHAnsi" w:hAnsiTheme="majorHAnsi" w:cstheme="majorHAnsi"/>
              </w:rPr>
              <w:t>Innovation Relative Advantage</w:t>
            </w:r>
          </w:p>
        </w:tc>
        <w:tc>
          <w:tcPr>
            <w:tcW w:w="5386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715B1A72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Conduct local needs assessment</w:t>
            </w:r>
          </w:p>
          <w:p w14:paraId="4F127EC6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Conduct cyclical small tests of change</w:t>
            </w:r>
          </w:p>
        </w:tc>
      </w:tr>
      <w:tr w:rsidR="00075EB5" w:rsidRPr="00A1546D" w14:paraId="1FFD8AB0" w14:textId="77777777" w:rsidTr="00351C9A">
        <w:trPr>
          <w:trHeight w:val="270"/>
        </w:trPr>
        <w:tc>
          <w:tcPr>
            <w:tcW w:w="367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09F0BEB4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A1546D">
              <w:rPr>
                <w:rFonts w:asciiTheme="majorHAnsi" w:hAnsiTheme="majorHAnsi" w:cstheme="majorHAnsi"/>
              </w:rPr>
              <w:t>Local Conditions</w:t>
            </w:r>
          </w:p>
        </w:tc>
        <w:tc>
          <w:tcPr>
            <w:tcW w:w="5386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73D0C3A6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Promote network weaving</w:t>
            </w:r>
          </w:p>
          <w:p w14:paraId="2AEEA35A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Build a coalition</w:t>
            </w:r>
          </w:p>
        </w:tc>
      </w:tr>
      <w:tr w:rsidR="00075EB5" w:rsidRPr="00A1546D" w14:paraId="14070287" w14:textId="77777777" w:rsidTr="00351C9A">
        <w:trPr>
          <w:trHeight w:val="270"/>
        </w:trPr>
        <w:tc>
          <w:tcPr>
            <w:tcW w:w="367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5CBE575B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A1546D">
              <w:rPr>
                <w:rFonts w:asciiTheme="majorHAnsi" w:hAnsiTheme="majorHAnsi" w:cstheme="majorHAnsi"/>
              </w:rPr>
              <w:t>Communications</w:t>
            </w:r>
          </w:p>
        </w:tc>
        <w:tc>
          <w:tcPr>
            <w:tcW w:w="5386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0D2A1A99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Promote network weaving</w:t>
            </w:r>
          </w:p>
          <w:p w14:paraId="234B1F93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Organize clinician implementation team meeting</w:t>
            </w:r>
          </w:p>
        </w:tc>
      </w:tr>
      <w:tr w:rsidR="00075EB5" w:rsidRPr="00A1546D" w14:paraId="29C62324" w14:textId="77777777" w:rsidTr="00351C9A">
        <w:trPr>
          <w:trHeight w:val="120"/>
        </w:trPr>
        <w:tc>
          <w:tcPr>
            <w:tcW w:w="367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6BF8AA64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A1546D">
              <w:rPr>
                <w:rFonts w:asciiTheme="majorHAnsi" w:hAnsiTheme="majorHAnsi" w:cstheme="majorHAnsi"/>
              </w:rPr>
              <w:t>Innovation Complexity</w:t>
            </w:r>
          </w:p>
        </w:tc>
        <w:tc>
          <w:tcPr>
            <w:tcW w:w="5386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3DADA4C1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Promote adaptability</w:t>
            </w:r>
          </w:p>
          <w:p w14:paraId="499665A4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Conduct cyclical small tests of change</w:t>
            </w:r>
          </w:p>
        </w:tc>
      </w:tr>
      <w:tr w:rsidR="00075EB5" w:rsidRPr="00A1546D" w14:paraId="1DC5314D" w14:textId="77777777" w:rsidTr="00351C9A">
        <w:trPr>
          <w:trHeight w:val="120"/>
        </w:trPr>
        <w:tc>
          <w:tcPr>
            <w:tcW w:w="3678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313ED866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A1546D">
              <w:rPr>
                <w:rFonts w:asciiTheme="majorHAnsi" w:hAnsiTheme="majorHAnsi" w:cstheme="majorHAnsi"/>
              </w:rPr>
              <w:t>Tension for change</w:t>
            </w:r>
          </w:p>
        </w:tc>
        <w:tc>
          <w:tcPr>
            <w:tcW w:w="5386" w:type="dxa"/>
            <w:tcBorders>
              <w:top w:val="single" w:sz="6" w:space="0" w:color="00313C"/>
              <w:left w:val="single" w:sz="6" w:space="0" w:color="00313C"/>
              <w:bottom w:val="single" w:sz="6" w:space="0" w:color="00313C"/>
              <w:right w:val="single" w:sz="6" w:space="0" w:color="00313C"/>
            </w:tcBorders>
          </w:tcPr>
          <w:p w14:paraId="53007CFF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Identify and prepare champions</w:t>
            </w:r>
          </w:p>
          <w:p w14:paraId="54C82877" w14:textId="77777777" w:rsidR="00075EB5" w:rsidRPr="00A1546D" w:rsidRDefault="00075EB5" w:rsidP="00351C9A">
            <w:pPr>
              <w:pStyle w:val="BodyText"/>
              <w:spacing w:before="0"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A1546D">
              <w:rPr>
                <w:rFonts w:asciiTheme="majorHAnsi" w:hAnsiTheme="majorHAnsi" w:cstheme="majorHAnsi"/>
                <w:szCs w:val="24"/>
              </w:rPr>
              <w:t>Conduct local consensus discussions</w:t>
            </w:r>
          </w:p>
        </w:tc>
      </w:tr>
    </w:tbl>
    <w:p w14:paraId="3101292C" w14:textId="77777777" w:rsidR="00075EB5" w:rsidRPr="00A1546D" w:rsidRDefault="00075EB5" w:rsidP="00075EB5">
      <w:pPr>
        <w:rPr>
          <w:rFonts w:asciiTheme="majorHAnsi" w:hAnsiTheme="majorHAnsi" w:cstheme="majorHAnsi"/>
        </w:rPr>
      </w:pPr>
    </w:p>
    <w:p w14:paraId="14953A6E" w14:textId="77777777" w:rsidR="00075EB5" w:rsidRPr="00A1546D" w:rsidRDefault="00075EB5" w:rsidP="00075EB5">
      <w:pPr>
        <w:rPr>
          <w:rFonts w:asciiTheme="majorHAnsi" w:hAnsiTheme="majorHAnsi" w:cstheme="majorHAnsi"/>
        </w:rPr>
      </w:pPr>
    </w:p>
    <w:p w14:paraId="3BEF3F57" w14:textId="77777777" w:rsidR="00075EB5" w:rsidRPr="00A1546D" w:rsidRDefault="00075EB5" w:rsidP="00075EB5">
      <w:pPr>
        <w:rPr>
          <w:rFonts w:asciiTheme="majorHAnsi" w:hAnsiTheme="majorHAnsi" w:cstheme="majorHAnsi"/>
        </w:rPr>
      </w:pPr>
    </w:p>
    <w:p w14:paraId="645DBAFB" w14:textId="77777777" w:rsidR="00075EB5" w:rsidRPr="00A1546D" w:rsidRDefault="00075EB5" w:rsidP="00075EB5">
      <w:pPr>
        <w:rPr>
          <w:rFonts w:asciiTheme="majorHAnsi" w:hAnsiTheme="majorHAnsi" w:cstheme="majorHAnsi"/>
        </w:rPr>
      </w:pPr>
    </w:p>
    <w:p w14:paraId="7ADB08DF" w14:textId="77777777" w:rsidR="00075EB5" w:rsidRPr="00A1546D" w:rsidRDefault="00075EB5" w:rsidP="00075EB5">
      <w:pPr>
        <w:rPr>
          <w:rFonts w:asciiTheme="majorHAnsi" w:hAnsiTheme="majorHAnsi" w:cstheme="majorHAnsi"/>
        </w:rPr>
      </w:pPr>
    </w:p>
    <w:p w14:paraId="42D6F166" w14:textId="77777777" w:rsidR="00CF3CF5" w:rsidRDefault="00CF3CF5"/>
    <w:sectPr w:rsidR="00CF3CF5" w:rsidSect="00075EB5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3A9477" w14:textId="77777777" w:rsidR="00B4300B" w:rsidRDefault="00B4300B" w:rsidP="00633EFE">
      <w:r>
        <w:separator/>
      </w:r>
    </w:p>
  </w:endnote>
  <w:endnote w:type="continuationSeparator" w:id="0">
    <w:p w14:paraId="2F044723" w14:textId="77777777" w:rsidR="00B4300B" w:rsidRDefault="00B4300B" w:rsidP="0063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197394" w14:textId="1C605410" w:rsidR="00633EFE" w:rsidRDefault="00633EFE" w:rsidP="0039222A">
    <w:pPr>
      <w:pStyle w:val="Footer"/>
      <w:framePr w:wrap="none" w:vAnchor="text" w:hAnchor="margin" w:xAlign="right" w:y="1"/>
      <w:rPr>
        <w:rStyle w:val="PageNumber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685BB7C" wp14:editId="4973D54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0" b="0"/>
              <wp:wrapNone/>
              <wp:docPr id="69060305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CB5FC3" w14:textId="132587D2" w:rsidR="00633EFE" w:rsidRPr="00633EFE" w:rsidRDefault="00633EFE" w:rsidP="00633EF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633EF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5BB7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" filled="f" stroked="f">
              <v:fill o:detectmouseclick="t"/>
              <v:textbox style="mso-fit-shape-to-text:t" inset="0,0,0,15pt">
                <w:txbxContent>
                  <w:p w14:paraId="16CB5FC3" w14:textId="132587D2" w:rsidR="00633EFE" w:rsidRPr="00633EFE" w:rsidRDefault="00633EFE" w:rsidP="00633EFE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633EF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398890902"/>
      <w:docPartObj>
        <w:docPartGallery w:val="Page Numbers (Bottom of Page)"/>
        <w:docPartUnique/>
      </w:docPartObj>
    </w:sdtPr>
    <w:sdtContent>
      <w:p w14:paraId="4D34ED9B" w14:textId="77777777" w:rsidR="00633EFE" w:rsidRDefault="00633EFE" w:rsidP="003922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248D4D2" w14:textId="77777777" w:rsidR="00633EFE" w:rsidRDefault="00633EFE" w:rsidP="00633E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28E3E4" w14:textId="7F2E801B" w:rsidR="00633EFE" w:rsidRDefault="00633EFE" w:rsidP="0039222A">
    <w:pPr>
      <w:pStyle w:val="Footer"/>
      <w:framePr w:wrap="none" w:vAnchor="text" w:hAnchor="margin" w:xAlign="right" w:y="1"/>
      <w:rPr>
        <w:rStyle w:val="PageNumber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5F57DA0" wp14:editId="370A04A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0" b="0"/>
              <wp:wrapNone/>
              <wp:docPr id="56382096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E929E" w14:textId="4DAB9B81" w:rsidR="00633EFE" w:rsidRPr="00633EFE" w:rsidRDefault="00633EFE" w:rsidP="00633EF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633EF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57DA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" filled="f" stroked="f">
              <v:fill o:detectmouseclick="t"/>
              <v:textbox style="mso-fit-shape-to-text:t" inset="0,0,0,15pt">
                <w:txbxContent>
                  <w:p w14:paraId="38DE929E" w14:textId="4DAB9B81" w:rsidR="00633EFE" w:rsidRPr="00633EFE" w:rsidRDefault="00633EFE" w:rsidP="00633EFE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633EF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</w:rPr>
        <w:id w:val="644466296"/>
        <w:docPartObj>
          <w:docPartGallery w:val="Page Numbers (Bottom of Page)"/>
          <w:docPartUnique/>
        </w:docPartObj>
      </w:sdt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  <w:p w14:paraId="49473E2B" w14:textId="77777777" w:rsidR="00633EFE" w:rsidRDefault="00633EFE" w:rsidP="00633EF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0DF11B" w14:textId="7CC5656E" w:rsidR="00633EFE" w:rsidRDefault="00633EFE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BD12D50" wp14:editId="2074D0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0" b="0"/>
              <wp:wrapNone/>
              <wp:docPr id="33100784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08F7B8" w14:textId="5A1412ED" w:rsidR="00633EFE" w:rsidRPr="00633EFE" w:rsidRDefault="00633EFE" w:rsidP="00633EF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633EF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12D5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" filled="f" stroked="f">
              <v:fill o:detectmouseclick="t"/>
              <v:textbox style="mso-fit-shape-to-text:t" inset="0,0,0,15pt">
                <w:txbxContent>
                  <w:p w14:paraId="1308F7B8" w14:textId="5A1412ED" w:rsidR="00633EFE" w:rsidRPr="00633EFE" w:rsidRDefault="00633EFE" w:rsidP="00633EFE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633EF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8FBEB6" w14:textId="77777777" w:rsidR="00B4300B" w:rsidRDefault="00B4300B" w:rsidP="00633EFE">
      <w:r>
        <w:separator/>
      </w:r>
    </w:p>
  </w:footnote>
  <w:footnote w:type="continuationSeparator" w:id="0">
    <w:p w14:paraId="7E72434D" w14:textId="77777777" w:rsidR="00B4300B" w:rsidRDefault="00B4300B" w:rsidP="00633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33283E" w14:textId="77515DD0" w:rsidR="00633EFE" w:rsidRDefault="00633EFE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88F119" wp14:editId="6A5289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81592055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03C97E" w14:textId="7755C5A1" w:rsidR="00633EFE" w:rsidRPr="00633EFE" w:rsidRDefault="00633EFE" w:rsidP="00633EF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633EF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88F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 filled="f" stroked="f">
              <v:fill o:detectmouseclick="t"/>
              <v:textbox style="mso-fit-shape-to-text:t" inset="0,15pt,0,0">
                <w:txbxContent>
                  <w:p w14:paraId="4703C97E" w14:textId="7755C5A1" w:rsidR="00633EFE" w:rsidRPr="00633EFE" w:rsidRDefault="00633EFE" w:rsidP="00633EFE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633EF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FCF12C" w14:textId="1CF4EF70" w:rsidR="00633EFE" w:rsidRDefault="00633EFE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924CC3" wp14:editId="0D4F80D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44387595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F590EE" w14:textId="76C5EA2D" w:rsidR="00633EFE" w:rsidRPr="00633EFE" w:rsidRDefault="00633EFE" w:rsidP="00633EF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633EF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924C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" filled="f" stroked="f">
              <v:fill o:detectmouseclick="t"/>
              <v:textbox style="mso-fit-shape-to-text:t" inset="0,15pt,0,0">
                <w:txbxContent>
                  <w:p w14:paraId="5BF590EE" w14:textId="76C5EA2D" w:rsidR="00633EFE" w:rsidRPr="00633EFE" w:rsidRDefault="00633EFE" w:rsidP="00633EFE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633EF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B5"/>
    <w:rsid w:val="000375D1"/>
    <w:rsid w:val="00075EB5"/>
    <w:rsid w:val="00134DBB"/>
    <w:rsid w:val="00216893"/>
    <w:rsid w:val="00445E31"/>
    <w:rsid w:val="00633EFE"/>
    <w:rsid w:val="0064587C"/>
    <w:rsid w:val="007812BA"/>
    <w:rsid w:val="00781437"/>
    <w:rsid w:val="007C49EE"/>
    <w:rsid w:val="008F321E"/>
    <w:rsid w:val="00A17C22"/>
    <w:rsid w:val="00B4300B"/>
    <w:rsid w:val="00CF3CF5"/>
    <w:rsid w:val="00E0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5E8EF"/>
  <w15:chartTrackingRefBased/>
  <w15:docId w15:val="{5E83F37F-5215-7848-8542-6EA0722F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EB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E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E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E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E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E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E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E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E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E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E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E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E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E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E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E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E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E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E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5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E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5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EB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5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EB5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5E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E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EB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75EB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075EB5"/>
  </w:style>
  <w:style w:type="character" w:customStyle="1" w:styleId="eop">
    <w:name w:val="eop"/>
    <w:basedOn w:val="DefaultParagraphFont"/>
    <w:rsid w:val="00075EB5"/>
  </w:style>
  <w:style w:type="paragraph" w:styleId="BodyText">
    <w:name w:val="Body Text"/>
    <w:link w:val="BodyTextChar"/>
    <w:qFormat/>
    <w:rsid w:val="00075EB5"/>
    <w:pPr>
      <w:spacing w:before="120" w:after="120" w:line="360" w:lineRule="auto"/>
    </w:pPr>
    <w:rPr>
      <w:rFonts w:ascii="Calibri" w:eastAsia="Calibri" w:hAnsi="Calibri" w:cs="Times New Roman"/>
      <w:color w:val="000000"/>
      <w:kern w:val="0"/>
      <w:szCs w:val="22"/>
      <w:lang w:eastAsia="en-AU"/>
      <w14:ligatures w14:val="none"/>
    </w:rPr>
  </w:style>
  <w:style w:type="character" w:customStyle="1" w:styleId="BodyTextChar">
    <w:name w:val="Body Text Char"/>
    <w:basedOn w:val="DefaultParagraphFont"/>
    <w:link w:val="BodyText"/>
    <w:rsid w:val="00075EB5"/>
    <w:rPr>
      <w:rFonts w:ascii="Calibri" w:eastAsia="Calibri" w:hAnsi="Calibri" w:cs="Times New Roman"/>
      <w:color w:val="000000"/>
      <w:kern w:val="0"/>
      <w:szCs w:val="22"/>
      <w:lang w:eastAsia="en-AU"/>
      <w14:ligatures w14:val="none"/>
    </w:rPr>
  </w:style>
  <w:style w:type="paragraph" w:styleId="Caption">
    <w:name w:val="caption"/>
    <w:basedOn w:val="BodyText"/>
    <w:next w:val="BodyText"/>
    <w:uiPriority w:val="4"/>
    <w:qFormat/>
    <w:rsid w:val="00075EB5"/>
    <w:pPr>
      <w:keepNext/>
      <w:spacing w:before="180" w:after="180"/>
      <w:contextualSpacing/>
    </w:pPr>
    <w:rPr>
      <w:b/>
      <w:bCs/>
      <w:color w:val="000000" w:themeColor="text1"/>
      <w:sz w:val="20"/>
      <w:szCs w:val="18"/>
    </w:rPr>
  </w:style>
  <w:style w:type="paragraph" w:styleId="Footer">
    <w:name w:val="footer"/>
    <w:basedOn w:val="Normal"/>
    <w:link w:val="FooterChar"/>
    <w:uiPriority w:val="99"/>
    <w:unhideWhenUsed/>
    <w:rsid w:val="00633E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EFE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33EFE"/>
  </w:style>
  <w:style w:type="paragraph" w:styleId="Header">
    <w:name w:val="header"/>
    <w:basedOn w:val="Normal"/>
    <w:link w:val="HeaderChar"/>
    <w:uiPriority w:val="99"/>
    <w:unhideWhenUsed/>
    <w:rsid w:val="00633E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EF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Jane (H&amp;B, Westmead)</dc:creator>
  <cp:keywords/>
  <dc:description/>
  <cp:lastModifiedBy>Li, Jane (Biosecurity, Westmead)</cp:lastModifiedBy>
  <cp:revision>4</cp:revision>
  <dcterms:created xsi:type="dcterms:W3CDTF">2026-07-16T02:05:00Z</dcterms:created>
  <dcterms:modified xsi:type="dcterms:W3CDTF">2026-07-25T12:10:00Z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560fcc72,6c3cbfa7,78d3ec98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13bac761,2929c42b,219b39a1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0ad370f1-5840-4c36-bb65-89acaaf849ca_Enabled">
    <vt:lpwstr>true</vt:lpwstr>
  </property>
  <property fmtid="{D5CDD505-2E9C-101B-9397-08002B2CF9AE}" pid="9" name="MSIP_Label_0ad370f1-5840-4c36-bb65-89acaaf849ca_SetDate">
    <vt:lpwstr>2026-07-16T02:40:58Z</vt:lpwstr>
  </property>
  <property fmtid="{D5CDD505-2E9C-101B-9397-08002B2CF9AE}" pid="10" name="MSIP_Label_0ad370f1-5840-4c36-bb65-89acaaf849ca_Method">
    <vt:lpwstr>Privileged</vt:lpwstr>
  </property>
  <property fmtid="{D5CDD505-2E9C-101B-9397-08002B2CF9AE}" pid="11" name="MSIP_Label_0ad370f1-5840-4c36-bb65-89acaaf849ca_Name">
    <vt:lpwstr>OFFICIAL</vt:lpwstr>
  </property>
  <property fmtid="{D5CDD505-2E9C-101B-9397-08002B2CF9AE}" pid="12" name="MSIP_Label_0ad370f1-5840-4c36-bb65-89acaaf849ca_SiteId">
    <vt:lpwstr>0fe05593-19ac-4f98-adbf-0375fce7f160</vt:lpwstr>
  </property>
  <property fmtid="{D5CDD505-2E9C-101B-9397-08002B2CF9AE}" pid="13" name="MSIP_Label_0ad370f1-5840-4c36-bb65-89acaaf849ca_ActionId">
    <vt:lpwstr>82ef40d2-4698-45f7-9b0f-eaf0b4f3dc7f</vt:lpwstr>
  </property>
  <property fmtid="{D5CDD505-2E9C-101B-9397-08002B2CF9AE}" pid="14" name="MSIP_Label_0ad370f1-5840-4c36-bb65-89acaaf849ca_ContentBits">
    <vt:lpwstr>3</vt:lpwstr>
  </property>
  <property fmtid="{D5CDD505-2E9C-101B-9397-08002B2CF9AE}" pid="15" name="MSIP_Label_0ad370f1-5840-4c36-bb65-89acaaf849ca_Tag">
    <vt:lpwstr>50, 0, 1, 1</vt:lpwstr>
  </property>
</Properties>
</file>