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-80432</wp:posOffset>
            </wp:positionH>
            <wp:positionV relativeFrom="paragraph">
              <wp:posOffset>0</wp:posOffset>
            </wp:positionV>
            <wp:extent cx="3059430" cy="1745615"/>
            <wp:effectExtent b="0" l="0" r="0" t="0"/>
            <wp:wrapSquare wrapText="bothSides" distB="0" distT="0" distL="114300" distR="114300"/>
            <wp:docPr id="6" name="image3.png"/>
            <a:graphic>
              <a:graphicData uri="http://schemas.openxmlformats.org/drawingml/2006/picture">
                <pic:pic>
                  <pic:nvPicPr>
                    <pic:cNvPr id="0" name="image3.png"/>
                    <pic:cNvPicPr preferRelativeResize="0"/>
                  </pic:nvPicPr>
                  <pic:blipFill>
                    <a:blip r:embed="rId7"/>
                    <a:srcRect b="5816" l="2588" r="5968" t="6249"/>
                    <a:stretch>
                      <a:fillRect/>
                    </a:stretch>
                  </pic:blipFill>
                  <pic:spPr>
                    <a:xfrm>
                      <a:off x="0" y="0"/>
                      <a:ext cx="3059430" cy="174561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-67591</wp:posOffset>
            </wp:positionH>
            <wp:positionV relativeFrom="paragraph">
              <wp:posOffset>1903730</wp:posOffset>
            </wp:positionV>
            <wp:extent cx="3051225" cy="1746000"/>
            <wp:effectExtent b="0" l="0" r="0" t="0"/>
            <wp:wrapSquare wrapText="bothSides" distB="0" distT="0" distL="114300" distR="114300"/>
            <wp:docPr id="9" name="image5.png"/>
            <a:graphic>
              <a:graphicData uri="http://schemas.openxmlformats.org/drawingml/2006/picture">
                <pic:pic>
                  <pic:nvPicPr>
                    <pic:cNvPr id="0" name="image5.png"/>
                    <pic:cNvPicPr preferRelativeResize="0"/>
                  </pic:nvPicPr>
                  <pic:blipFill>
                    <a:blip r:embed="rId8"/>
                    <a:srcRect b="3079" l="2157" r="9130" t="4204"/>
                    <a:stretch>
                      <a:fillRect/>
                    </a:stretch>
                  </pic:blipFill>
                  <pic:spPr>
                    <a:xfrm>
                      <a:off x="0" y="0"/>
                      <a:ext cx="3051225" cy="1746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-72177</wp:posOffset>
            </wp:positionH>
            <wp:positionV relativeFrom="paragraph">
              <wp:posOffset>3804920</wp:posOffset>
            </wp:positionV>
            <wp:extent cx="3060000" cy="1848194"/>
            <wp:effectExtent b="0" l="0" r="0" t="0"/>
            <wp:wrapSquare wrapText="bothSides" distB="0" distT="0" distL="114300" distR="114300"/>
            <wp:docPr id="8" name="image2.png"/>
            <a:graphic>
              <a:graphicData uri="http://schemas.openxmlformats.org/drawingml/2006/picture">
                <pic:pic>
                  <pic:nvPicPr>
                    <pic:cNvPr id="0" name="image2.png"/>
                    <pic:cNvPicPr preferRelativeResize="0"/>
                  </pic:nvPicPr>
                  <pic:blipFill>
                    <a:blip r:embed="rId9"/>
                    <a:srcRect b="4776" l="2732" r="4673" t="6607"/>
                    <a:stretch>
                      <a:fillRect/>
                    </a:stretch>
                  </pic:blipFill>
                  <pic:spPr>
                    <a:xfrm>
                      <a:off x="0" y="0"/>
                      <a:ext cx="3060000" cy="1848194"/>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3090261</wp:posOffset>
            </wp:positionH>
            <wp:positionV relativeFrom="paragraph">
              <wp:posOffset>0</wp:posOffset>
            </wp:positionV>
            <wp:extent cx="3059430" cy="1745615"/>
            <wp:effectExtent b="0" l="0" r="0" t="0"/>
            <wp:wrapSquare wrapText="bothSides" distB="0" distT="0" distL="114300" distR="114300"/>
            <wp:docPr id="5" name="image7.png"/>
            <a:graphic>
              <a:graphicData uri="http://schemas.openxmlformats.org/drawingml/2006/picture">
                <pic:pic>
                  <pic:nvPicPr>
                    <pic:cNvPr id="0" name="image7.png"/>
                    <pic:cNvPicPr preferRelativeResize="0"/>
                  </pic:nvPicPr>
                  <pic:blipFill>
                    <a:blip r:embed="rId10"/>
                    <a:srcRect b="6364" l="3020" r="7116" t="6226"/>
                    <a:stretch>
                      <a:fillRect/>
                    </a:stretch>
                  </pic:blipFill>
                  <pic:spPr>
                    <a:xfrm>
                      <a:off x="0" y="0"/>
                      <a:ext cx="3059430" cy="174561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3108041</wp:posOffset>
            </wp:positionH>
            <wp:positionV relativeFrom="paragraph">
              <wp:posOffset>1910080</wp:posOffset>
            </wp:positionV>
            <wp:extent cx="3050540" cy="1745615"/>
            <wp:effectExtent b="0" l="0" r="0" t="0"/>
            <wp:wrapSquare wrapText="bothSides" distB="0" distT="0" distL="114300" distR="114300"/>
            <wp:docPr id="4" name="image8.png"/>
            <a:graphic>
              <a:graphicData uri="http://schemas.openxmlformats.org/drawingml/2006/picture">
                <pic:pic>
                  <pic:nvPicPr>
                    <pic:cNvPr id="0" name="image8.png"/>
                    <pic:cNvPicPr preferRelativeResize="0"/>
                  </pic:nvPicPr>
                  <pic:blipFill>
                    <a:blip r:embed="rId11"/>
                    <a:srcRect b="4127" l="2804" r="5717" t="5240"/>
                    <a:stretch>
                      <a:fillRect/>
                    </a:stretch>
                  </pic:blipFill>
                  <pic:spPr>
                    <a:xfrm>
                      <a:off x="0" y="0"/>
                      <a:ext cx="3050540" cy="174561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3106850</wp:posOffset>
            </wp:positionH>
            <wp:positionV relativeFrom="paragraph">
              <wp:posOffset>3806190</wp:posOffset>
            </wp:positionV>
            <wp:extent cx="3060000" cy="1827492"/>
            <wp:effectExtent b="0" l="0" r="0" t="0"/>
            <wp:wrapSquare wrapText="bothSides" distB="0" distT="0" distL="114300" distR="114300"/>
            <wp:docPr id="7" name="image1.png"/>
            <a:graphic>
              <a:graphicData uri="http://schemas.openxmlformats.org/drawingml/2006/picture">
                <pic:pic>
                  <pic:nvPicPr>
                    <pic:cNvPr id="0" name="image1.png"/>
                    <pic:cNvPicPr preferRelativeResize="0"/>
                  </pic:nvPicPr>
                  <pic:blipFill>
                    <a:blip r:embed="rId12"/>
                    <a:srcRect b="3234" l="3164" r="5823" t="4632"/>
                    <a:stretch>
                      <a:fillRect/>
                    </a:stretch>
                  </pic:blipFill>
                  <pic:spPr>
                    <a:xfrm>
                      <a:off x="0" y="0"/>
                      <a:ext cx="3060000" cy="1827492"/>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Figure. S1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Chlorella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sp. growth across three independent batches, each testing different whey concentrations against a BBM (Bold's Basal Medium) control, measured two ways: cell counts (cells/mL) and optical density (OD at 750 nm).</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Batch 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(BBM, 20%, 30%, 40% whey; 14 days): The growth of microalgae in 20%, 30%, 40% cheese whey and in BBM was observed by daily O.D measurement and cell counting. The graphs of O.D. and cell counting were plotted against the corresponding days. Both analyses showed better growth of microalgae at 20% whey as compared to 30%, 40%, and BBM.</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Batch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(BBM, 20%, 40%, 100% whey; 8 days): Comparing 20%, 30%, and 40% cheese whey and BBM, we found that the maximum growth of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Chlorella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sp. was shown by 20% cheese whey as compared with other concentrations and BBM. The microalgae in 40% and 100% whey were started declining after 4 days while the microalgae in 20% whey and BBM reached stationary phase within 8 days.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Batch 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(BBM, 5%, 15%, 20%, 100% whey; 13 days): In this study, the growth of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Chlorella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5%, 15%, 20%, 100% cheese whey was compared with BBM. 20% whey showed the highest growth of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Chlorella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sp. via both O.D and cell counting.</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Pr>
        <w:drawing>
          <wp:inline distB="0" distT="0" distL="0" distR="0">
            <wp:extent cx="5943600" cy="2945495"/>
            <wp:effectExtent b="0" l="0" r="0" t="0"/>
            <wp:docPr id="1"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5943600" cy="2945495"/>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ind w:left="943" w:right="94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Figure. S2 </w:t>
      </w:r>
      <w:r w:rsidDel="00000000" w:rsidR="00000000" w:rsidRPr="00000000">
        <w:rPr>
          <w:rFonts w:ascii="Times New Roman" w:cs="Times New Roman" w:eastAsia="Times New Roman" w:hAnsi="Times New Roman"/>
          <w:color w:val="000000"/>
          <w:rtl w:val="0"/>
        </w:rPr>
        <w:t xml:space="preserve">Growth profile of </w:t>
      </w:r>
      <w:r w:rsidDel="00000000" w:rsidR="00000000" w:rsidRPr="00000000">
        <w:rPr>
          <w:rFonts w:ascii="Times New Roman" w:cs="Times New Roman" w:eastAsia="Times New Roman" w:hAnsi="Times New Roman"/>
          <w:i w:val="1"/>
          <w:iCs w:val="1"/>
          <w:color w:val="000000"/>
          <w:rtl w:val="0"/>
        </w:rPr>
        <w:t xml:space="preserve">Lactobacillus </w:t>
      </w:r>
      <w:r w:rsidDel="00000000" w:rsidR="00000000" w:rsidRPr="00000000">
        <w:rPr>
          <w:rFonts w:ascii="Times New Roman" w:cs="Times New Roman" w:eastAsia="Times New Roman" w:hAnsi="Times New Roman"/>
          <w:color w:val="000000"/>
          <w:rtl w:val="0"/>
        </w:rPr>
        <w:t xml:space="preserve">sp. under MRS medium supplemented with different concentration of </w:t>
      </w:r>
      <w:r w:rsidDel="00000000" w:rsidR="00000000" w:rsidRPr="00000000">
        <w:rPr>
          <w:rFonts w:ascii="Times New Roman" w:cs="Times New Roman" w:eastAsia="Times New Roman" w:hAnsi="Times New Roman"/>
          <w:i w:val="1"/>
          <w:iCs w:val="1"/>
          <w:color w:val="000000"/>
          <w:rtl w:val="0"/>
        </w:rPr>
        <w:t xml:space="preserve">Chlorella</w:t>
      </w:r>
      <w:r w:rsidDel="00000000" w:rsidR="00000000" w:rsidRPr="00000000">
        <w:rPr>
          <w:rFonts w:ascii="Times New Roman" w:cs="Times New Roman" w:eastAsia="Times New Roman" w:hAnsi="Times New Roman"/>
          <w:color w:val="000000"/>
          <w:rtl w:val="0"/>
        </w:rPr>
        <w:t xml:space="preserve"> sp. biomass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optical density at 600 nm of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Lactobacillus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sp. cultured in MRS supplemented with 1%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Chlorella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sp. biomass showed higher turbidity than the other supplementations and MRS alone.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5114244" cy="3056753"/>
            <wp:effectExtent b="0" l="0" r="0" t="0"/>
            <wp:docPr id="3" name="image4.png"/>
            <a:graphic>
              <a:graphicData uri="http://schemas.openxmlformats.org/drawingml/2006/picture">
                <pic:pic>
                  <pic:nvPicPr>
                    <pic:cNvPr id="0" name="image4.png"/>
                    <pic:cNvPicPr preferRelativeResize="0"/>
                  </pic:nvPicPr>
                  <pic:blipFill>
                    <a:blip r:embed="rId14"/>
                    <a:srcRect b="3398" l="2682" r="2344" t="2948"/>
                    <a:stretch>
                      <a:fillRect/>
                    </a:stretch>
                  </pic:blipFill>
                  <pic:spPr>
                    <a:xfrm>
                      <a:off x="0" y="0"/>
                      <a:ext cx="5114244" cy="3056753"/>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ind w:left="943" w:right="94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Figure. S3 </w:t>
      </w:r>
      <w:r w:rsidDel="00000000" w:rsidR="00000000" w:rsidRPr="00000000">
        <w:rPr>
          <w:rFonts w:ascii="Times New Roman" w:cs="Times New Roman" w:eastAsia="Times New Roman" w:hAnsi="Times New Roman"/>
          <w:color w:val="000000"/>
          <w:rtl w:val="0"/>
        </w:rPr>
        <w:t xml:space="preserve">MRS supplemented with BBM </w:t>
      </w:r>
      <w:r w:rsidDel="00000000" w:rsidR="00000000" w:rsidRPr="00000000">
        <w:rPr>
          <w:rFonts w:ascii="Times New Roman" w:cs="Times New Roman" w:eastAsia="Times New Roman" w:hAnsi="Times New Roman"/>
          <w:i w:val="1"/>
          <w:iCs w:val="1"/>
          <w:color w:val="000000"/>
          <w:rtl w:val="0"/>
        </w:rPr>
        <w:t xml:space="preserve">Chlorella</w:t>
      </w:r>
      <w:r w:rsidDel="00000000" w:rsidR="00000000" w:rsidRPr="00000000">
        <w:rPr>
          <w:rFonts w:ascii="Times New Roman" w:cs="Times New Roman" w:eastAsia="Times New Roman" w:hAnsi="Times New Roman"/>
          <w:color w:val="000000"/>
          <w:rtl w:val="0"/>
        </w:rPr>
        <w:t xml:space="preserve"> sp. biomass (CFU/ml vs Time) bar diagram</w:t>
      </w:r>
    </w:p>
    <w:p w:rsidR="00000000" w:rsidDel="00000000" w:rsidP="00000000" w:rsidRDefault="00000000" w:rsidRPr="00000000" w14:paraId="0000000C">
      <w:pPr>
        <w:ind w:right="9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Table S1. </w:t>
      </w:r>
      <w:r w:rsidDel="00000000" w:rsidR="00000000" w:rsidRPr="00000000">
        <w:rPr>
          <w:rFonts w:ascii="Times New Roman" w:cs="Times New Roman" w:eastAsia="Times New Roman" w:hAnsi="Times New Roman"/>
          <w:i w:val="1"/>
          <w:iCs w:val="1"/>
          <w:rtl w:val="0"/>
        </w:rPr>
        <w:t xml:space="preserve">Lactobacillus</w:t>
      </w:r>
      <w:r w:rsidDel="00000000" w:rsidR="00000000" w:rsidRPr="00000000">
        <w:rPr>
          <w:rFonts w:ascii="Times New Roman" w:cs="Times New Roman" w:eastAsia="Times New Roman" w:hAnsi="Times New Roman"/>
          <w:rtl w:val="0"/>
        </w:rPr>
        <w:t xml:space="preserve"> sp. colonies count log (CFU/mL)</w:t>
      </w:r>
    </w:p>
    <w:tbl>
      <w:tblPr>
        <w:tblStyle w:val="Table1"/>
        <w:tblW w:w="892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171"/>
        <w:gridCol w:w="2977"/>
        <w:gridCol w:w="3119"/>
        <w:tblGridChange w:id="0">
          <w:tblGrid>
            <w:gridCol w:w="1659"/>
            <w:gridCol w:w="1171"/>
            <w:gridCol w:w="2977"/>
            <w:gridCol w:w="3119"/>
          </w:tblGrid>
        </w:tblGridChange>
      </w:tblGrid>
      <w:tr>
        <w:trPr>
          <w:cantSplit w:val="0"/>
          <w:trHeight w:val="260" w:hRule="atLeast"/>
          <w:tblHeader w:val="0"/>
        </w:trPr>
        <w:tc>
          <w:tcPr/>
          <w:p w:rsidR="00000000" w:rsidDel="00000000" w:rsidP="00000000" w:rsidRDefault="00000000" w:rsidRPr="00000000" w14:paraId="0000000D">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Time</w:t>
            </w:r>
          </w:p>
        </w:tc>
        <w:tc>
          <w:tcPr/>
          <w:p w:rsidR="00000000" w:rsidDel="00000000" w:rsidP="00000000" w:rsidRDefault="00000000" w:rsidRPr="00000000" w14:paraId="0000000E">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MRS only</w:t>
            </w:r>
          </w:p>
        </w:tc>
        <w:tc>
          <w:tcPr/>
          <w:p w:rsidR="00000000" w:rsidDel="00000000" w:rsidP="00000000" w:rsidRDefault="00000000" w:rsidRPr="00000000" w14:paraId="0000000F">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MRS+ 1% </w:t>
            </w:r>
            <w:r w:rsidDel="00000000" w:rsidR="00000000" w:rsidRPr="00000000">
              <w:rPr>
                <w:rFonts w:ascii="Times New Roman" w:cs="Times New Roman" w:eastAsia="Times New Roman" w:hAnsi="Times New Roman"/>
                <w:b w:val="1"/>
                <w:bCs w:val="1"/>
                <w:i w:val="1"/>
                <w:iCs w:val="1"/>
                <w:color w:val="000000"/>
                <w:sz w:val="20"/>
                <w:szCs w:val="20"/>
                <w:rtl w:val="0"/>
              </w:rPr>
              <w:t xml:space="preserve">Chlorell</w:t>
            </w:r>
            <w:r w:rsidDel="00000000" w:rsidR="00000000" w:rsidRPr="00000000">
              <w:rPr>
                <w:rFonts w:ascii="Times New Roman" w:cs="Times New Roman" w:eastAsia="Times New Roman" w:hAnsi="Times New Roman"/>
                <w:b w:val="1"/>
                <w:bCs w:val="1"/>
                <w:color w:val="000000"/>
                <w:sz w:val="20"/>
                <w:szCs w:val="20"/>
                <w:rtl w:val="0"/>
              </w:rPr>
              <w:t xml:space="preserve">a sp. (CWW)</w:t>
            </w:r>
          </w:p>
        </w:tc>
        <w:tc>
          <w:tcPr/>
          <w:p w:rsidR="00000000" w:rsidDel="00000000" w:rsidP="00000000" w:rsidRDefault="00000000" w:rsidRPr="00000000" w14:paraId="00000010">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MRS+ 2% </w:t>
            </w:r>
            <w:r w:rsidDel="00000000" w:rsidR="00000000" w:rsidRPr="00000000">
              <w:rPr>
                <w:rFonts w:ascii="Times New Roman" w:cs="Times New Roman" w:eastAsia="Times New Roman" w:hAnsi="Times New Roman"/>
                <w:b w:val="1"/>
                <w:bCs w:val="1"/>
                <w:i w:val="1"/>
                <w:iCs w:val="1"/>
                <w:color w:val="000000"/>
                <w:sz w:val="20"/>
                <w:szCs w:val="20"/>
                <w:rtl w:val="0"/>
              </w:rPr>
              <w:t xml:space="preserve">Chlorell</w:t>
            </w:r>
            <w:r w:rsidDel="00000000" w:rsidR="00000000" w:rsidRPr="00000000">
              <w:rPr>
                <w:rFonts w:ascii="Times New Roman" w:cs="Times New Roman" w:eastAsia="Times New Roman" w:hAnsi="Times New Roman"/>
                <w:b w:val="1"/>
                <w:bCs w:val="1"/>
                <w:color w:val="000000"/>
                <w:sz w:val="20"/>
                <w:szCs w:val="20"/>
                <w:rtl w:val="0"/>
              </w:rPr>
              <w:t xml:space="preserve">a sp. (CWW)</w:t>
            </w:r>
          </w:p>
        </w:tc>
      </w:tr>
      <w:tr>
        <w:trPr>
          <w:cantSplit w:val="0"/>
          <w:trHeight w:val="320" w:hRule="atLeast"/>
          <w:tblHeader w:val="0"/>
        </w:trPr>
        <w:tc>
          <w:tcPr/>
          <w:p w:rsidR="00000000" w:rsidDel="00000000" w:rsidP="00000000" w:rsidRDefault="00000000" w:rsidRPr="00000000" w14:paraId="00000011">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12hr</w:t>
            </w:r>
          </w:p>
        </w:tc>
        <w:tc>
          <w:tcPr/>
          <w:p w:rsidR="00000000" w:rsidDel="00000000" w:rsidP="00000000" w:rsidRDefault="00000000" w:rsidRPr="00000000" w14:paraId="00000012">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7.52</w:t>
            </w:r>
          </w:p>
        </w:tc>
        <w:tc>
          <w:tcPr/>
          <w:p w:rsidR="00000000" w:rsidDel="00000000" w:rsidP="00000000" w:rsidRDefault="00000000" w:rsidRPr="00000000" w14:paraId="00000013">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8.41</w:t>
            </w:r>
          </w:p>
        </w:tc>
        <w:tc>
          <w:tcPr/>
          <w:p w:rsidR="00000000" w:rsidDel="00000000" w:rsidP="00000000" w:rsidRDefault="00000000" w:rsidRPr="00000000" w14:paraId="00000014">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7.08</w:t>
            </w:r>
          </w:p>
        </w:tc>
      </w:tr>
      <w:tr>
        <w:trPr>
          <w:cantSplit w:val="0"/>
          <w:trHeight w:val="320" w:hRule="atLeast"/>
          <w:tblHeader w:val="0"/>
        </w:trPr>
        <w:tc>
          <w:tcPr/>
          <w:p w:rsidR="00000000" w:rsidDel="00000000" w:rsidP="00000000" w:rsidRDefault="00000000" w:rsidRPr="00000000" w14:paraId="00000015">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18hr</w:t>
            </w:r>
          </w:p>
        </w:tc>
        <w:tc>
          <w:tcPr/>
          <w:p w:rsidR="00000000" w:rsidDel="00000000" w:rsidP="00000000" w:rsidRDefault="00000000" w:rsidRPr="00000000" w14:paraId="00000016">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8.01</w:t>
            </w:r>
          </w:p>
        </w:tc>
        <w:tc>
          <w:tcPr/>
          <w:p w:rsidR="00000000" w:rsidDel="00000000" w:rsidP="00000000" w:rsidRDefault="00000000" w:rsidRPr="00000000" w14:paraId="00000017">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8.81</w:t>
            </w:r>
          </w:p>
        </w:tc>
        <w:tc>
          <w:tcPr/>
          <w:p w:rsidR="00000000" w:rsidDel="00000000" w:rsidP="00000000" w:rsidRDefault="00000000" w:rsidRPr="00000000" w14:paraId="00000018">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7.66</w:t>
            </w:r>
          </w:p>
        </w:tc>
      </w:tr>
      <w:tr>
        <w:trPr>
          <w:cantSplit w:val="0"/>
          <w:trHeight w:val="320" w:hRule="atLeast"/>
          <w:tblHeader w:val="0"/>
        </w:trPr>
        <w:tc>
          <w:tcPr/>
          <w:p w:rsidR="00000000" w:rsidDel="00000000" w:rsidP="00000000" w:rsidRDefault="00000000" w:rsidRPr="00000000" w14:paraId="00000019">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24hr</w:t>
            </w:r>
          </w:p>
        </w:tc>
        <w:tc>
          <w:tcPr/>
          <w:p w:rsidR="00000000" w:rsidDel="00000000" w:rsidP="00000000" w:rsidRDefault="00000000" w:rsidRPr="00000000" w14:paraId="0000001A">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8.69</w:t>
            </w:r>
          </w:p>
        </w:tc>
        <w:tc>
          <w:tcPr/>
          <w:p w:rsidR="00000000" w:rsidDel="00000000" w:rsidP="00000000" w:rsidRDefault="00000000" w:rsidRPr="00000000" w14:paraId="0000001B">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TNTC</w:t>
            </w:r>
          </w:p>
        </w:tc>
        <w:tc>
          <w:tcPr/>
          <w:p w:rsidR="00000000" w:rsidDel="00000000" w:rsidP="00000000" w:rsidRDefault="00000000" w:rsidRPr="00000000" w14:paraId="0000001C">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TNTC</w:t>
            </w:r>
          </w:p>
        </w:tc>
      </w:tr>
      <w:tr>
        <w:trPr>
          <w:cantSplit w:val="0"/>
          <w:trHeight w:val="320" w:hRule="atLeast"/>
          <w:tblHeader w:val="0"/>
        </w:trPr>
        <w:tc>
          <w:tcPr/>
          <w:p w:rsidR="00000000" w:rsidDel="00000000" w:rsidP="00000000" w:rsidRDefault="00000000" w:rsidRPr="00000000" w14:paraId="0000001D">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48hr</w:t>
            </w:r>
          </w:p>
        </w:tc>
        <w:tc>
          <w:tcPr/>
          <w:p w:rsidR="00000000" w:rsidDel="00000000" w:rsidP="00000000" w:rsidRDefault="00000000" w:rsidRPr="00000000" w14:paraId="0000001E">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7.51</w:t>
            </w:r>
          </w:p>
        </w:tc>
        <w:tc>
          <w:tcPr/>
          <w:p w:rsidR="00000000" w:rsidDel="00000000" w:rsidP="00000000" w:rsidRDefault="00000000" w:rsidRPr="00000000" w14:paraId="0000001F">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TNTC</w:t>
            </w:r>
          </w:p>
        </w:tc>
        <w:tc>
          <w:tcPr/>
          <w:p w:rsidR="00000000" w:rsidDel="00000000" w:rsidP="00000000" w:rsidRDefault="00000000" w:rsidRPr="00000000" w14:paraId="00000020">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TNTC</w:t>
            </w:r>
          </w:p>
        </w:tc>
      </w:tr>
    </w:tbl>
    <w:p w:rsidR="00000000" w:rsidDel="00000000" w:rsidP="00000000" w:rsidRDefault="00000000" w:rsidRPr="00000000" w14:paraId="00000021">
      <w:pPr>
        <w:ind w:right="94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ind w:right="9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Table S2. Specific growth rate and doubling time of</w:t>
      </w:r>
      <w:r w:rsidDel="00000000" w:rsidR="00000000" w:rsidRPr="00000000">
        <w:rPr>
          <w:rFonts w:ascii="Times New Roman" w:cs="Times New Roman" w:eastAsia="Times New Roman" w:hAnsi="Times New Roman"/>
          <w:i w:val="1"/>
          <w:iCs w:val="1"/>
          <w:rtl w:val="0"/>
        </w:rPr>
        <w:t xml:space="preserve"> Lactobacillus</w:t>
      </w:r>
      <w:r w:rsidDel="00000000" w:rsidR="00000000" w:rsidRPr="00000000">
        <w:rPr>
          <w:rFonts w:ascii="Times New Roman" w:cs="Times New Roman" w:eastAsia="Times New Roman" w:hAnsi="Times New Roman"/>
          <w:rtl w:val="0"/>
        </w:rPr>
        <w:t xml:space="preserve"> sp.</w:t>
      </w:r>
    </w:p>
    <w:tbl>
      <w:tblPr>
        <w:tblStyle w:val="Table2"/>
        <w:tblW w:w="935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86"/>
        <w:gridCol w:w="1337"/>
        <w:gridCol w:w="1471"/>
        <w:gridCol w:w="1352"/>
        <w:gridCol w:w="1352"/>
        <w:gridCol w:w="1352"/>
        <w:tblGridChange w:id="0">
          <w:tblGrid>
            <w:gridCol w:w="2486"/>
            <w:gridCol w:w="1337"/>
            <w:gridCol w:w="1471"/>
            <w:gridCol w:w="1352"/>
            <w:gridCol w:w="1352"/>
            <w:gridCol w:w="1352"/>
          </w:tblGrid>
        </w:tblGridChange>
      </w:tblGrid>
      <w:tr>
        <w:trPr>
          <w:cantSplit w:val="0"/>
          <w:trHeight w:val="680" w:hRule="atLeast"/>
          <w:tblHeader w:val="0"/>
        </w:trPr>
        <w:tc>
          <w:tcPr/>
          <w:p w:rsidR="00000000" w:rsidDel="00000000" w:rsidP="00000000" w:rsidRDefault="00000000" w:rsidRPr="00000000" w14:paraId="00000023">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Growth parameters</w:t>
            </w:r>
          </w:p>
        </w:tc>
        <w:tc>
          <w:tcPr/>
          <w:p w:rsidR="00000000" w:rsidDel="00000000" w:rsidP="00000000" w:rsidRDefault="00000000" w:rsidRPr="00000000" w14:paraId="00000024">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MRS only</w:t>
            </w:r>
          </w:p>
        </w:tc>
        <w:tc>
          <w:tcPr/>
          <w:p w:rsidR="00000000" w:rsidDel="00000000" w:rsidP="00000000" w:rsidRDefault="00000000" w:rsidRPr="00000000" w14:paraId="00000025">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MRS+ 1% </w:t>
            </w:r>
            <w:r w:rsidDel="00000000" w:rsidR="00000000" w:rsidRPr="00000000">
              <w:rPr>
                <w:rFonts w:ascii="Times New Roman" w:cs="Times New Roman" w:eastAsia="Times New Roman" w:hAnsi="Times New Roman"/>
                <w:b w:val="1"/>
                <w:bCs w:val="1"/>
                <w:i w:val="1"/>
                <w:iCs w:val="1"/>
                <w:color w:val="000000"/>
                <w:sz w:val="20"/>
                <w:szCs w:val="20"/>
                <w:rtl w:val="0"/>
              </w:rPr>
              <w:t xml:space="preserve">Chlorell</w:t>
            </w:r>
            <w:r w:rsidDel="00000000" w:rsidR="00000000" w:rsidRPr="00000000">
              <w:rPr>
                <w:rFonts w:ascii="Times New Roman" w:cs="Times New Roman" w:eastAsia="Times New Roman" w:hAnsi="Times New Roman"/>
                <w:b w:val="1"/>
                <w:bCs w:val="1"/>
                <w:color w:val="000000"/>
                <w:sz w:val="20"/>
                <w:szCs w:val="20"/>
                <w:rtl w:val="0"/>
              </w:rPr>
              <w:t xml:space="preserve">a sp. (BBM)</w:t>
            </w:r>
          </w:p>
        </w:tc>
        <w:tc>
          <w:tcPr/>
          <w:p w:rsidR="00000000" w:rsidDel="00000000" w:rsidP="00000000" w:rsidRDefault="00000000" w:rsidRPr="00000000" w14:paraId="00000026">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MRS+ 2% </w:t>
            </w:r>
            <w:r w:rsidDel="00000000" w:rsidR="00000000" w:rsidRPr="00000000">
              <w:rPr>
                <w:rFonts w:ascii="Times New Roman" w:cs="Times New Roman" w:eastAsia="Times New Roman" w:hAnsi="Times New Roman"/>
                <w:b w:val="1"/>
                <w:bCs w:val="1"/>
                <w:i w:val="1"/>
                <w:iCs w:val="1"/>
                <w:color w:val="000000"/>
                <w:sz w:val="20"/>
                <w:szCs w:val="20"/>
                <w:rtl w:val="0"/>
              </w:rPr>
              <w:t xml:space="preserve">Chlorell</w:t>
            </w:r>
            <w:r w:rsidDel="00000000" w:rsidR="00000000" w:rsidRPr="00000000">
              <w:rPr>
                <w:rFonts w:ascii="Times New Roman" w:cs="Times New Roman" w:eastAsia="Times New Roman" w:hAnsi="Times New Roman"/>
                <w:b w:val="1"/>
                <w:bCs w:val="1"/>
                <w:color w:val="000000"/>
                <w:sz w:val="20"/>
                <w:szCs w:val="20"/>
                <w:rtl w:val="0"/>
              </w:rPr>
              <w:t xml:space="preserve">a sp. (BBM)</w:t>
            </w:r>
          </w:p>
        </w:tc>
        <w:tc>
          <w:tcPr/>
          <w:p w:rsidR="00000000" w:rsidDel="00000000" w:rsidP="00000000" w:rsidRDefault="00000000" w:rsidRPr="00000000" w14:paraId="00000027">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MRS+ 1% </w:t>
            </w:r>
            <w:r w:rsidDel="00000000" w:rsidR="00000000" w:rsidRPr="00000000">
              <w:rPr>
                <w:rFonts w:ascii="Times New Roman" w:cs="Times New Roman" w:eastAsia="Times New Roman" w:hAnsi="Times New Roman"/>
                <w:b w:val="1"/>
                <w:bCs w:val="1"/>
                <w:i w:val="1"/>
                <w:iCs w:val="1"/>
                <w:color w:val="000000"/>
                <w:sz w:val="20"/>
                <w:szCs w:val="20"/>
                <w:rtl w:val="0"/>
              </w:rPr>
              <w:t xml:space="preserve">Chlorell</w:t>
            </w:r>
            <w:r w:rsidDel="00000000" w:rsidR="00000000" w:rsidRPr="00000000">
              <w:rPr>
                <w:rFonts w:ascii="Times New Roman" w:cs="Times New Roman" w:eastAsia="Times New Roman" w:hAnsi="Times New Roman"/>
                <w:b w:val="1"/>
                <w:bCs w:val="1"/>
                <w:color w:val="000000"/>
                <w:sz w:val="20"/>
                <w:szCs w:val="20"/>
                <w:rtl w:val="0"/>
              </w:rPr>
              <w:t xml:space="preserve">a sp. (CWW)</w:t>
            </w:r>
          </w:p>
        </w:tc>
        <w:tc>
          <w:tcPr/>
          <w:p w:rsidR="00000000" w:rsidDel="00000000" w:rsidP="00000000" w:rsidRDefault="00000000" w:rsidRPr="00000000" w14:paraId="00000028">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MRS+ 2% </w:t>
            </w:r>
            <w:r w:rsidDel="00000000" w:rsidR="00000000" w:rsidRPr="00000000">
              <w:rPr>
                <w:rFonts w:ascii="Times New Roman" w:cs="Times New Roman" w:eastAsia="Times New Roman" w:hAnsi="Times New Roman"/>
                <w:b w:val="1"/>
                <w:bCs w:val="1"/>
                <w:i w:val="1"/>
                <w:iCs w:val="1"/>
                <w:color w:val="000000"/>
                <w:sz w:val="20"/>
                <w:szCs w:val="20"/>
                <w:rtl w:val="0"/>
              </w:rPr>
              <w:t xml:space="preserve">Chlorell</w:t>
            </w:r>
            <w:r w:rsidDel="00000000" w:rsidR="00000000" w:rsidRPr="00000000">
              <w:rPr>
                <w:rFonts w:ascii="Times New Roman" w:cs="Times New Roman" w:eastAsia="Times New Roman" w:hAnsi="Times New Roman"/>
                <w:b w:val="1"/>
                <w:bCs w:val="1"/>
                <w:color w:val="000000"/>
                <w:sz w:val="20"/>
                <w:szCs w:val="20"/>
                <w:rtl w:val="0"/>
              </w:rPr>
              <w:t xml:space="preserve">a sp. (CWW)</w:t>
            </w:r>
          </w:p>
        </w:tc>
      </w:tr>
      <w:tr>
        <w:trPr>
          <w:cantSplit w:val="0"/>
          <w:trHeight w:val="360" w:hRule="atLeast"/>
          <w:tblHeader w:val="0"/>
        </w:trPr>
        <w:tc>
          <w:tcPr/>
          <w:p w:rsidR="00000000" w:rsidDel="00000000" w:rsidP="00000000" w:rsidRDefault="00000000" w:rsidRPr="00000000" w14:paraId="00000029">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Specific growth rate (hr</w:t>
            </w:r>
            <w:r w:rsidDel="00000000" w:rsidR="00000000" w:rsidRPr="00000000">
              <w:rPr>
                <w:rFonts w:ascii="Times New Roman" w:cs="Times New Roman" w:eastAsia="Times New Roman" w:hAnsi="Times New Roman"/>
                <w:b w:val="1"/>
                <w:bCs w:val="1"/>
                <w:color w:val="000000"/>
                <w:sz w:val="20"/>
                <w:szCs w:val="20"/>
                <w:vertAlign w:val="superscript"/>
                <w:rtl w:val="0"/>
              </w:rPr>
              <w:t xml:space="preserve">-1</w:t>
            </w:r>
            <w:r w:rsidDel="00000000" w:rsidR="00000000" w:rsidRPr="00000000">
              <w:rPr>
                <w:rFonts w:ascii="Times New Roman" w:cs="Times New Roman" w:eastAsia="Times New Roman" w:hAnsi="Times New Roman"/>
                <w:b w:val="1"/>
                <w:bCs w:val="1"/>
                <w:color w:val="000000"/>
                <w:sz w:val="20"/>
                <w:szCs w:val="20"/>
                <w:rtl w:val="0"/>
              </w:rPr>
              <w:t xml:space="preserve">)</w:t>
            </w:r>
          </w:p>
        </w:tc>
        <w:tc>
          <w:tcPr/>
          <w:p w:rsidR="00000000" w:rsidDel="00000000" w:rsidP="00000000" w:rsidRDefault="00000000" w:rsidRPr="00000000" w14:paraId="0000002A">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0.0957 ± 0.006</w:t>
            </w:r>
          </w:p>
        </w:tc>
        <w:tc>
          <w:tcPr/>
          <w:p w:rsidR="00000000" w:rsidDel="00000000" w:rsidP="00000000" w:rsidRDefault="00000000" w:rsidRPr="00000000" w14:paraId="0000002B">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0.149 ± 0.002</w:t>
            </w:r>
          </w:p>
        </w:tc>
        <w:tc>
          <w:tcPr/>
          <w:p w:rsidR="00000000" w:rsidDel="00000000" w:rsidP="00000000" w:rsidRDefault="00000000" w:rsidRPr="00000000" w14:paraId="0000002C">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0.147 ± 0.002</w:t>
            </w:r>
          </w:p>
        </w:tc>
        <w:tc>
          <w:tcPr/>
          <w:p w:rsidR="00000000" w:rsidDel="00000000" w:rsidP="00000000" w:rsidRDefault="00000000" w:rsidRPr="00000000" w14:paraId="0000002D">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0.155 ± 0.001</w:t>
            </w:r>
          </w:p>
        </w:tc>
        <w:tc>
          <w:tcPr/>
          <w:p w:rsidR="00000000" w:rsidDel="00000000" w:rsidP="00000000" w:rsidRDefault="00000000" w:rsidRPr="00000000" w14:paraId="0000002E">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0.147 ± 0.001</w:t>
            </w:r>
          </w:p>
        </w:tc>
      </w:tr>
      <w:tr>
        <w:trPr>
          <w:cantSplit w:val="0"/>
          <w:trHeight w:val="320" w:hRule="atLeast"/>
          <w:tblHeader w:val="0"/>
        </w:trPr>
        <w:tc>
          <w:tcPr/>
          <w:p w:rsidR="00000000" w:rsidDel="00000000" w:rsidP="00000000" w:rsidRDefault="00000000" w:rsidRPr="00000000" w14:paraId="0000002F">
            <w:pPr>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Doubling time (hr)</w:t>
            </w:r>
          </w:p>
        </w:tc>
        <w:tc>
          <w:tcPr/>
          <w:p w:rsidR="00000000" w:rsidDel="00000000" w:rsidP="00000000" w:rsidRDefault="00000000" w:rsidRPr="00000000" w14:paraId="00000030">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7.24 ± 0.08</w:t>
            </w:r>
          </w:p>
        </w:tc>
        <w:tc>
          <w:tcPr/>
          <w:p w:rsidR="00000000" w:rsidDel="00000000" w:rsidP="00000000" w:rsidRDefault="00000000" w:rsidRPr="00000000" w14:paraId="00000031">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4.64 ± 0.15</w:t>
            </w:r>
          </w:p>
        </w:tc>
        <w:tc>
          <w:tcPr/>
          <w:p w:rsidR="00000000" w:rsidDel="00000000" w:rsidP="00000000" w:rsidRDefault="00000000" w:rsidRPr="00000000" w14:paraId="00000032">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4.73 ± 0.08</w:t>
            </w:r>
          </w:p>
        </w:tc>
        <w:tc>
          <w:tcPr/>
          <w:p w:rsidR="00000000" w:rsidDel="00000000" w:rsidP="00000000" w:rsidRDefault="00000000" w:rsidRPr="00000000" w14:paraId="00000033">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4.46 ± 0.01</w:t>
            </w:r>
          </w:p>
        </w:tc>
        <w:tc>
          <w:tcPr/>
          <w:p w:rsidR="00000000" w:rsidDel="00000000" w:rsidP="00000000" w:rsidRDefault="00000000" w:rsidRPr="00000000" w14:paraId="00000034">
            <w:pPr>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4.70 ± 0.01</w:t>
            </w:r>
          </w:p>
        </w:tc>
      </w:tr>
    </w:tbl>
    <w:p w:rsidR="00000000" w:rsidDel="00000000" w:rsidP="00000000" w:rsidRDefault="00000000" w:rsidRPr="00000000" w14:paraId="00000035">
      <w:pPr>
        <w:ind w:right="940"/>
        <w:jc w:val="center"/>
        <w:rPr>
          <w:i w:val="1"/>
          <w:iCs w:val="1"/>
          <w:sz w:val="18"/>
          <w:szCs w:val="18"/>
        </w:rPr>
      </w:pPr>
      <w:r w:rsidDel="00000000" w:rsidR="00000000" w:rsidRPr="00000000">
        <w:rPr>
          <w:rtl w:val="0"/>
        </w:rPr>
      </w:r>
    </w:p>
    <w:p w:rsidR="00000000" w:rsidDel="00000000" w:rsidP="00000000" w:rsidRDefault="00000000" w:rsidRPr="00000000" w14:paraId="00000036">
      <w:pPr>
        <w:ind w:right="94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Figure. S3, Table S1., and Table S2. demonstrates that the supplementation of 1% </w:t>
      </w:r>
      <w:r w:rsidDel="00000000" w:rsidR="00000000" w:rsidRPr="00000000">
        <w:rPr>
          <w:rFonts w:ascii="Times New Roman" w:cs="Times New Roman" w:eastAsia="Times New Roman" w:hAnsi="Times New Roman"/>
          <w:i w:val="1"/>
          <w:iCs w:val="1"/>
          <w:rtl w:val="0"/>
        </w:rPr>
        <w:t xml:space="preserve">Chlorella</w:t>
      </w:r>
      <w:r w:rsidDel="00000000" w:rsidR="00000000" w:rsidRPr="00000000">
        <w:rPr>
          <w:rFonts w:ascii="Times New Roman" w:cs="Times New Roman" w:eastAsia="Times New Roman" w:hAnsi="Times New Roman"/>
          <w:rtl w:val="0"/>
        </w:rPr>
        <w:t xml:space="preserve"> sp. biomass grown in CWW resulted in higher CFU/mL, a greater specific growth rate, and a shorter doubling time.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6098400" cy="3970743"/>
            <wp:effectExtent b="0" l="0" r="0" t="0"/>
            <wp:docPr id="2" name="image6.png"/>
            <a:graphic>
              <a:graphicData uri="http://schemas.openxmlformats.org/drawingml/2006/picture">
                <pic:pic>
                  <pic:nvPicPr>
                    <pic:cNvPr id="0" name="image6.png"/>
                    <pic:cNvPicPr preferRelativeResize="0"/>
                  </pic:nvPicPr>
                  <pic:blipFill>
                    <a:blip r:embed="rId15"/>
                    <a:srcRect b="1979" l="7085" r="4024" t="14342"/>
                    <a:stretch>
                      <a:fillRect/>
                    </a:stretch>
                  </pic:blipFill>
                  <pic:spPr>
                    <a:xfrm>
                      <a:off x="0" y="0"/>
                      <a:ext cx="6098400" cy="3970743"/>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Figure. S4 This bar chart compares enzyme activity (Miller Units) of LpG3 grown in: MRS alone, MRS + 1%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Chlorella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biomass sourced from BBM cultures, and MRS + 1%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Chlorella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biomass sourced from CWW (whey) cultures.</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MRS alone: ~18 MU</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MRS + BBM-grown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Chlorella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 ~49 MU</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MRS + CWW-grown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Chlorella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 ~39 MU</w:t>
      </w:r>
    </w:p>
    <w:p w:rsidR="00000000" w:rsidDel="00000000" w:rsidP="00000000" w:rsidRDefault="00000000" w:rsidRPr="00000000" w14:paraId="0000003B">
      <w:pPr>
        <w:jc w:val="center"/>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NP"/>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7.png"/><Relationship Id="rId13" Type="http://schemas.openxmlformats.org/officeDocument/2006/relationships/image" Target="media/image9.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6.png"/><Relationship Id="rId14"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zqBjyvrZ6sU+BOxkpFsDan1nHA==">CgMxLjA4AHIhMUx5NExBSFJJeTdkZ090Q0lxbk4wWWxPZTBsVGZyWG80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48720988673e4e9ab745c0799628e87711d8bf3513f078acbe11ba7ccc0230c7</vt:lpwstr>
  </property>
</Properties>
</file>