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left"/>
      </w:pPr>
      <w:r>
        <w:t>TRIPOD+AI Checklist</w:t>
      </w:r>
    </w:p>
    <w:p/>
    <w:p>
      <w:pPr>
        <w:pStyle w:val="Heading2"/>
        <w:jc w:val="left"/>
      </w:pPr>
      <w:r>
        <w:t>Title Page</w:t>
      </w:r>
    </w:p>
    <w:p>
      <w:pPr>
        <w:pStyle w:val="ListBullet"/>
      </w:pPr>
      <w:r>
        <w:t>Title identifies the study as development/validation of a prediction model</w:t>
      </w:r>
      <w:r>
        <w:rPr>
          <w:b/>
          <w:color w:val="1F4E79"/>
        </w:rPr>
        <w:t xml:space="preserve">  → Title page</w:t>
      </w:r>
    </w:p>
    <w:p>
      <w:pPr>
        <w:pStyle w:val="ListBullet"/>
      </w:pPr>
      <w:r>
        <w:t>Abstract mentions model type (XGBoost), setting (ICU), and outcome (28-day mortality)</w:t>
      </w:r>
      <w:r>
        <w:rPr>
          <w:b/>
          <w:color w:val="1F4E79"/>
        </w:rPr>
        <w:t xml:space="preserve">  → Abstract</w:t>
      </w:r>
    </w:p>
    <w:p/>
    <w:p>
      <w:pPr>
        <w:pStyle w:val="Heading2"/>
        <w:jc w:val="left"/>
      </w:pPr>
      <w:r>
        <w:t>Abstract</w:t>
      </w:r>
    </w:p>
    <w:p>
      <w:pPr>
        <w:pStyle w:val="ListBullet"/>
      </w:pPr>
      <w:r>
        <w:t>Background and objectives stated  → Abstract</w:t>
      </w:r>
      <w:r>
        <w:rPr>
          <w:b/>
          <w:color w:val="1F4E79"/>
        </w:rPr>
      </w:r>
    </w:p>
    <w:p>
      <w:pPr>
        <w:pStyle w:val="ListBullet"/>
      </w:pPr>
      <w:r>
        <w:t>Data sources identified (MIMIC-IV v3.1, eICU-CRD v2.0)  → Abstract</w:t>
      </w:r>
      <w:r>
        <w:rPr>
          <w:b/>
          <w:color w:val="1F4E79"/>
        </w:rPr>
      </w:r>
    </w:p>
    <w:p>
      <w:pPr>
        <w:pStyle w:val="ListBullet"/>
      </w:pPr>
      <w:r>
        <w:t>Outcome defined (28-day all-cause mortality)  → Abstract</w:t>
      </w:r>
      <w:r>
        <w:rPr>
          <w:b/>
          <w:color w:val="1F4E79"/>
        </w:rPr>
      </w:r>
    </w:p>
    <w:p>
      <w:pPr>
        <w:pStyle w:val="ListBullet"/>
      </w:pPr>
      <w:r>
        <w:t>Candidate predictors listed (45 screened, 14 retained)  → Abstract</w:t>
      </w:r>
      <w:r>
        <w:rPr>
          <w:b/>
          <w:color w:val="1F4E79"/>
        </w:rPr>
      </w:r>
    </w:p>
    <w:p>
      <w:pPr>
        <w:pStyle w:val="ListBullet"/>
      </w:pPr>
      <w:r>
        <w:t>Model development approach described (XGBoost with 5-fold CV)  → Abstract</w:t>
      </w:r>
      <w:r>
        <w:rPr>
          <w:b/>
          <w:color w:val="1F4E79"/>
        </w:rPr>
      </w:r>
    </w:p>
    <w:p>
      <w:pPr>
        <w:pStyle w:val="ListBullet"/>
      </w:pPr>
      <w:r>
        <w:t>Internal validation method stated (5-fold CV, 1,000-iteration bootstrap of pooled out-of-fold predictions)  → Abstract</w:t>
      </w:r>
      <w:r>
        <w:rPr>
          <w:b/>
          <w:color w:val="1F4E79"/>
        </w:rPr>
      </w:r>
    </w:p>
    <w:p>
      <w:pPr>
        <w:pStyle w:val="ListBullet"/>
      </w:pPr>
      <w:r>
        <w:t>External validation cohort described (eICU-CRD, n=742)  → Abstract</w:t>
      </w:r>
      <w:r>
        <w:rPr>
          <w:b/>
          <w:color w:val="1F4E79"/>
        </w:rPr>
      </w:r>
    </w:p>
    <w:p>
      <w:pPr>
        <w:pStyle w:val="ListBullet"/>
      </w:pPr>
      <w:r>
        <w:t>Performance metrics reported (AUC, Brier, calibration slope, NRI, IDI)  → Abstract</w:t>
      </w:r>
      <w:r>
        <w:rPr>
          <w:b/>
          <w:color w:val="1F4E79"/>
        </w:rPr>
      </w:r>
    </w:p>
    <w:p>
      <w:pPr>
        <w:pStyle w:val="ListBullet"/>
      </w:pPr>
      <w:r>
        <w:t>Results presented with uncertainty (95% CI)  → Abstract</w:t>
      </w:r>
      <w:r>
        <w:rPr>
          <w:b/>
          <w:color w:val="1F4E79"/>
        </w:rPr>
      </w:r>
    </w:p>
    <w:p>
      <w:pPr>
        <w:pStyle w:val="ListBullet"/>
      </w:pPr>
      <w:r>
        <w:t>Conclusions include implications and limitations  → Abstract</w:t>
      </w:r>
      <w:r>
        <w:rPr>
          <w:b/>
          <w:color w:val="1F4E79"/>
        </w:rPr>
      </w:r>
    </w:p>
    <w:p/>
    <w:p>
      <w:pPr>
        <w:pStyle w:val="Heading2"/>
        <w:jc w:val="left"/>
      </w:pPr>
      <w:r>
        <w:t>Introduction</w:t>
      </w:r>
    </w:p>
    <w:p>
      <w:pPr>
        <w:pStyle w:val="ListBullet"/>
      </w:pPr>
      <w:r>
        <w:t>Medical context and rationale for prediction model</w:t>
      </w:r>
      <w:r>
        <w:rPr>
          <w:b/>
          <w:color w:val="1F4E79"/>
        </w:rPr>
        <w:t xml:space="preserve">  → Background</w:t>
      </w:r>
    </w:p>
    <w:p>
      <w:pPr>
        <w:pStyle w:val="ListBullet"/>
      </w:pPr>
      <w:r>
        <w:t>Current prediction approaches reviewed (BISAP, SOFA)</w:t>
      </w:r>
      <w:r>
        <w:rPr>
          <w:b/>
          <w:color w:val="1F4E79"/>
        </w:rPr>
        <w:t xml:space="preserve">  → Background</w:t>
      </w:r>
    </w:p>
    <w:p>
      <w:pPr>
        <w:pStyle w:val="ListBullet"/>
      </w:pPr>
      <w:r>
        <w:t>Rationale for predictors (metabolic-laboratory panel)</w:t>
      </w:r>
      <w:r>
        <w:rPr>
          <w:b/>
          <w:color w:val="1F4E79"/>
        </w:rPr>
        <w:t xml:space="preserve">  → Background</w:t>
      </w:r>
    </w:p>
    <w:p>
      <w:pPr>
        <w:pStyle w:val="ListBullet"/>
      </w:pPr>
      <w:r>
        <w:t>Objectives clearly stated</w:t>
      </w:r>
      <w:r>
        <w:rPr>
          <w:b/>
          <w:color w:val="1F4E79"/>
        </w:rPr>
        <w:t xml:space="preserve">  → Background</w:t>
      </w:r>
    </w:p>
    <w:p/>
    <w:p>
      <w:pPr>
        <w:pStyle w:val="Heading2"/>
        <w:jc w:val="left"/>
      </w:pPr>
      <w:r>
        <w:t>Methods</w:t>
      </w:r>
    </w:p>
    <w:p>
      <w:pPr>
        <w:pStyle w:val="ListBullet"/>
      </w:pPr>
      <w:r>
        <w:t>Data sources described (MIMIC-IV, eICU-CRD)</w:t>
      </w:r>
      <w:r>
        <w:rPr>
          <w:b/>
          <w:color w:val="1F4E79"/>
        </w:rPr>
        <w:t xml:space="preserve">  → Methods, Study design and data sources</w:t>
      </w:r>
    </w:p>
    <w:p>
      <w:pPr>
        <w:pStyle w:val="ListBullet"/>
      </w:pPr>
      <w:r>
        <w:t>Inclusion/exclusion criteria specified</w:t>
      </w:r>
      <w:r>
        <w:rPr>
          <w:b/>
          <w:color w:val="1F4E79"/>
        </w:rPr>
        <w:t xml:space="preserve">  → Methods, Cohort definition and outcome</w:t>
      </w:r>
    </w:p>
    <w:p>
      <w:pPr>
        <w:pStyle w:val="ListBullet"/>
      </w:pPr>
      <w:r>
        <w:t>Outcome defined with time horizon (28-day mortality)</w:t>
      </w:r>
      <w:r>
        <w:rPr>
          <w:b/>
          <w:color w:val="1F4E79"/>
        </w:rPr>
        <w:t xml:space="preserve">  → Methods, Cohort definition and outcome</w:t>
      </w:r>
    </w:p>
    <w:p>
      <w:pPr>
        <w:pStyle w:val="ListBullet"/>
      </w:pPr>
      <w:r>
        <w:t>Candidate predictors listed (45 initial, 14 final)</w:t>
      </w:r>
      <w:r>
        <w:rPr>
          <w:b/>
          <w:color w:val="1F4E79"/>
        </w:rPr>
        <w:t xml:space="preserve">  → Methods, Feature selection and model development</w:t>
      </w:r>
    </w:p>
    <w:p>
      <w:pPr>
        <w:pStyle w:val="ListBullet"/>
      </w:pPr>
      <w:r>
        <w:t>Sample size and missing data handled</w:t>
      </w:r>
      <w:r>
        <w:rPr>
          <w:b/>
          <w:color w:val="1F4E79"/>
        </w:rPr>
        <w:t xml:space="preserve">  → Methods, Missing data and preprocessing</w:t>
      </w:r>
    </w:p>
    <w:p>
      <w:pPr>
        <w:pStyle w:val="ListBullet"/>
      </w:pPr>
      <w:r>
        <w:t>Model development: XGBoost with fixed a priori hyperparameters</w:t>
      </w:r>
      <w:r>
        <w:rPr>
          <w:b/>
          <w:color w:val="1F4E79"/>
        </w:rPr>
        <w:t xml:space="preserve">  → Methods, Feature selection and model development</w:t>
      </w:r>
    </w:p>
    <w:p>
      <w:pPr>
        <w:pStyle w:val="ListBullet"/>
      </w:pPr>
      <w:r>
        <w:t>Internal validation: 5-fold CV with 1,000-iteration bootstrap of pooled out-of-fold predictions</w:t>
      </w:r>
      <w:r>
        <w:rPr>
          <w:b/>
          <w:color w:val="1F4E79"/>
        </w:rPr>
        <w:t xml:space="preserve">  → Methods, Validation strategy</w:t>
      </w:r>
    </w:p>
    <w:p>
      <w:pPr>
        <w:pStyle w:val="ListBullet"/>
      </w:pPr>
      <w:r>
        <w:t>External validation: independent eICU cohort</w:t>
      </w:r>
      <w:r>
        <w:rPr>
          <w:b/>
          <w:color w:val="1F4E79"/>
        </w:rPr>
        <w:t xml:space="preserve">  → Methods, External validation</w:t>
      </w:r>
    </w:p>
    <w:p>
      <w:pPr>
        <w:pStyle w:val="ListBullet"/>
      </w:pPr>
      <w:r>
        <w:t>Calibration assessed (Brier, slope, isotonic regression)</w:t>
      </w:r>
      <w:r>
        <w:rPr>
          <w:b/>
          <w:color w:val="1F4E79"/>
        </w:rPr>
        <w:t xml:space="preserve">  → Methods, Calibration assessment</w:t>
      </w:r>
    </w:p>
    <w:p>
      <w:pPr>
        <w:pStyle w:val="ListBullet"/>
      </w:pPr>
      <w:r>
        <w:t>Discrimination assessed (AUC, DeLong test)</w:t>
      </w:r>
      <w:r>
        <w:rPr>
          <w:b/>
          <w:color w:val="1F4E79"/>
        </w:rPr>
        <w:t xml:space="preserve">  → Methods, Statistical analysis</w:t>
      </w:r>
    </w:p>
    <w:p>
      <w:pPr>
        <w:pStyle w:val="ListBullet"/>
      </w:pPr>
      <w:r>
        <w:t>Clinical utility assessed (DCA, threshold analysis)</w:t>
      </w:r>
      <w:r>
        <w:rPr>
          <w:b/>
          <w:color w:val="1F4E79"/>
        </w:rPr>
        <w:t xml:space="preserve">  → Methods, Decision curve analysis</w:t>
      </w:r>
    </w:p>
    <w:p>
      <w:pPr>
        <w:pStyle w:val="ListBullet"/>
      </w:pPr>
      <w:r>
        <w:t>Model performance in subgroups reported</w:t>
      </w:r>
      <w:r>
        <w:rPr>
          <w:b/>
          <w:color w:val="1F4E79"/>
        </w:rPr>
        <w:t xml:space="preserve">  → Methods, Subgroup and fairness analysis</w:t>
      </w:r>
    </w:p>
    <w:p>
      <w:pPr>
        <w:pStyle w:val="ListBullet"/>
      </w:pPr>
      <w:r>
        <w:t>Fairness analysis with bootstrap hypothesis tests</w:t>
      </w:r>
      <w:r>
        <w:rPr>
          <w:b/>
          <w:color w:val="1F4E79"/>
        </w:rPr>
        <w:t xml:space="preserve">  → Methods, Subgroup and fairness analysis and Statistical analysis</w:t>
      </w:r>
    </w:p>
    <w:p>
      <w:pPr>
        <w:pStyle w:val="ListBullet"/>
      </w:pPr>
      <w:r>
        <w:t>Model explained (SHAP)</w:t>
      </w:r>
      <w:r>
        <w:rPr>
          <w:b/>
          <w:color w:val="1F4E79"/>
        </w:rPr>
        <w:t xml:space="preserve">  → Methods, Explainability analysis</w:t>
      </w:r>
    </w:p>
    <w:p/>
    <w:p>
      <w:pPr>
        <w:pStyle w:val="Heading2"/>
        <w:jc w:val="left"/>
      </w:pPr>
      <w:r>
        <w:t>Results</w:t>
      </w:r>
    </w:p>
    <w:p>
      <w:pPr>
        <w:pStyle w:val="ListBullet"/>
      </w:pPr>
      <w:r>
        <w:t>Participant flow diagram (Figure 1)</w:t>
      </w:r>
      <w:r>
        <w:rPr>
          <w:b/>
          <w:color w:val="1F4E79"/>
        </w:rPr>
        <w:t xml:space="preserve">  → Results, Cohort characteristics; Figure 1</w:t>
      </w:r>
    </w:p>
    <w:p>
      <w:pPr>
        <w:pStyle w:val="ListBullet"/>
      </w:pPr>
      <w:r>
        <w:t>Baseline characteristics table (Table 1)</w:t>
      </w:r>
      <w:r>
        <w:rPr>
          <w:b/>
          <w:color w:val="1F4E79"/>
        </w:rPr>
        <w:t xml:space="preserve">  → Results, Cohort characteristics, Table 1</w:t>
      </w:r>
    </w:p>
    <w:p>
      <w:pPr>
        <w:pStyle w:val="ListBullet"/>
      </w:pPr>
      <w:r>
        <w:t>Model performance with CI (Table 3)</w:t>
      </w:r>
      <w:r>
        <w:rPr>
          <w:b/>
          <w:color w:val="1F4E79"/>
        </w:rPr>
        <w:t xml:space="preserve">  → Results, Full model discrimination and external validation, Table 3</w:t>
      </w:r>
    </w:p>
    <w:p>
      <w:pPr>
        <w:pStyle w:val="ListBullet"/>
      </w:pPr>
      <w:r>
        <w:t>Calibration plots (Figure 4)</w:t>
      </w:r>
      <w:r>
        <w:rPr>
          <w:b/>
          <w:color w:val="1F4E79"/>
        </w:rPr>
        <w:t xml:space="preserve">  → Results, Calibration; Figure 4</w:t>
      </w:r>
    </w:p>
    <w:p>
      <w:pPr>
        <w:pStyle w:val="ListBullet"/>
      </w:pPr>
      <w:r>
        <w:t>Decision curve analysis (Figure 8)</w:t>
      </w:r>
      <w:r>
        <w:rPr>
          <w:b/>
          <w:color w:val="1F4E79"/>
        </w:rPr>
        <w:t xml:space="preserve">  → Results, Decision curve analysis; Figure 8</w:t>
      </w:r>
    </w:p>
    <w:p>
      <w:pPr>
        <w:pStyle w:val="ListBullet"/>
      </w:pPr>
      <w:r>
        <w:t>Subgroup performance (Table 5)</w:t>
      </w:r>
      <w:r>
        <w:rPr>
          <w:b/>
          <w:color w:val="1F4E79"/>
        </w:rPr>
        <w:t xml:space="preserve">  → Results, Subgroup and fairness analysis, Table 5</w:t>
      </w:r>
    </w:p>
    <w:p>
      <w:pPr>
        <w:pStyle w:val="ListBullet"/>
      </w:pPr>
      <w:r>
        <w:t>Sensitivity analyses reported (Table S1, S5)</w:t>
      </w:r>
      <w:r>
        <w:rPr>
          <w:b/>
          <w:color w:val="1F4E79"/>
        </w:rPr>
        <w:t xml:space="preserve">  → Results, Sensitivity analyses; Multimedia Appendix pp. 5-6</w:t>
      </w:r>
    </w:p>
    <w:p/>
    <w:p>
      <w:pPr>
        <w:pStyle w:val="Heading2"/>
        <w:jc w:val="left"/>
      </w:pPr>
      <w:r>
        <w:t>Discussion</w:t>
      </w:r>
    </w:p>
    <w:p>
      <w:pPr>
        <w:pStyle w:val="ListBullet"/>
      </w:pPr>
      <w:r>
        <w:t>Principal findings summarized</w:t>
      </w:r>
      <w:r>
        <w:rPr>
          <w:b/>
          <w:color w:val="1F4E79"/>
        </w:rPr>
        <w:t xml:space="preserve">  → Discussion</w:t>
      </w:r>
    </w:p>
    <w:p>
      <w:pPr>
        <w:pStyle w:val="ListBullet"/>
      </w:pPr>
      <w:r>
        <w:t>Limitations discussed (7 items)  → Discussion, Limitations</w:t>
      </w:r>
      <w:r>
        <w:rPr>
          <w:b/>
          <w:color w:val="1F4E79"/>
        </w:rPr>
      </w:r>
    </w:p>
    <w:p>
      <w:pPr>
        <w:pStyle w:val="ListBullet"/>
      </w:pPr>
      <w:r>
        <w:t>Clinical implications described  → Discussion, Clinical implications</w:t>
      </w:r>
      <w:r>
        <w:rPr>
          <w:b/>
          <w:color w:val="1F4E79"/>
        </w:rPr>
      </w:r>
    </w:p>
    <w:p>
      <w:pPr>
        <w:pStyle w:val="ListBullet"/>
      </w:pPr>
      <w:r>
        <w:t>Future research directions outlined  → Discussion, Clinical implications</w:t>
      </w:r>
      <w:r>
        <w:rPr>
          <w:b/>
          <w:color w:val="1F4E79"/>
        </w:rPr>
      </w:r>
    </w:p>
    <w:p/>
    <w:p>
      <w:pPr>
        <w:pStyle w:val="Heading2"/>
        <w:jc w:val="left"/>
      </w:pPr>
      <w:r>
        <w:t>Supplementary Materials</w:t>
      </w:r>
    </w:p>
    <w:p>
      <w:pPr>
        <w:pStyle w:val="ListBullet"/>
      </w:pPr>
      <w:r>
        <w:t>Supplementary Note S2 (Calibration methodology)</w:t>
      </w:r>
      <w:r>
        <w:rPr>
          <w:b/>
          <w:color w:val="1F4E79"/>
        </w:rPr>
        <w:t xml:space="preserve">  → Multimedia Appendix p. 4</w:t>
      </w:r>
    </w:p>
    <w:p>
      <w:pPr>
        <w:pStyle w:val="ListBullet"/>
      </w:pPr>
      <w:r>
        <w:t>Supplementary Note S1 (DM classification rationale)</w:t>
      </w:r>
      <w:r>
        <w:rPr>
          <w:b/>
          <w:color w:val="1F4E79"/>
        </w:rPr>
        <w:t xml:space="preserve">  → Multimedia Appendix pp. 2-3</w:t>
      </w:r>
    </w:p>
    <w:p>
      <w:pPr>
        <w:pStyle w:val="ListBullet"/>
      </w:pPr>
      <w:r>
        <w:t>Table S1 (Metabolic sensitivity comparison)</w:t>
      </w:r>
      <w:r>
        <w:rPr>
          <w:b/>
          <w:color w:val="1F4E79"/>
        </w:rPr>
        <w:t xml:space="preserve">  → Multimedia Appendix p. 5</w:t>
      </w:r>
    </w:p>
    <w:p>
      <w:pPr>
        <w:pStyle w:val="ListBullet"/>
      </w:pPr>
      <w:r>
        <w:t>Table S2 (Metabolic SHAP ranking)</w:t>
      </w:r>
      <w:r>
        <w:rPr>
          <w:b/>
          <w:color w:val="1F4E79"/>
        </w:rPr>
        <w:t xml:space="preserve">  → Multimedia Appendix p. 5</w:t>
      </w:r>
    </w:p>
    <w:p>
      <w:pPr>
        <w:pStyle w:val="ListBullet"/>
      </w:pPr>
      <w:r>
        <w:t>Table S3 (Threshold performance)</w:t>
      </w:r>
      <w:r>
        <w:rPr>
          <w:b/>
          <w:color w:val="1F4E79"/>
        </w:rPr>
        <w:t xml:space="preserve">  → Multimedia Appendix p. 5</w:t>
      </w:r>
    </w:p>
    <w:p>
      <w:pPr>
        <w:pStyle w:val="ListBullet"/>
      </w:pPr>
      <w:r>
        <w:t>Table S4 (Calibration metrics)</w:t>
      </w:r>
      <w:r>
        <w:rPr>
          <w:b/>
          <w:color w:val="1F4E79"/>
        </w:rPr>
        <w:t xml:space="preserve">  → Multimedia Appendix p. 6</w:t>
      </w:r>
    </w:p>
    <w:p>
      <w:pPr>
        <w:pStyle w:val="ListBullet"/>
      </w:pPr>
      <w:r>
        <w:t>Table S5 (DM definition stringency)</w:t>
      </w:r>
      <w:r>
        <w:rPr>
          <w:b/>
          <w:color w:val="1F4E79"/>
        </w:rPr>
        <w:t xml:space="preserve">  → Multimedia Appendix p. 6</w:t>
      </w:r>
    </w:p>
    <w:p>
      <w:pPr>
        <w:pStyle w:val="ListBullet"/>
      </w:pPr>
      <w:r>
        <w:t>Table S6 (Simplified bedside score)</w:t>
      </w:r>
      <w:r>
        <w:rPr>
          <w:b/>
          <w:color w:val="1F4E79"/>
        </w:rPr>
        <w:t xml:space="preserve">  → Multimedia Appendix p. 9</w:t>
      </w:r>
    </w:p>
    <w:p>
      <w:pPr>
        <w:pStyle w:val="ListBullet"/>
      </w:pPr>
      <w:r>
        <w:t>Table S7 (Missing data patterns)</w:t>
      </w:r>
      <w:r>
        <w:rPr>
          <w:b/>
          <w:color w:val="1F4E79"/>
        </w:rPr>
        <w:t xml:space="preserve">  → Multimedia Appendix p. 7</w:t>
      </w:r>
    </w:p>
    <w:p/>
    <w:p>
      <w:pPr>
        <w:pStyle w:val="ListBullet"/>
      </w:pPr>
      <w:r>
        <w:t>Supplementary Figure S1 (Metabolic sensitivity comparison)  → Multimedia Appendix p. 8 (legend); supplementary image files</w:t>
      </w:r>
      <w:r>
        <w:rPr>
          <w:b/>
          <w:color w:val="1F4E79"/>
        </w:rPr>
      </w:r>
    </w:p>
    <w:p>
      <w:pPr>
        <w:pStyle w:val="ListBullet"/>
      </w:pPr>
      <w:r>
        <w:t>Supplementary Figure S2 (Metabolic SHAP ranking)  → Multimedia Appendix p. 8 (legend); supplementary image files</w:t>
      </w:r>
      <w:r>
        <w:rPr>
          <w:b/>
          <w:color w:val="1F4E79"/>
        </w:rPr>
      </w:r>
    </w:p>
    <w:p/>
    <w:p>
      <w:pPr>
        <w:pStyle w:val="Heading2"/>
        <w:jc w:val="left"/>
      </w:pPr>
      <w:r>
        <w:t>Other Information</w:t>
      </w:r>
    </w:p>
    <w:p>
      <w:pPr>
        <w:pStyle w:val="ListBullet"/>
      </w:pPr>
      <w:r>
        <w:t>Funding sources declared  → Declarations</w:t>
      </w:r>
      <w:r>
        <w:rPr>
          <w:b/>
          <w:color w:val="1F4E79"/>
        </w:rPr>
      </w:r>
    </w:p>
    <w:p>
      <w:pPr>
        <w:pStyle w:val="ListBullet"/>
      </w:pPr>
      <w:r>
        <w:t>Competing interests declared  → Declarations</w:t>
      </w:r>
      <w:r>
        <w:rPr>
          <w:b/>
          <w:color w:val="1F4E79"/>
        </w:rPr>
      </w:r>
    </w:p>
    <w:p>
      <w:pPr>
        <w:pStyle w:val="ListBullet"/>
      </w:pPr>
      <w:r>
        <w:t>Data availability statement  → Declarations</w:t>
      </w:r>
      <w:r>
        <w:rPr>
          <w:b/>
          <w:color w:val="1F4E79"/>
        </w:rPr>
      </w:r>
    </w:p>
    <w:p>
      <w:pPr>
        <w:pStyle w:val="ListBullet"/>
      </w:pPr>
      <w:r>
        <w:t>Code availability statement  → Declarations</w:t>
      </w:r>
      <w:r>
        <w:rPr>
          <w:b/>
          <w:color w:val="1F4E79"/>
        </w:rPr>
      </w:r>
    </w:p>
    <w:p>
      <w:pPr>
        <w:pStyle w:val="ListBullet"/>
      </w:pPr>
      <w:r>
        <w:t>Ethics approval and consent  → Declarations</w:t>
      </w:r>
      <w:r>
        <w:rPr>
          <w:b/>
          <w:color w:val="1F4E79"/>
        </w:rPr>
      </w:r>
    </w:p>
    <w:p>
      <w:pPr>
        <w:pStyle w:val="ListBullet"/>
      </w:pPr>
      <w:r>
        <w:t>AI tool usage disclosed (language polishing only)  → Acknowledgements</w:t>
      </w:r>
      <w:r>
        <w:rPr>
          <w:b/>
          <w:color w:val="1F4E79"/>
        </w:rPr>
      </w:r>
    </w:p>
    <w:p/>
    <w:p/>
    <w:p>
      <w:r/>
      <w:r>
        <w:rPr>
          <w:i/>
        </w:rPr>
        <w:t>TRIPOD+AI Checklist — July 23, 2026</w:t>
      </w:r>
      <w: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