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6"/>
          <w:szCs w:val="26"/>
          <w:rtl w:val="0"/>
        </w:rPr>
        <w:t xml:space="preserve">CARE Checklist (2013) of information to include when writing a case report</w:t>
      </w:r>
      <w:r w:rsidDel="00000000" w:rsidR="00000000" w:rsidRPr="00000000">
        <w:rPr>
          <w:rtl w:val="0"/>
        </w:rPr>
      </w:r>
    </w:p>
    <w:p w:rsidR="00000000" w:rsidDel="00000000" w:rsidP="00000000" w:rsidRDefault="00000000" w:rsidRPr="00000000" w14:paraId="00000002">
      <w:pPr>
        <w:spacing w:after="20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Manuscript: “Eagle Syndrome as a Potential Contributor to Intractable Occipital Headache: A Case Report and Review of the Literature”</w:t>
      </w:r>
      <w:r w:rsidDel="00000000" w:rsidR="00000000" w:rsidRPr="00000000">
        <w:rPr>
          <w:rtl w:val="0"/>
        </w:rPr>
      </w:r>
    </w:p>
    <w:p w:rsidR="00000000" w:rsidDel="00000000" w:rsidP="00000000" w:rsidRDefault="00000000" w:rsidRPr="00000000" w14:paraId="00000003">
      <w:pPr>
        <w:spacing w:after="20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17"/>
          <w:szCs w:val="17"/>
          <w:rtl w:val="0"/>
        </w:rPr>
        <w:t xml:space="preserve">Checklist item descriptions are reproduced verbatim from the official 2013 CARE checklist (CARE Group), available at https://www.care-statement.org/checklist under a CC BY-NC 4.0 license. The authoritative fillable file can also be downloaded at https://www.care-statement.org/s/CARE-checklist-English-2013.pdf. Citation: Gagnier JJ, Kienle G, Altman DG, Moher D, Sox H, Riley D; CARE Group. The CARE guidelines: consensus-based clinical case reporting guideline development. BMJ Case Rep. 2013.</w:t>
      </w:r>
      <w:r w:rsidDel="00000000" w:rsidR="00000000" w:rsidRPr="00000000">
        <w:rPr>
          <w:rtl w:val="0"/>
        </w:rPr>
      </w:r>
    </w:p>
    <w:p w:rsidR="00000000" w:rsidDel="00000000" w:rsidP="00000000" w:rsidRDefault="00000000" w:rsidRPr="00000000" w14:paraId="00000004">
      <w:pPr>
        <w:spacing w:after="20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17"/>
          <w:szCs w:val="17"/>
          <w:rtl w:val="0"/>
        </w:rPr>
        <w:t xml:space="preserve">Note on items 10a, 10b, and 12: outpatient follow-up was obtained by telephone and is patient-reported; no post-discharge examination, laboratory, or imaging data were available to the authors. The reported febrile illness was evaluated by the patient's primary care physician and attributed to a presumed viral cause, and the recurrent headache coincided with that illness, so the recurrence is not attributed to the stylohyoid complex. The recommended confirmatory studies remain outstanding. These constraints are stated explicitly in the manuscript Case presentation and Limitations sections.</w:t>
      </w:r>
      <w:r w:rsidDel="00000000" w:rsidR="00000000" w:rsidRPr="00000000">
        <w:rPr>
          <w:rtl w:val="0"/>
        </w:rPr>
      </w:r>
    </w:p>
    <w:p w:rsidR="00000000" w:rsidDel="00000000" w:rsidP="00000000" w:rsidRDefault="00000000" w:rsidRPr="00000000" w14:paraId="00000005">
      <w:pPr>
        <w:spacing w:after="200" w:line="276" w:lineRule="auto"/>
        <w:rPr>
          <w:rFonts w:ascii="Times New Roman" w:cs="Times New Roman" w:eastAsia="Times New Roman" w:hAnsi="Times New Roman"/>
          <w:sz w:val="20"/>
          <w:szCs w:val="20"/>
        </w:rPr>
      </w:pPr>
      <w:r w:rsidDel="00000000" w:rsidR="00000000" w:rsidRPr="00000000">
        <w:rPr>
          <w:rtl w:val="0"/>
        </w:rPr>
      </w:r>
    </w:p>
    <w:tbl>
      <w:tblPr>
        <w:tblStyle w:val="Table1"/>
        <w:tblW w:w="1022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6"/>
        <w:gridCol w:w="2556"/>
        <w:gridCol w:w="2556"/>
        <w:gridCol w:w="2556"/>
        <w:tblGridChange w:id="0">
          <w:tblGrid>
            <w:gridCol w:w="2556"/>
            <w:gridCol w:w="2556"/>
            <w:gridCol w:w="2556"/>
            <w:gridCol w:w="2556"/>
          </w:tblGrid>
        </w:tblGridChange>
      </w:tblGrid>
      <w:tr>
        <w:trPr>
          <w:cantSplit w:val="0"/>
          <w:tblHeader w:val="0"/>
        </w:trPr>
        <w:tc>
          <w:tcPr>
            <w:shd w:fill="d9d9d9" w:val="clear"/>
          </w:tcPr>
          <w:p w:rsidR="00000000" w:rsidDel="00000000" w:rsidP="00000000" w:rsidRDefault="00000000" w:rsidRPr="00000000" w14:paraId="0000000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Item</w:t>
            </w:r>
            <w:r w:rsidDel="00000000" w:rsidR="00000000" w:rsidRPr="00000000">
              <w:rPr>
                <w:rtl w:val="0"/>
              </w:rPr>
            </w:r>
          </w:p>
        </w:tc>
        <w:tc>
          <w:tcPr>
            <w:shd w:fill="d9d9d9" w:val="clear"/>
          </w:tcPr>
          <w:p w:rsidR="00000000" w:rsidDel="00000000" w:rsidP="00000000" w:rsidRDefault="00000000" w:rsidRPr="00000000" w14:paraId="0000000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Checklist item description (2013 CARE, verbatim)</w:t>
            </w:r>
            <w:r w:rsidDel="00000000" w:rsidR="00000000" w:rsidRPr="00000000">
              <w:rPr>
                <w:rtl w:val="0"/>
              </w:rPr>
            </w:r>
          </w:p>
        </w:tc>
        <w:tc>
          <w:tcPr>
            <w:shd w:fill="d9d9d9" w:val="clear"/>
          </w:tcPr>
          <w:p w:rsidR="00000000" w:rsidDel="00000000" w:rsidP="00000000" w:rsidRDefault="00000000" w:rsidRPr="00000000" w14:paraId="0000000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Reported</w:t>
            </w:r>
            <w:r w:rsidDel="00000000" w:rsidR="00000000" w:rsidRPr="00000000">
              <w:rPr>
                <w:rtl w:val="0"/>
              </w:rPr>
            </w:r>
          </w:p>
        </w:tc>
        <w:tc>
          <w:tcPr>
            <w:shd w:fill="d9d9d9" w:val="clear"/>
          </w:tcPr>
          <w:p w:rsidR="00000000" w:rsidDel="00000000" w:rsidP="00000000" w:rsidRDefault="00000000" w:rsidRPr="00000000" w14:paraId="0000000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Location in manuscript / notes</w:t>
            </w:r>
            <w:r w:rsidDel="00000000" w:rsidR="00000000" w:rsidRPr="00000000">
              <w:rPr>
                <w:rtl w:val="0"/>
              </w:rPr>
            </w:r>
          </w:p>
        </w:tc>
      </w:tr>
      <w:tr>
        <w:trPr>
          <w:cantSplit w:val="0"/>
          <w:tblHeader w:val="0"/>
        </w:trPr>
        <w:tc>
          <w:tcPr/>
          <w:p w:rsidR="00000000" w:rsidDel="00000000" w:rsidP="00000000" w:rsidRDefault="00000000" w:rsidRPr="00000000" w14:paraId="0000000A">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1</w:t>
            </w:r>
            <w:r w:rsidDel="00000000" w:rsidR="00000000" w:rsidRPr="00000000">
              <w:rPr>
                <w:rtl w:val="0"/>
              </w:rPr>
            </w:r>
          </w:p>
        </w:tc>
        <w:tc>
          <w:tcPr/>
          <w:p w:rsidR="00000000" w:rsidDel="00000000" w:rsidP="00000000" w:rsidRDefault="00000000" w:rsidRPr="00000000" w14:paraId="0000000B">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Title – The diagnosis or intervention of primary focus followed by the words “case report”.</w:t>
            </w:r>
            <w:r w:rsidDel="00000000" w:rsidR="00000000" w:rsidRPr="00000000">
              <w:rPr>
                <w:rtl w:val="0"/>
              </w:rPr>
            </w:r>
          </w:p>
        </w:tc>
        <w:tc>
          <w:tcPr/>
          <w:p w:rsidR="00000000" w:rsidDel="00000000" w:rsidP="00000000" w:rsidRDefault="00000000" w:rsidRPr="00000000" w14:paraId="0000000C">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0D">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Title page. Title ends with “A Case Report and Review of the Literature.”</w:t>
            </w:r>
            <w:r w:rsidDel="00000000" w:rsidR="00000000" w:rsidRPr="00000000">
              <w:rPr>
                <w:rtl w:val="0"/>
              </w:rPr>
            </w:r>
          </w:p>
        </w:tc>
      </w:tr>
      <w:tr>
        <w:trPr>
          <w:cantSplit w:val="0"/>
          <w:tblHeader w:val="0"/>
        </w:trPr>
        <w:tc>
          <w:tcPr/>
          <w:p w:rsidR="00000000" w:rsidDel="00000000" w:rsidP="00000000" w:rsidRDefault="00000000" w:rsidRPr="00000000" w14:paraId="0000000E">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2</w:t>
            </w:r>
            <w:r w:rsidDel="00000000" w:rsidR="00000000" w:rsidRPr="00000000">
              <w:rPr>
                <w:rtl w:val="0"/>
              </w:rPr>
            </w:r>
          </w:p>
        </w:tc>
        <w:tc>
          <w:tcPr/>
          <w:p w:rsidR="00000000" w:rsidDel="00000000" w:rsidP="00000000" w:rsidRDefault="00000000" w:rsidRPr="00000000" w14:paraId="0000000F">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Key Words – 2 to 5 key words that identify diagnoses or interventions in this case report (including “case report”).</w:t>
            </w:r>
            <w:r w:rsidDel="00000000" w:rsidR="00000000" w:rsidRPr="00000000">
              <w:rPr>
                <w:rtl w:val="0"/>
              </w:rPr>
            </w:r>
          </w:p>
        </w:tc>
        <w:tc>
          <w:tcPr/>
          <w:p w:rsidR="00000000" w:rsidDel="00000000" w:rsidP="00000000" w:rsidRDefault="00000000" w:rsidRPr="00000000" w14:paraId="00000010">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11">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Keywords line; includes “case report.” (CARE suggests 2–5; eight are listed – optional to trim.)</w:t>
            </w:r>
            <w:r w:rsidDel="00000000" w:rsidR="00000000" w:rsidRPr="00000000">
              <w:rPr>
                <w:rtl w:val="0"/>
              </w:rPr>
            </w:r>
          </w:p>
        </w:tc>
      </w:tr>
      <w:tr>
        <w:trPr>
          <w:cantSplit w:val="0"/>
          <w:tblHeader w:val="0"/>
        </w:trPr>
        <w:tc>
          <w:tcPr/>
          <w:p w:rsidR="00000000" w:rsidDel="00000000" w:rsidP="00000000" w:rsidRDefault="00000000" w:rsidRPr="00000000" w14:paraId="00000012">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3</w:t>
            </w:r>
            <w:r w:rsidDel="00000000" w:rsidR="00000000" w:rsidRPr="00000000">
              <w:rPr>
                <w:rtl w:val="0"/>
              </w:rPr>
            </w:r>
          </w:p>
        </w:tc>
        <w:tc>
          <w:tcPr/>
          <w:p w:rsidR="00000000" w:rsidDel="00000000" w:rsidP="00000000" w:rsidRDefault="00000000" w:rsidRPr="00000000" w14:paraId="00000013">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Abstract – (structured or unstructured)</w:t>
            </w:r>
            <w:r w:rsidDel="00000000" w:rsidR="00000000" w:rsidRPr="00000000">
              <w:rPr>
                <w:rtl w:val="0"/>
              </w:rPr>
            </w:r>
          </w:p>
        </w:tc>
        <w:tc>
          <w:tcPr/>
          <w:p w:rsidR="00000000" w:rsidDel="00000000" w:rsidP="00000000" w:rsidRDefault="00000000" w:rsidRPr="00000000" w14:paraId="00000014">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w:t>
            </w:r>
            <w:r w:rsidDel="00000000" w:rsidR="00000000" w:rsidRPr="00000000">
              <w:rPr>
                <w:rtl w:val="0"/>
              </w:rPr>
            </w:r>
          </w:p>
        </w:tc>
        <w:tc>
          <w:tcPr/>
          <w:p w:rsidR="00000000" w:rsidDel="00000000" w:rsidP="00000000" w:rsidRDefault="00000000" w:rsidRPr="00000000" w14:paraId="00000015">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Structured abstract (Background / Case presentation / Conclusions), 344 words.</w:t>
            </w:r>
            <w:r w:rsidDel="00000000" w:rsidR="00000000" w:rsidRPr="00000000">
              <w:rPr>
                <w:rtl w:val="0"/>
              </w:rPr>
            </w:r>
          </w:p>
        </w:tc>
      </w:tr>
      <w:tr>
        <w:trPr>
          <w:cantSplit w:val="0"/>
          <w:tblHeader w:val="0"/>
        </w:trPr>
        <w:tc>
          <w:tcPr/>
          <w:p w:rsidR="00000000" w:rsidDel="00000000" w:rsidP="00000000" w:rsidRDefault="00000000" w:rsidRPr="00000000" w14:paraId="00000016">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3a</w:t>
            </w:r>
            <w:r w:rsidDel="00000000" w:rsidR="00000000" w:rsidRPr="00000000">
              <w:rPr>
                <w:rtl w:val="0"/>
              </w:rPr>
            </w:r>
          </w:p>
        </w:tc>
        <w:tc>
          <w:tcPr/>
          <w:p w:rsidR="00000000" w:rsidDel="00000000" w:rsidP="00000000" w:rsidRDefault="00000000" w:rsidRPr="00000000" w14:paraId="00000017">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Introduction – What is unique about this case and what does it add to the scientific literature?</w:t>
            </w:r>
            <w:r w:rsidDel="00000000" w:rsidR="00000000" w:rsidRPr="00000000">
              <w:rPr>
                <w:rtl w:val="0"/>
              </w:rPr>
            </w:r>
          </w:p>
        </w:tc>
        <w:tc>
          <w:tcPr/>
          <w:p w:rsidR="00000000" w:rsidDel="00000000" w:rsidP="00000000" w:rsidRDefault="00000000" w:rsidRPr="00000000" w14:paraId="00000018">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19">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Abstract, Background.</w:t>
            </w:r>
            <w:r w:rsidDel="00000000" w:rsidR="00000000" w:rsidRPr="00000000">
              <w:rPr>
                <w:rtl w:val="0"/>
              </w:rPr>
            </w:r>
          </w:p>
        </w:tc>
      </w:tr>
      <w:tr>
        <w:trPr>
          <w:cantSplit w:val="0"/>
          <w:tblHeader w:val="0"/>
        </w:trPr>
        <w:tc>
          <w:tcPr/>
          <w:p w:rsidR="00000000" w:rsidDel="00000000" w:rsidP="00000000" w:rsidRDefault="00000000" w:rsidRPr="00000000" w14:paraId="0000001A">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3b</w:t>
            </w:r>
            <w:r w:rsidDel="00000000" w:rsidR="00000000" w:rsidRPr="00000000">
              <w:rPr>
                <w:rtl w:val="0"/>
              </w:rPr>
            </w:r>
          </w:p>
        </w:tc>
        <w:tc>
          <w:tcPr/>
          <w:p w:rsidR="00000000" w:rsidDel="00000000" w:rsidP="00000000" w:rsidRDefault="00000000" w:rsidRPr="00000000" w14:paraId="0000001B">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The patient's main concerns and important clinical findings.</w:t>
            </w:r>
            <w:r w:rsidDel="00000000" w:rsidR="00000000" w:rsidRPr="00000000">
              <w:rPr>
                <w:rtl w:val="0"/>
              </w:rPr>
            </w:r>
          </w:p>
        </w:tc>
        <w:tc>
          <w:tcPr/>
          <w:p w:rsidR="00000000" w:rsidDel="00000000" w:rsidP="00000000" w:rsidRDefault="00000000" w:rsidRPr="00000000" w14:paraId="0000001C">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1D">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Abstract, Case presentation.</w:t>
            </w:r>
            <w:r w:rsidDel="00000000" w:rsidR="00000000" w:rsidRPr="00000000">
              <w:rPr>
                <w:rtl w:val="0"/>
              </w:rPr>
            </w:r>
          </w:p>
        </w:tc>
      </w:tr>
      <w:tr>
        <w:trPr>
          <w:cantSplit w:val="0"/>
          <w:tblHeader w:val="0"/>
        </w:trPr>
        <w:tc>
          <w:tcPr/>
          <w:p w:rsidR="00000000" w:rsidDel="00000000" w:rsidP="00000000" w:rsidRDefault="00000000" w:rsidRPr="00000000" w14:paraId="0000001E">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3c</w:t>
            </w:r>
            <w:r w:rsidDel="00000000" w:rsidR="00000000" w:rsidRPr="00000000">
              <w:rPr>
                <w:rtl w:val="0"/>
              </w:rPr>
            </w:r>
          </w:p>
        </w:tc>
        <w:tc>
          <w:tcPr/>
          <w:p w:rsidR="00000000" w:rsidDel="00000000" w:rsidP="00000000" w:rsidRDefault="00000000" w:rsidRPr="00000000" w14:paraId="0000001F">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The primary diagnoses, interventions, and outcomes.</w:t>
            </w:r>
            <w:r w:rsidDel="00000000" w:rsidR="00000000" w:rsidRPr="00000000">
              <w:rPr>
                <w:rtl w:val="0"/>
              </w:rPr>
            </w:r>
          </w:p>
        </w:tc>
        <w:tc>
          <w:tcPr/>
          <w:p w:rsidR="00000000" w:rsidDel="00000000" w:rsidP="00000000" w:rsidRDefault="00000000" w:rsidRPr="00000000" w14:paraId="00000020">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19"/>
                <w:szCs w:val="19"/>
                <w:rtl w:val="0"/>
              </w:rPr>
              <w:t xml:space="preserve">Partial</w:t>
            </w:r>
            <w:r w:rsidDel="00000000" w:rsidR="00000000" w:rsidRPr="00000000">
              <w:rPr>
                <w:rtl w:val="0"/>
              </w:rPr>
            </w:r>
          </w:p>
        </w:tc>
        <w:tc>
          <w:tcPr/>
          <w:p w:rsidR="00000000" w:rsidDel="00000000" w:rsidP="00000000" w:rsidRDefault="00000000" w:rsidRPr="00000000" w14:paraId="00000021">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Abstract, Case presentation. Working diagnosis, inpatient course, and patient-reported post-discharge outcome reported; the diagnosis remains unconfirmed pending the outstanding studies (see items 10a–10b).</w:t>
            </w:r>
            <w:r w:rsidDel="00000000" w:rsidR="00000000" w:rsidRPr="00000000">
              <w:rPr>
                <w:rtl w:val="0"/>
              </w:rPr>
            </w:r>
          </w:p>
        </w:tc>
      </w:tr>
      <w:tr>
        <w:trPr>
          <w:cantSplit w:val="0"/>
          <w:tblHeader w:val="0"/>
        </w:trPr>
        <w:tc>
          <w:tcPr/>
          <w:p w:rsidR="00000000" w:rsidDel="00000000" w:rsidP="00000000" w:rsidRDefault="00000000" w:rsidRPr="00000000" w14:paraId="00000022">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3d</w:t>
            </w:r>
            <w:r w:rsidDel="00000000" w:rsidR="00000000" w:rsidRPr="00000000">
              <w:rPr>
                <w:rtl w:val="0"/>
              </w:rPr>
            </w:r>
          </w:p>
        </w:tc>
        <w:tc>
          <w:tcPr/>
          <w:p w:rsidR="00000000" w:rsidDel="00000000" w:rsidP="00000000" w:rsidRDefault="00000000" w:rsidRPr="00000000" w14:paraId="00000023">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Conclusion – What are one or more “take-away” lessons from this case report?</w:t>
            </w:r>
            <w:r w:rsidDel="00000000" w:rsidR="00000000" w:rsidRPr="00000000">
              <w:rPr>
                <w:rtl w:val="0"/>
              </w:rPr>
            </w:r>
          </w:p>
        </w:tc>
        <w:tc>
          <w:tcPr/>
          <w:p w:rsidR="00000000" w:rsidDel="00000000" w:rsidP="00000000" w:rsidRDefault="00000000" w:rsidRPr="00000000" w14:paraId="00000024">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25">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Abstract, Conclusions.</w:t>
            </w:r>
            <w:r w:rsidDel="00000000" w:rsidR="00000000" w:rsidRPr="00000000">
              <w:rPr>
                <w:rtl w:val="0"/>
              </w:rPr>
            </w:r>
          </w:p>
        </w:tc>
      </w:tr>
      <w:tr>
        <w:trPr>
          <w:cantSplit w:val="0"/>
          <w:tblHeader w:val="0"/>
        </w:trPr>
        <w:tc>
          <w:tcPr/>
          <w:p w:rsidR="00000000" w:rsidDel="00000000" w:rsidP="00000000" w:rsidRDefault="00000000" w:rsidRPr="00000000" w14:paraId="00000026">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4</w:t>
            </w:r>
            <w:r w:rsidDel="00000000" w:rsidR="00000000" w:rsidRPr="00000000">
              <w:rPr>
                <w:rtl w:val="0"/>
              </w:rPr>
            </w:r>
          </w:p>
        </w:tc>
        <w:tc>
          <w:tcPr/>
          <w:p w:rsidR="00000000" w:rsidDel="00000000" w:rsidP="00000000" w:rsidRDefault="00000000" w:rsidRPr="00000000" w14:paraId="00000027">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Introduction – Briefly summarizes why this case is unique and may include medical literature references.</w:t>
            </w:r>
            <w:r w:rsidDel="00000000" w:rsidR="00000000" w:rsidRPr="00000000">
              <w:rPr>
                <w:rtl w:val="0"/>
              </w:rPr>
            </w:r>
          </w:p>
        </w:tc>
        <w:tc>
          <w:tcPr/>
          <w:p w:rsidR="00000000" w:rsidDel="00000000" w:rsidP="00000000" w:rsidRDefault="00000000" w:rsidRPr="00000000" w14:paraId="00000028">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29">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Background section.</w:t>
            </w:r>
            <w:r w:rsidDel="00000000" w:rsidR="00000000" w:rsidRPr="00000000">
              <w:rPr>
                <w:rtl w:val="0"/>
              </w:rPr>
            </w:r>
          </w:p>
        </w:tc>
      </w:tr>
      <w:tr>
        <w:trPr>
          <w:cantSplit w:val="0"/>
          <w:tblHeader w:val="0"/>
        </w:trPr>
        <w:tc>
          <w:tcPr/>
          <w:p w:rsidR="00000000" w:rsidDel="00000000" w:rsidP="00000000" w:rsidRDefault="00000000" w:rsidRPr="00000000" w14:paraId="0000002A">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5a</w:t>
            </w:r>
            <w:r w:rsidDel="00000000" w:rsidR="00000000" w:rsidRPr="00000000">
              <w:rPr>
                <w:rtl w:val="0"/>
              </w:rPr>
            </w:r>
          </w:p>
        </w:tc>
        <w:tc>
          <w:tcPr/>
          <w:p w:rsidR="00000000" w:rsidDel="00000000" w:rsidP="00000000" w:rsidRDefault="00000000" w:rsidRPr="00000000" w14:paraId="0000002B">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Patient Information – De-identified patient specific information.</w:t>
            </w:r>
            <w:r w:rsidDel="00000000" w:rsidR="00000000" w:rsidRPr="00000000">
              <w:rPr>
                <w:rtl w:val="0"/>
              </w:rPr>
            </w:r>
          </w:p>
        </w:tc>
        <w:tc>
          <w:tcPr/>
          <w:p w:rsidR="00000000" w:rsidDel="00000000" w:rsidP="00000000" w:rsidRDefault="00000000" w:rsidRPr="00000000" w14:paraId="0000002C">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2D">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Age, sex, and ethnicity (“37-year-old White man”) stated in both the Abstract and Case presentation; no identifiers present.</w:t>
            </w:r>
            <w:r w:rsidDel="00000000" w:rsidR="00000000" w:rsidRPr="00000000">
              <w:rPr>
                <w:rtl w:val="0"/>
              </w:rPr>
            </w:r>
          </w:p>
        </w:tc>
      </w:tr>
      <w:tr>
        <w:trPr>
          <w:cantSplit w:val="0"/>
          <w:tblHeader w:val="0"/>
        </w:trPr>
        <w:tc>
          <w:tcPr/>
          <w:p w:rsidR="00000000" w:rsidDel="00000000" w:rsidP="00000000" w:rsidRDefault="00000000" w:rsidRPr="00000000" w14:paraId="0000002E">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5b</w:t>
            </w:r>
            <w:r w:rsidDel="00000000" w:rsidR="00000000" w:rsidRPr="00000000">
              <w:rPr>
                <w:rtl w:val="0"/>
              </w:rPr>
            </w:r>
          </w:p>
        </w:tc>
        <w:tc>
          <w:tcPr/>
          <w:p w:rsidR="00000000" w:rsidDel="00000000" w:rsidP="00000000" w:rsidRDefault="00000000" w:rsidRPr="00000000" w14:paraId="0000002F">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Primary concerns and symptoms of the patient.</w:t>
            </w:r>
            <w:r w:rsidDel="00000000" w:rsidR="00000000" w:rsidRPr="00000000">
              <w:rPr>
                <w:rtl w:val="0"/>
              </w:rPr>
            </w:r>
          </w:p>
        </w:tc>
        <w:tc>
          <w:tcPr/>
          <w:p w:rsidR="00000000" w:rsidDel="00000000" w:rsidP="00000000" w:rsidRDefault="00000000" w:rsidRPr="00000000" w14:paraId="00000030">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31">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Case presentation, paragraph 1.</w:t>
            </w:r>
            <w:r w:rsidDel="00000000" w:rsidR="00000000" w:rsidRPr="00000000">
              <w:rPr>
                <w:rtl w:val="0"/>
              </w:rPr>
            </w:r>
          </w:p>
        </w:tc>
      </w:tr>
      <w:tr>
        <w:trPr>
          <w:cantSplit w:val="0"/>
          <w:tblHeader w:val="0"/>
        </w:trPr>
        <w:tc>
          <w:tcPr/>
          <w:p w:rsidR="00000000" w:rsidDel="00000000" w:rsidP="00000000" w:rsidRDefault="00000000" w:rsidRPr="00000000" w14:paraId="00000032">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5c</w:t>
            </w:r>
            <w:r w:rsidDel="00000000" w:rsidR="00000000" w:rsidRPr="00000000">
              <w:rPr>
                <w:rtl w:val="0"/>
              </w:rPr>
            </w:r>
          </w:p>
        </w:tc>
        <w:tc>
          <w:tcPr/>
          <w:p w:rsidR="00000000" w:rsidDel="00000000" w:rsidP="00000000" w:rsidRDefault="00000000" w:rsidRPr="00000000" w14:paraId="00000033">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Medical, family, and psychosocial history including relevant genetic information.</w:t>
            </w:r>
            <w:r w:rsidDel="00000000" w:rsidR="00000000" w:rsidRPr="00000000">
              <w:rPr>
                <w:rtl w:val="0"/>
              </w:rPr>
            </w:r>
          </w:p>
        </w:tc>
        <w:tc>
          <w:tcPr/>
          <w:p w:rsidR="00000000" w:rsidDel="00000000" w:rsidP="00000000" w:rsidRDefault="00000000" w:rsidRPr="00000000" w14:paraId="00000034">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35">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Case presentation, paragraph 2. Past medical, surgical, and social history included; family history reported as non-contributory.</w:t>
            </w:r>
            <w:r w:rsidDel="00000000" w:rsidR="00000000" w:rsidRPr="00000000">
              <w:rPr>
                <w:rtl w:val="0"/>
              </w:rPr>
            </w:r>
          </w:p>
        </w:tc>
      </w:tr>
      <w:tr>
        <w:trPr>
          <w:cantSplit w:val="0"/>
          <w:tblHeader w:val="0"/>
        </w:trPr>
        <w:tc>
          <w:tcPr/>
          <w:p w:rsidR="00000000" w:rsidDel="00000000" w:rsidP="00000000" w:rsidRDefault="00000000" w:rsidRPr="00000000" w14:paraId="00000036">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5d</w:t>
            </w:r>
            <w:r w:rsidDel="00000000" w:rsidR="00000000" w:rsidRPr="00000000">
              <w:rPr>
                <w:rtl w:val="0"/>
              </w:rPr>
            </w:r>
          </w:p>
        </w:tc>
        <w:tc>
          <w:tcPr/>
          <w:p w:rsidR="00000000" w:rsidDel="00000000" w:rsidP="00000000" w:rsidRDefault="00000000" w:rsidRPr="00000000" w14:paraId="00000037">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Relevant past interventions and their outcomes.</w:t>
            </w:r>
            <w:r w:rsidDel="00000000" w:rsidR="00000000" w:rsidRPr="00000000">
              <w:rPr>
                <w:rtl w:val="0"/>
              </w:rPr>
            </w:r>
          </w:p>
        </w:tc>
        <w:tc>
          <w:tcPr/>
          <w:p w:rsidR="00000000" w:rsidDel="00000000" w:rsidP="00000000" w:rsidRDefault="00000000" w:rsidRPr="00000000" w14:paraId="00000038">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39">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Case presentation. Prior analgesics, chiropractic, ketorolac, hernia repair, wisdom tooth extraction.</w:t>
            </w:r>
            <w:r w:rsidDel="00000000" w:rsidR="00000000" w:rsidRPr="00000000">
              <w:rPr>
                <w:rtl w:val="0"/>
              </w:rPr>
            </w:r>
          </w:p>
        </w:tc>
      </w:tr>
      <w:tr>
        <w:trPr>
          <w:cantSplit w:val="0"/>
          <w:tblHeader w:val="0"/>
        </w:trPr>
        <w:tc>
          <w:tcPr/>
          <w:p w:rsidR="00000000" w:rsidDel="00000000" w:rsidP="00000000" w:rsidRDefault="00000000" w:rsidRPr="00000000" w14:paraId="0000003A">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6</w:t>
            </w:r>
            <w:r w:rsidDel="00000000" w:rsidR="00000000" w:rsidRPr="00000000">
              <w:rPr>
                <w:rtl w:val="0"/>
              </w:rPr>
            </w:r>
          </w:p>
        </w:tc>
        <w:tc>
          <w:tcPr/>
          <w:p w:rsidR="00000000" w:rsidDel="00000000" w:rsidP="00000000" w:rsidRDefault="00000000" w:rsidRPr="00000000" w14:paraId="0000003B">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Clinical Findings – Describe significant physical examination (PE) and important clinical findings.</w:t>
            </w:r>
            <w:r w:rsidDel="00000000" w:rsidR="00000000" w:rsidRPr="00000000">
              <w:rPr>
                <w:rtl w:val="0"/>
              </w:rPr>
            </w:r>
          </w:p>
        </w:tc>
        <w:tc>
          <w:tcPr/>
          <w:p w:rsidR="00000000" w:rsidDel="00000000" w:rsidP="00000000" w:rsidRDefault="00000000" w:rsidRPr="00000000" w14:paraId="0000003C">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3D">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Case presentation, paragraph 3 and 4 (vitals, HEENT, neurological exam, lateral neck trigger point).</w:t>
            </w:r>
            <w:r w:rsidDel="00000000" w:rsidR="00000000" w:rsidRPr="00000000">
              <w:rPr>
                <w:rtl w:val="0"/>
              </w:rPr>
            </w:r>
          </w:p>
        </w:tc>
      </w:tr>
      <w:tr>
        <w:trPr>
          <w:cantSplit w:val="0"/>
          <w:tblHeader w:val="0"/>
        </w:trPr>
        <w:tc>
          <w:tcPr/>
          <w:p w:rsidR="00000000" w:rsidDel="00000000" w:rsidP="00000000" w:rsidRDefault="00000000" w:rsidRPr="00000000" w14:paraId="0000003E">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7</w:t>
            </w:r>
            <w:r w:rsidDel="00000000" w:rsidR="00000000" w:rsidRPr="00000000">
              <w:rPr>
                <w:rtl w:val="0"/>
              </w:rPr>
            </w:r>
          </w:p>
        </w:tc>
        <w:tc>
          <w:tcPr/>
          <w:p w:rsidR="00000000" w:rsidDel="00000000" w:rsidP="00000000" w:rsidRDefault="00000000" w:rsidRPr="00000000" w14:paraId="0000003F">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Timeline – Historical and current information from this episode of care organized as a timeline (figure or table).</w:t>
            </w:r>
            <w:r w:rsidDel="00000000" w:rsidR="00000000" w:rsidRPr="00000000">
              <w:rPr>
                <w:rtl w:val="0"/>
              </w:rPr>
            </w:r>
          </w:p>
        </w:tc>
        <w:tc>
          <w:tcPr/>
          <w:p w:rsidR="00000000" w:rsidDel="00000000" w:rsidP="00000000" w:rsidRDefault="00000000" w:rsidRPr="00000000" w14:paraId="00000040">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41">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Table 1, placed at the end of the Case presentation and cited in the text (“The clinical course is summarized in Table 1”).</w:t>
            </w:r>
            <w:r w:rsidDel="00000000" w:rsidR="00000000" w:rsidRPr="00000000">
              <w:rPr>
                <w:rtl w:val="0"/>
              </w:rPr>
            </w:r>
          </w:p>
        </w:tc>
      </w:tr>
      <w:tr>
        <w:trPr>
          <w:cantSplit w:val="0"/>
          <w:tblHeader w:val="0"/>
        </w:trPr>
        <w:tc>
          <w:tcPr/>
          <w:p w:rsidR="00000000" w:rsidDel="00000000" w:rsidP="00000000" w:rsidRDefault="00000000" w:rsidRPr="00000000" w14:paraId="00000042">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8a</w:t>
            </w:r>
            <w:r w:rsidDel="00000000" w:rsidR="00000000" w:rsidRPr="00000000">
              <w:rPr>
                <w:rtl w:val="0"/>
              </w:rPr>
            </w:r>
          </w:p>
        </w:tc>
        <w:tc>
          <w:tcPr/>
          <w:p w:rsidR="00000000" w:rsidDel="00000000" w:rsidP="00000000" w:rsidRDefault="00000000" w:rsidRPr="00000000" w14:paraId="00000043">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Diagnostic Assessment – Diagnostic methods (PE, laboratory testing, imaging, surveys).</w:t>
            </w:r>
            <w:r w:rsidDel="00000000" w:rsidR="00000000" w:rsidRPr="00000000">
              <w:rPr>
                <w:rtl w:val="0"/>
              </w:rPr>
            </w:r>
          </w:p>
        </w:tc>
        <w:tc>
          <w:tcPr/>
          <w:p w:rsidR="00000000" w:rsidDel="00000000" w:rsidP="00000000" w:rsidRDefault="00000000" w:rsidRPr="00000000" w14:paraId="00000044">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45">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Case presentation (labs, CT head, CTA, CT cervical spine, MRI brain).</w:t>
            </w:r>
            <w:r w:rsidDel="00000000" w:rsidR="00000000" w:rsidRPr="00000000">
              <w:rPr>
                <w:rtl w:val="0"/>
              </w:rPr>
            </w:r>
          </w:p>
        </w:tc>
      </w:tr>
      <w:tr>
        <w:trPr>
          <w:cantSplit w:val="0"/>
          <w:tblHeader w:val="0"/>
        </w:trPr>
        <w:tc>
          <w:tcPr/>
          <w:p w:rsidR="00000000" w:rsidDel="00000000" w:rsidP="00000000" w:rsidRDefault="00000000" w:rsidRPr="00000000" w14:paraId="00000046">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8b</w:t>
            </w:r>
            <w:r w:rsidDel="00000000" w:rsidR="00000000" w:rsidRPr="00000000">
              <w:rPr>
                <w:rtl w:val="0"/>
              </w:rPr>
            </w:r>
          </w:p>
        </w:tc>
        <w:tc>
          <w:tcPr/>
          <w:p w:rsidR="00000000" w:rsidDel="00000000" w:rsidP="00000000" w:rsidRDefault="00000000" w:rsidRPr="00000000" w14:paraId="00000047">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Diagnostic challenges.</w:t>
            </w:r>
            <w:r w:rsidDel="00000000" w:rsidR="00000000" w:rsidRPr="00000000">
              <w:rPr>
                <w:rtl w:val="0"/>
              </w:rPr>
            </w:r>
          </w:p>
        </w:tc>
        <w:tc>
          <w:tcPr/>
          <w:p w:rsidR="00000000" w:rsidDel="00000000" w:rsidP="00000000" w:rsidRDefault="00000000" w:rsidRPr="00000000" w14:paraId="00000048">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49">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Discussion; multifactorial presentation and tonsillolith-versus-stylohyoid imaging pitfall.</w:t>
            </w:r>
            <w:r w:rsidDel="00000000" w:rsidR="00000000" w:rsidRPr="00000000">
              <w:rPr>
                <w:rtl w:val="0"/>
              </w:rPr>
            </w:r>
          </w:p>
        </w:tc>
      </w:tr>
      <w:tr>
        <w:trPr>
          <w:cantSplit w:val="0"/>
          <w:tblHeader w:val="0"/>
        </w:trPr>
        <w:tc>
          <w:tcPr/>
          <w:p w:rsidR="00000000" w:rsidDel="00000000" w:rsidP="00000000" w:rsidRDefault="00000000" w:rsidRPr="00000000" w14:paraId="0000004A">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8c</w:t>
            </w:r>
            <w:r w:rsidDel="00000000" w:rsidR="00000000" w:rsidRPr="00000000">
              <w:rPr>
                <w:rtl w:val="0"/>
              </w:rPr>
            </w:r>
          </w:p>
        </w:tc>
        <w:tc>
          <w:tcPr/>
          <w:p w:rsidR="00000000" w:rsidDel="00000000" w:rsidP="00000000" w:rsidRDefault="00000000" w:rsidRPr="00000000" w14:paraId="0000004B">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Diagnosis (including other diagnoses considered).</w:t>
            </w:r>
            <w:r w:rsidDel="00000000" w:rsidR="00000000" w:rsidRPr="00000000">
              <w:rPr>
                <w:rtl w:val="0"/>
              </w:rPr>
            </w:r>
          </w:p>
        </w:tc>
        <w:tc>
          <w:tcPr/>
          <w:p w:rsidR="00000000" w:rsidDel="00000000" w:rsidP="00000000" w:rsidRDefault="00000000" w:rsidRPr="00000000" w14:paraId="0000004C">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4D">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Discussion, Differential diagnosis subsection.</w:t>
            </w:r>
            <w:r w:rsidDel="00000000" w:rsidR="00000000" w:rsidRPr="00000000">
              <w:rPr>
                <w:rtl w:val="0"/>
              </w:rPr>
            </w:r>
          </w:p>
        </w:tc>
      </w:tr>
      <w:tr>
        <w:trPr>
          <w:cantSplit w:val="0"/>
          <w:tblHeader w:val="0"/>
        </w:trPr>
        <w:tc>
          <w:tcPr/>
          <w:p w:rsidR="00000000" w:rsidDel="00000000" w:rsidP="00000000" w:rsidRDefault="00000000" w:rsidRPr="00000000" w14:paraId="0000004E">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8d</w:t>
            </w:r>
            <w:r w:rsidDel="00000000" w:rsidR="00000000" w:rsidRPr="00000000">
              <w:rPr>
                <w:rtl w:val="0"/>
              </w:rPr>
            </w:r>
          </w:p>
        </w:tc>
        <w:tc>
          <w:tcPr/>
          <w:p w:rsidR="00000000" w:rsidDel="00000000" w:rsidP="00000000" w:rsidRDefault="00000000" w:rsidRPr="00000000" w14:paraId="0000004F">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Prognostic characteristics when applicable.</w:t>
            </w:r>
            <w:r w:rsidDel="00000000" w:rsidR="00000000" w:rsidRPr="00000000">
              <w:rPr>
                <w:rtl w:val="0"/>
              </w:rPr>
            </w:r>
          </w:p>
        </w:tc>
        <w:tc>
          <w:tcPr/>
          <w:p w:rsidR="00000000" w:rsidDel="00000000" w:rsidP="00000000" w:rsidRDefault="00000000" w:rsidRPr="00000000" w14:paraId="00000050">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19"/>
                <w:szCs w:val="19"/>
                <w:rtl w:val="0"/>
              </w:rPr>
              <w:t xml:space="preserve">Partial</w:t>
            </w:r>
            <w:r w:rsidDel="00000000" w:rsidR="00000000" w:rsidRPr="00000000">
              <w:rPr>
                <w:rtl w:val="0"/>
              </w:rPr>
            </w:r>
          </w:p>
        </w:tc>
        <w:tc>
          <w:tcPr/>
          <w:p w:rsidR="00000000" w:rsidDel="00000000" w:rsidP="00000000" w:rsidRDefault="00000000" w:rsidRPr="00000000" w14:paraId="00000051">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Limited; headache recurred after discharge in a milder form and subsequently resolved, but the underlying diagnosis remains unconfirmed pending the outstanding studies. Addressed in Limitations.</w:t>
            </w:r>
            <w:r w:rsidDel="00000000" w:rsidR="00000000" w:rsidRPr="00000000">
              <w:rPr>
                <w:rtl w:val="0"/>
              </w:rPr>
            </w:r>
          </w:p>
        </w:tc>
      </w:tr>
      <w:tr>
        <w:trPr>
          <w:cantSplit w:val="0"/>
          <w:tblHeader w:val="0"/>
        </w:trPr>
        <w:tc>
          <w:tcPr/>
          <w:p w:rsidR="00000000" w:rsidDel="00000000" w:rsidP="00000000" w:rsidRDefault="00000000" w:rsidRPr="00000000" w14:paraId="00000052">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9a</w:t>
            </w:r>
            <w:r w:rsidDel="00000000" w:rsidR="00000000" w:rsidRPr="00000000">
              <w:rPr>
                <w:rtl w:val="0"/>
              </w:rPr>
            </w:r>
          </w:p>
        </w:tc>
        <w:tc>
          <w:tcPr/>
          <w:p w:rsidR="00000000" w:rsidDel="00000000" w:rsidP="00000000" w:rsidRDefault="00000000" w:rsidRPr="00000000" w14:paraId="00000053">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Therapeutic Intervention – Types of therapeutic intervention (pharmacologic, surgical, preventive).</w:t>
            </w:r>
            <w:r w:rsidDel="00000000" w:rsidR="00000000" w:rsidRPr="00000000">
              <w:rPr>
                <w:rtl w:val="0"/>
              </w:rPr>
            </w:r>
          </w:p>
        </w:tc>
        <w:tc>
          <w:tcPr/>
          <w:p w:rsidR="00000000" w:rsidDel="00000000" w:rsidP="00000000" w:rsidRDefault="00000000" w:rsidRPr="00000000" w14:paraId="00000054">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55">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Case presentation (inpatient headache regimen); Treatment considerations subsection.</w:t>
            </w:r>
            <w:r w:rsidDel="00000000" w:rsidR="00000000" w:rsidRPr="00000000">
              <w:rPr>
                <w:rtl w:val="0"/>
              </w:rPr>
            </w:r>
          </w:p>
        </w:tc>
      </w:tr>
      <w:tr>
        <w:trPr>
          <w:cantSplit w:val="0"/>
          <w:tblHeader w:val="0"/>
        </w:trPr>
        <w:tc>
          <w:tcPr/>
          <w:p w:rsidR="00000000" w:rsidDel="00000000" w:rsidP="00000000" w:rsidRDefault="00000000" w:rsidRPr="00000000" w14:paraId="00000056">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9b</w:t>
            </w:r>
            <w:r w:rsidDel="00000000" w:rsidR="00000000" w:rsidRPr="00000000">
              <w:rPr>
                <w:rtl w:val="0"/>
              </w:rPr>
            </w:r>
          </w:p>
        </w:tc>
        <w:tc>
          <w:tcPr/>
          <w:p w:rsidR="00000000" w:rsidDel="00000000" w:rsidP="00000000" w:rsidRDefault="00000000" w:rsidRPr="00000000" w14:paraId="00000057">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Administration of therapeutic intervention (dosage, strength, duration).</w:t>
            </w:r>
            <w:r w:rsidDel="00000000" w:rsidR="00000000" w:rsidRPr="00000000">
              <w:rPr>
                <w:rtl w:val="0"/>
              </w:rPr>
            </w:r>
          </w:p>
        </w:tc>
        <w:tc>
          <w:tcPr/>
          <w:p w:rsidR="00000000" w:rsidDel="00000000" w:rsidP="00000000" w:rsidRDefault="00000000" w:rsidRPr="00000000" w14:paraId="00000058">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59">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Case presentation, paragraph 4.</w:t>
            </w:r>
            <w:r w:rsidDel="00000000" w:rsidR="00000000" w:rsidRPr="00000000">
              <w:rPr>
                <w:rtl w:val="0"/>
              </w:rPr>
            </w:r>
          </w:p>
        </w:tc>
      </w:tr>
      <w:tr>
        <w:trPr>
          <w:cantSplit w:val="0"/>
          <w:tblHeader w:val="0"/>
        </w:trPr>
        <w:tc>
          <w:tcPr/>
          <w:p w:rsidR="00000000" w:rsidDel="00000000" w:rsidP="00000000" w:rsidRDefault="00000000" w:rsidRPr="00000000" w14:paraId="0000005A">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9c</w:t>
            </w:r>
            <w:r w:rsidDel="00000000" w:rsidR="00000000" w:rsidRPr="00000000">
              <w:rPr>
                <w:rtl w:val="0"/>
              </w:rPr>
            </w:r>
          </w:p>
        </w:tc>
        <w:tc>
          <w:tcPr/>
          <w:p w:rsidR="00000000" w:rsidDel="00000000" w:rsidP="00000000" w:rsidRDefault="00000000" w:rsidRPr="00000000" w14:paraId="0000005B">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Changes in therapeutic interventions with explanations.</w:t>
            </w:r>
            <w:r w:rsidDel="00000000" w:rsidR="00000000" w:rsidRPr="00000000">
              <w:rPr>
                <w:rtl w:val="0"/>
              </w:rPr>
            </w:r>
          </w:p>
        </w:tc>
        <w:tc>
          <w:tcPr/>
          <w:p w:rsidR="00000000" w:rsidDel="00000000" w:rsidP="00000000" w:rsidRDefault="00000000" w:rsidRPr="00000000" w14:paraId="0000005C">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19"/>
                <w:szCs w:val="19"/>
                <w:rtl w:val="0"/>
              </w:rPr>
              <w:t xml:space="preserve">Partial</w:t>
            </w:r>
            <w:r w:rsidDel="00000000" w:rsidR="00000000" w:rsidRPr="00000000">
              <w:rPr>
                <w:rtl w:val="0"/>
              </w:rPr>
            </w:r>
          </w:p>
        </w:tc>
        <w:tc>
          <w:tcPr/>
          <w:p w:rsidR="00000000" w:rsidDel="00000000" w:rsidP="00000000" w:rsidRDefault="00000000" w:rsidRPr="00000000" w14:paraId="0000005D">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Escalation to intravenous ketorolac on the night of admission is described in the Case presentation and Table 1.</w:t>
            </w:r>
            <w:r w:rsidDel="00000000" w:rsidR="00000000" w:rsidRPr="00000000">
              <w:rPr>
                <w:rtl w:val="0"/>
              </w:rPr>
            </w:r>
          </w:p>
        </w:tc>
      </w:tr>
      <w:tr>
        <w:trPr>
          <w:cantSplit w:val="0"/>
          <w:tblHeader w:val="0"/>
        </w:trPr>
        <w:tc>
          <w:tcPr/>
          <w:p w:rsidR="00000000" w:rsidDel="00000000" w:rsidP="00000000" w:rsidRDefault="00000000" w:rsidRPr="00000000" w14:paraId="0000005E">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10a</w:t>
            </w:r>
            <w:r w:rsidDel="00000000" w:rsidR="00000000" w:rsidRPr="00000000">
              <w:rPr>
                <w:rtl w:val="0"/>
              </w:rPr>
            </w:r>
          </w:p>
        </w:tc>
        <w:tc>
          <w:tcPr/>
          <w:p w:rsidR="00000000" w:rsidDel="00000000" w:rsidP="00000000" w:rsidRDefault="00000000" w:rsidRPr="00000000" w14:paraId="0000005F">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Follow-up and Outcomes – Clinician- and patient-assessed outcomes if available.</w:t>
            </w:r>
            <w:r w:rsidDel="00000000" w:rsidR="00000000" w:rsidRPr="00000000">
              <w:rPr>
                <w:rtl w:val="0"/>
              </w:rPr>
            </w:r>
          </w:p>
        </w:tc>
        <w:tc>
          <w:tcPr/>
          <w:p w:rsidR="00000000" w:rsidDel="00000000" w:rsidP="00000000" w:rsidRDefault="00000000" w:rsidRPr="00000000" w14:paraId="00000060">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61">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Inpatient outcome documented clinically (pain 10/10 at presentation, 3/10 the following morning, controlled at discharge). Post-discharge outcome obtained by telephone: within several days of discharge the patient developed a fever, was evaluated by his primary care physician, and the illness was attributed to a presumed viral cause; headache recurred in the same occipital distribution but was substantially less severe than at admission and had resolved by the time of the follow-up conversation. Patient-reported; no post-discharge examination or objective measurement available to the authors.</w:t>
            </w:r>
            <w:r w:rsidDel="00000000" w:rsidR="00000000" w:rsidRPr="00000000">
              <w:rPr>
                <w:rtl w:val="0"/>
              </w:rPr>
            </w:r>
          </w:p>
        </w:tc>
      </w:tr>
      <w:tr>
        <w:trPr>
          <w:cantSplit w:val="0"/>
          <w:tblHeader w:val="0"/>
        </w:trPr>
        <w:tc>
          <w:tcPr/>
          <w:p w:rsidR="00000000" w:rsidDel="00000000" w:rsidP="00000000" w:rsidRDefault="00000000" w:rsidRPr="00000000" w14:paraId="00000062">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10b</w:t>
            </w:r>
            <w:r w:rsidDel="00000000" w:rsidR="00000000" w:rsidRPr="00000000">
              <w:rPr>
                <w:rtl w:val="0"/>
              </w:rPr>
            </w:r>
          </w:p>
        </w:tc>
        <w:tc>
          <w:tcPr/>
          <w:p w:rsidR="00000000" w:rsidDel="00000000" w:rsidP="00000000" w:rsidRDefault="00000000" w:rsidRPr="00000000" w14:paraId="00000063">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Important follow-up diagnostic and other test results.</w:t>
            </w:r>
            <w:r w:rsidDel="00000000" w:rsidR="00000000" w:rsidRPr="00000000">
              <w:rPr>
                <w:rtl w:val="0"/>
              </w:rPr>
            </w:r>
          </w:p>
        </w:tc>
        <w:tc>
          <w:tcPr/>
          <w:p w:rsidR="00000000" w:rsidDel="00000000" w:rsidP="00000000" w:rsidRDefault="00000000" w:rsidRPr="00000000" w14:paraId="00000064">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19"/>
                <w:szCs w:val="19"/>
                <w:rtl w:val="0"/>
              </w:rPr>
              <w:t xml:space="preserve">Not available</w:t>
            </w:r>
            <w:r w:rsidDel="00000000" w:rsidR="00000000" w:rsidRPr="00000000">
              <w:rPr>
                <w:rtl w:val="0"/>
              </w:rPr>
            </w:r>
          </w:p>
        </w:tc>
        <w:tc>
          <w:tcPr/>
          <w:p w:rsidR="00000000" w:rsidDel="00000000" w:rsidP="00000000" w:rsidRDefault="00000000" w:rsidRPr="00000000" w14:paraId="00000065">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No post-discharge diagnostic testing relevant to the stylohyoid complex was performed, and no records from the primary care evaluation were available to the authors. The recommended studies (CT or MR venography, cervical spine MRI, lumbar puncture opening pressure) remain outstanding; the patient was unable to obtain an otolaryngology appointment and is pursuing appropriate referrals. Explicitly acknowledged in Limitations.</w:t>
            </w:r>
            <w:r w:rsidDel="00000000" w:rsidR="00000000" w:rsidRPr="00000000">
              <w:rPr>
                <w:rtl w:val="0"/>
              </w:rPr>
            </w:r>
          </w:p>
        </w:tc>
      </w:tr>
      <w:tr>
        <w:trPr>
          <w:cantSplit w:val="0"/>
          <w:tblHeader w:val="0"/>
        </w:trPr>
        <w:tc>
          <w:tcPr/>
          <w:p w:rsidR="00000000" w:rsidDel="00000000" w:rsidP="00000000" w:rsidRDefault="00000000" w:rsidRPr="00000000" w14:paraId="00000066">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10c</w:t>
            </w:r>
            <w:r w:rsidDel="00000000" w:rsidR="00000000" w:rsidRPr="00000000">
              <w:rPr>
                <w:rtl w:val="0"/>
              </w:rPr>
            </w:r>
          </w:p>
        </w:tc>
        <w:tc>
          <w:tcPr/>
          <w:p w:rsidR="00000000" w:rsidDel="00000000" w:rsidP="00000000" w:rsidRDefault="00000000" w:rsidRPr="00000000" w14:paraId="00000067">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Intervention adherence and tolerability. (How was this assessed?)</w:t>
            </w:r>
            <w:r w:rsidDel="00000000" w:rsidR="00000000" w:rsidRPr="00000000">
              <w:rPr>
                <w:rtl w:val="0"/>
              </w:rPr>
            </w:r>
          </w:p>
        </w:tc>
        <w:tc>
          <w:tcPr/>
          <w:p w:rsidR="00000000" w:rsidDel="00000000" w:rsidP="00000000" w:rsidRDefault="00000000" w:rsidRPr="00000000" w14:paraId="00000068">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19"/>
                <w:szCs w:val="19"/>
                <w:rtl w:val="0"/>
              </w:rPr>
              <w:t xml:space="preserve">Partial</w:t>
            </w:r>
            <w:r w:rsidDel="00000000" w:rsidR="00000000" w:rsidRPr="00000000">
              <w:rPr>
                <w:rtl w:val="0"/>
              </w:rPr>
            </w:r>
          </w:p>
        </w:tc>
        <w:tc>
          <w:tcPr/>
          <w:p w:rsidR="00000000" w:rsidDel="00000000" w:rsidP="00000000" w:rsidRDefault="00000000" w:rsidRPr="00000000" w14:paraId="00000069">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Adherence and tolerability assessed clinically during admission; the inpatient regimen was tolerated without adverse effect. Post-discharge adherence not formally assessed; no maintenance therapy had been initiated pending specialist evaluation.</w:t>
            </w:r>
            <w:r w:rsidDel="00000000" w:rsidR="00000000" w:rsidRPr="00000000">
              <w:rPr>
                <w:rtl w:val="0"/>
              </w:rPr>
            </w:r>
          </w:p>
        </w:tc>
      </w:tr>
      <w:tr>
        <w:trPr>
          <w:cantSplit w:val="0"/>
          <w:tblHeader w:val="0"/>
        </w:trPr>
        <w:tc>
          <w:tcPr/>
          <w:p w:rsidR="00000000" w:rsidDel="00000000" w:rsidP="00000000" w:rsidRDefault="00000000" w:rsidRPr="00000000" w14:paraId="0000006A">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10d</w:t>
            </w:r>
            <w:r w:rsidDel="00000000" w:rsidR="00000000" w:rsidRPr="00000000">
              <w:rPr>
                <w:rtl w:val="0"/>
              </w:rPr>
            </w:r>
          </w:p>
        </w:tc>
        <w:tc>
          <w:tcPr/>
          <w:p w:rsidR="00000000" w:rsidDel="00000000" w:rsidP="00000000" w:rsidRDefault="00000000" w:rsidRPr="00000000" w14:paraId="0000006B">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Adverse and unanticipated events.</w:t>
            </w:r>
            <w:r w:rsidDel="00000000" w:rsidR="00000000" w:rsidRPr="00000000">
              <w:rPr>
                <w:rtl w:val="0"/>
              </w:rPr>
            </w:r>
          </w:p>
        </w:tc>
        <w:tc>
          <w:tcPr/>
          <w:p w:rsidR="00000000" w:rsidDel="00000000" w:rsidP="00000000" w:rsidRDefault="00000000" w:rsidRPr="00000000" w14:paraId="0000006C">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6D">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None reported during admission.</w:t>
            </w:r>
            <w:r w:rsidDel="00000000" w:rsidR="00000000" w:rsidRPr="00000000">
              <w:rPr>
                <w:rtl w:val="0"/>
              </w:rPr>
            </w:r>
          </w:p>
        </w:tc>
      </w:tr>
      <w:tr>
        <w:trPr>
          <w:cantSplit w:val="0"/>
          <w:tblHeader w:val="0"/>
        </w:trPr>
        <w:tc>
          <w:tcPr/>
          <w:p w:rsidR="00000000" w:rsidDel="00000000" w:rsidP="00000000" w:rsidRDefault="00000000" w:rsidRPr="00000000" w14:paraId="0000006E">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11a</w:t>
            </w:r>
            <w:r w:rsidDel="00000000" w:rsidR="00000000" w:rsidRPr="00000000">
              <w:rPr>
                <w:rtl w:val="0"/>
              </w:rPr>
            </w:r>
          </w:p>
        </w:tc>
        <w:tc>
          <w:tcPr/>
          <w:p w:rsidR="00000000" w:rsidDel="00000000" w:rsidP="00000000" w:rsidRDefault="00000000" w:rsidRPr="00000000" w14:paraId="0000006F">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Discussion – Strengths and limitations in your approach to this case.</w:t>
            </w:r>
            <w:r w:rsidDel="00000000" w:rsidR="00000000" w:rsidRPr="00000000">
              <w:rPr>
                <w:rtl w:val="0"/>
              </w:rPr>
            </w:r>
          </w:p>
        </w:tc>
        <w:tc>
          <w:tcPr/>
          <w:p w:rsidR="00000000" w:rsidDel="00000000" w:rsidP="00000000" w:rsidRDefault="00000000" w:rsidRPr="00000000" w14:paraId="00000070">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71">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Discussion, Limitations subsection.</w:t>
            </w:r>
            <w:r w:rsidDel="00000000" w:rsidR="00000000" w:rsidRPr="00000000">
              <w:rPr>
                <w:rtl w:val="0"/>
              </w:rPr>
            </w:r>
          </w:p>
        </w:tc>
      </w:tr>
      <w:tr>
        <w:trPr>
          <w:cantSplit w:val="0"/>
          <w:tblHeader w:val="0"/>
        </w:trPr>
        <w:tc>
          <w:tcPr/>
          <w:p w:rsidR="00000000" w:rsidDel="00000000" w:rsidP="00000000" w:rsidRDefault="00000000" w:rsidRPr="00000000" w14:paraId="00000072">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11b</w:t>
            </w:r>
            <w:r w:rsidDel="00000000" w:rsidR="00000000" w:rsidRPr="00000000">
              <w:rPr>
                <w:rtl w:val="0"/>
              </w:rPr>
            </w:r>
          </w:p>
        </w:tc>
        <w:tc>
          <w:tcPr/>
          <w:p w:rsidR="00000000" w:rsidDel="00000000" w:rsidP="00000000" w:rsidRDefault="00000000" w:rsidRPr="00000000" w14:paraId="00000073">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Discussion of the relevant medical literature.</w:t>
            </w:r>
            <w:r w:rsidDel="00000000" w:rsidR="00000000" w:rsidRPr="00000000">
              <w:rPr>
                <w:rtl w:val="0"/>
              </w:rPr>
            </w:r>
          </w:p>
        </w:tc>
        <w:tc>
          <w:tcPr/>
          <w:p w:rsidR="00000000" w:rsidDel="00000000" w:rsidP="00000000" w:rsidRDefault="00000000" w:rsidRPr="00000000" w14:paraId="00000074">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75">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Discussion; dedicated literature-review subsections.</w:t>
            </w:r>
            <w:r w:rsidDel="00000000" w:rsidR="00000000" w:rsidRPr="00000000">
              <w:rPr>
                <w:rtl w:val="0"/>
              </w:rPr>
            </w:r>
          </w:p>
        </w:tc>
      </w:tr>
      <w:tr>
        <w:trPr>
          <w:cantSplit w:val="0"/>
          <w:tblHeader w:val="0"/>
        </w:trPr>
        <w:tc>
          <w:tcPr/>
          <w:p w:rsidR="00000000" w:rsidDel="00000000" w:rsidP="00000000" w:rsidRDefault="00000000" w:rsidRPr="00000000" w14:paraId="00000076">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11c</w:t>
            </w:r>
            <w:r w:rsidDel="00000000" w:rsidR="00000000" w:rsidRPr="00000000">
              <w:rPr>
                <w:rtl w:val="0"/>
              </w:rPr>
            </w:r>
          </w:p>
        </w:tc>
        <w:tc>
          <w:tcPr/>
          <w:p w:rsidR="00000000" w:rsidDel="00000000" w:rsidP="00000000" w:rsidRDefault="00000000" w:rsidRPr="00000000" w14:paraId="00000077">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The rationale for your conclusions.</w:t>
            </w:r>
            <w:r w:rsidDel="00000000" w:rsidR="00000000" w:rsidRPr="00000000">
              <w:rPr>
                <w:rtl w:val="0"/>
              </w:rPr>
            </w:r>
          </w:p>
        </w:tc>
        <w:tc>
          <w:tcPr/>
          <w:p w:rsidR="00000000" w:rsidDel="00000000" w:rsidP="00000000" w:rsidRDefault="00000000" w:rsidRPr="00000000" w14:paraId="00000078">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79">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Discussion, Working hypotheses and Conclusions.</w:t>
            </w:r>
            <w:r w:rsidDel="00000000" w:rsidR="00000000" w:rsidRPr="00000000">
              <w:rPr>
                <w:rtl w:val="0"/>
              </w:rPr>
            </w:r>
          </w:p>
        </w:tc>
      </w:tr>
      <w:tr>
        <w:trPr>
          <w:cantSplit w:val="0"/>
          <w:tblHeader w:val="0"/>
        </w:trPr>
        <w:tc>
          <w:tcPr/>
          <w:p w:rsidR="00000000" w:rsidDel="00000000" w:rsidP="00000000" w:rsidRDefault="00000000" w:rsidRPr="00000000" w14:paraId="0000007A">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11d</w:t>
            </w:r>
            <w:r w:rsidDel="00000000" w:rsidR="00000000" w:rsidRPr="00000000">
              <w:rPr>
                <w:rtl w:val="0"/>
              </w:rPr>
            </w:r>
          </w:p>
        </w:tc>
        <w:tc>
          <w:tcPr/>
          <w:p w:rsidR="00000000" w:rsidDel="00000000" w:rsidP="00000000" w:rsidRDefault="00000000" w:rsidRPr="00000000" w14:paraId="0000007B">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The primary “take-away” lessons from this case report (without references) in a one paragraph conclusion.</w:t>
            </w:r>
            <w:r w:rsidDel="00000000" w:rsidR="00000000" w:rsidRPr="00000000">
              <w:rPr>
                <w:rtl w:val="0"/>
              </w:rPr>
            </w:r>
          </w:p>
        </w:tc>
        <w:tc>
          <w:tcPr/>
          <w:p w:rsidR="00000000" w:rsidDel="00000000" w:rsidP="00000000" w:rsidRDefault="00000000" w:rsidRPr="00000000" w14:paraId="0000007C">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7D">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Conclusions subsection (three teaching points).</w:t>
            </w:r>
            <w:r w:rsidDel="00000000" w:rsidR="00000000" w:rsidRPr="00000000">
              <w:rPr>
                <w:rtl w:val="0"/>
              </w:rPr>
            </w:r>
          </w:p>
        </w:tc>
      </w:tr>
      <w:tr>
        <w:trPr>
          <w:cantSplit w:val="0"/>
          <w:tblHeader w:val="0"/>
        </w:trPr>
        <w:tc>
          <w:tcPr/>
          <w:p w:rsidR="00000000" w:rsidDel="00000000" w:rsidP="00000000" w:rsidRDefault="00000000" w:rsidRPr="00000000" w14:paraId="0000007E">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12</w:t>
            </w:r>
            <w:r w:rsidDel="00000000" w:rsidR="00000000" w:rsidRPr="00000000">
              <w:rPr>
                <w:rtl w:val="0"/>
              </w:rPr>
            </w:r>
          </w:p>
        </w:tc>
        <w:tc>
          <w:tcPr/>
          <w:p w:rsidR="00000000" w:rsidDel="00000000" w:rsidP="00000000" w:rsidRDefault="00000000" w:rsidRPr="00000000" w14:paraId="0000007F">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Patient Perspective – The patient should share their perspective on the treatment(s) they received.</w:t>
            </w:r>
            <w:r w:rsidDel="00000000" w:rsidR="00000000" w:rsidRPr="00000000">
              <w:rPr>
                <w:rtl w:val="0"/>
              </w:rPr>
            </w:r>
          </w:p>
        </w:tc>
        <w:tc>
          <w:tcPr/>
          <w:p w:rsidR="00000000" w:rsidDel="00000000" w:rsidP="00000000" w:rsidRDefault="00000000" w:rsidRPr="00000000" w14:paraId="00000080">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19"/>
                <w:szCs w:val="19"/>
                <w:rtl w:val="0"/>
              </w:rPr>
              <w:t xml:space="preserve">Not applicable</w:t>
            </w:r>
            <w:r w:rsidDel="00000000" w:rsidR="00000000" w:rsidRPr="00000000">
              <w:rPr>
                <w:rtl w:val="0"/>
              </w:rPr>
            </w:r>
          </w:p>
        </w:tc>
        <w:tc>
          <w:tcPr/>
          <w:p w:rsidR="00000000" w:rsidDel="00000000" w:rsidP="00000000" w:rsidRDefault="00000000" w:rsidRPr="00000000" w14:paraId="00000081">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Not included. CARE specifies this item where appropriate; the single telephone contact with the patient addressed clinical follow-up and consent, and no formal perspective statement was obtained.</w:t>
            </w:r>
            <w:r w:rsidDel="00000000" w:rsidR="00000000" w:rsidRPr="00000000">
              <w:rPr>
                <w:rtl w:val="0"/>
              </w:rPr>
            </w:r>
          </w:p>
        </w:tc>
      </w:tr>
      <w:tr>
        <w:trPr>
          <w:cantSplit w:val="0"/>
          <w:tblHeader w:val="0"/>
        </w:trPr>
        <w:tc>
          <w:tcPr/>
          <w:p w:rsidR="00000000" w:rsidDel="00000000" w:rsidP="00000000" w:rsidRDefault="00000000" w:rsidRPr="00000000" w14:paraId="00000082">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13</w:t>
            </w:r>
            <w:r w:rsidDel="00000000" w:rsidR="00000000" w:rsidRPr="00000000">
              <w:rPr>
                <w:rtl w:val="0"/>
              </w:rPr>
            </w:r>
          </w:p>
        </w:tc>
        <w:tc>
          <w:tcPr/>
          <w:p w:rsidR="00000000" w:rsidDel="00000000" w:rsidP="00000000" w:rsidRDefault="00000000" w:rsidRPr="00000000" w14:paraId="00000083">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Informed Consent – The patient should give informed consent. (Provide if requested.)</w:t>
            </w:r>
            <w:r w:rsidDel="00000000" w:rsidR="00000000" w:rsidRPr="00000000">
              <w:rPr>
                <w:rtl w:val="0"/>
              </w:rPr>
            </w:r>
          </w:p>
        </w:tc>
        <w:tc>
          <w:tcPr/>
          <w:p w:rsidR="00000000" w:rsidDel="00000000" w:rsidP="00000000" w:rsidRDefault="00000000" w:rsidRPr="00000000" w14:paraId="00000084">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Yes</w:t>
            </w:r>
            <w:r w:rsidDel="00000000" w:rsidR="00000000" w:rsidRPr="00000000">
              <w:rPr>
                <w:rtl w:val="0"/>
              </w:rPr>
            </w:r>
          </w:p>
        </w:tc>
        <w:tc>
          <w:tcPr/>
          <w:p w:rsidR="00000000" w:rsidDel="00000000" w:rsidP="00000000" w:rsidRDefault="00000000" w:rsidRPr="00000000" w14:paraId="00000085">
            <w:pPr>
              <w:spacing w:after="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9"/>
                <w:szCs w:val="19"/>
                <w:rtl w:val="0"/>
              </w:rPr>
              <w:t xml:space="preserve">Written informed consent for publication obtained from the patient and retained on file; available to the Editor on request. Consent statements appear in Declarations (Consent for publication; Ethics approval and consent to participate).</w:t>
            </w:r>
            <w:r w:rsidDel="00000000" w:rsidR="00000000" w:rsidRPr="00000000">
              <w:rPr>
                <w:rtl w:val="0"/>
              </w:rPr>
            </w:r>
          </w:p>
        </w:tc>
      </w:tr>
    </w:tbl>
    <w:p w:rsidR="00000000" w:rsidDel="00000000" w:rsidP="00000000" w:rsidRDefault="00000000" w:rsidRPr="00000000" w14:paraId="00000086">
      <w:pPr>
        <w:spacing w:after="200" w:line="276" w:lineRule="auto"/>
        <w:rPr/>
      </w:pPr>
      <w:r w:rsidDel="00000000" w:rsidR="00000000" w:rsidRPr="00000000">
        <w:rPr>
          <w:rFonts w:ascii="Times New Roman" w:cs="Times New Roman" w:eastAsia="Times New Roman" w:hAnsi="Times New Roman"/>
          <w:sz w:val="18"/>
          <w:szCs w:val="18"/>
          <w:rtl w:val="0"/>
        </w:rPr>
        <w:t xml:space="preserve">Status key: Yes = fully addressed; Partial = addressed to the extent the available data allow; Not available = item could not be reported because the data were not obtained; Not applicable = item does not apply to this case.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