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575B0" w14:textId="77777777" w:rsidR="00E55535" w:rsidRPr="00DF7CA0" w:rsidRDefault="00E55535" w:rsidP="00E55535">
      <w:pPr>
        <w:bidi w:val="0"/>
        <w:rPr>
          <w:rStyle w:val="Strong"/>
          <w:rFonts w:ascii="Segoe UI" w:hAnsi="Segoe UI" w:cs="Segoe UI"/>
          <w:b w:val="0"/>
          <w:bCs w:val="0"/>
          <w:color w:val="0F1115"/>
          <w:shd w:val="clear" w:color="auto" w:fill="FFFFFF"/>
          <w:rtl/>
        </w:rPr>
      </w:pPr>
      <w:r w:rsidRPr="00DF7CA0">
        <w:rPr>
          <w:rStyle w:val="Strong"/>
          <w:rFonts w:ascii="Segoe UI" w:hAnsi="Segoe UI" w:cs="Segoe UI"/>
          <w:b w:val="0"/>
          <w:bCs w:val="0"/>
          <w:color w:val="0F1115"/>
          <w:shd w:val="clear" w:color="auto" w:fill="FFFFFF"/>
        </w:rPr>
        <w:t>Appendix A: Commonly Accepted Thresholds for Model Fit Indices</w:t>
      </w:r>
    </w:p>
    <w:p w14:paraId="6130B11C" w14:textId="77777777" w:rsidR="00E55535" w:rsidRPr="00DF7CA0" w:rsidRDefault="00E55535" w:rsidP="00E55535">
      <w:pPr>
        <w:bidi w:val="0"/>
        <w:rPr>
          <w:rFonts w:asciiTheme="majorBidi" w:hAnsiTheme="majorBidi" w:cstheme="majorBidi"/>
          <w:b/>
          <w:bCs/>
          <w:i/>
          <w:iCs/>
        </w:rPr>
      </w:pPr>
      <w:r w:rsidRPr="00DF7CA0">
        <w:rPr>
          <w:rStyle w:val="Strong"/>
          <w:rFonts w:asciiTheme="majorBidi" w:hAnsiTheme="majorBidi" w:cstheme="majorBidi"/>
          <w:color w:val="0F1115"/>
          <w:shd w:val="clear" w:color="auto" w:fill="FFFFFF"/>
        </w:rPr>
        <w:t>Table A1.</w:t>
      </w:r>
      <w:r w:rsidRPr="00DF7CA0">
        <w:rPr>
          <w:rFonts w:asciiTheme="majorBidi" w:hAnsiTheme="majorBidi" w:cstheme="majorBidi"/>
          <w:color w:val="0F1115"/>
          <w:shd w:val="clear" w:color="auto" w:fill="FFFFFF"/>
        </w:rPr>
        <w:t> Commonly accepted thresholds for structural equation modeling fit indices.</w:t>
      </w:r>
      <w:r w:rsidRPr="00DF7CA0">
        <w:rPr>
          <w:rFonts w:asciiTheme="majorBidi" w:hAnsiTheme="majorBidi" w:cstheme="majorBidi"/>
          <w:color w:val="0F1115"/>
        </w:rPr>
        <w:br/>
      </w:r>
      <w:r w:rsidRPr="00DF7CA0">
        <w:rPr>
          <w:rStyle w:val="Emphasis"/>
          <w:rFonts w:asciiTheme="majorBidi" w:hAnsiTheme="majorBidi" w:cstheme="majorBidi"/>
          <w:i w:val="0"/>
          <w:iCs w:val="0"/>
          <w:color w:val="0F1115"/>
          <w:shd w:val="clear" w:color="auto" w:fill="FFFFFF"/>
        </w:rPr>
        <w:t>This table provides the suggested thresholds for fit indices such as CFI, RMSEA, SRMR, and others. These values serve as criteria for evaluating the quality of fit for structural models and form the basis for accepting or rejecting the research model</w:t>
      </w:r>
      <w:r w:rsidRPr="00DF7CA0">
        <w:rPr>
          <w:rStyle w:val="Emphasis"/>
          <w:rFonts w:asciiTheme="majorBidi" w:hAnsiTheme="majorBidi" w:cstheme="majorBidi"/>
          <w:i w:val="0"/>
          <w:iCs w:val="0"/>
          <w:color w:val="0F1115"/>
          <w:shd w:val="clear" w:color="auto" w:fill="FFFFFF"/>
        </w:rPr>
        <w:fldChar w:fldCharType="begin"/>
      </w:r>
      <w:r>
        <w:rPr>
          <w:rStyle w:val="Emphasis"/>
          <w:rFonts w:asciiTheme="majorBidi" w:hAnsiTheme="majorBidi" w:cstheme="majorBidi"/>
          <w:i w:val="0"/>
          <w:iCs w:val="0"/>
          <w:color w:val="0F1115"/>
          <w:shd w:val="clear" w:color="auto" w:fill="FFFFFF"/>
        </w:rPr>
        <w:instrText xml:space="preserve"> ADDIN EN.CITE &lt;EndNote&gt;&lt;Cite&gt;&lt;Author&gt;Hu&lt;/Author&gt;&lt;Year&gt;1999&lt;/Year&gt;&lt;RecNum&gt;171&lt;/RecNum&gt;&lt;DisplayText&gt;[65, 79]&lt;/DisplayText&gt;&lt;record&gt;&lt;rec-number&gt;171&lt;/rec-number&gt;&lt;foreign-keys&gt;&lt;key app="EN" db-id="sepdspt29xvaz1eteps5sae105rrse2552zp" timestamp="1753992162"&gt;171&lt;/key&gt;&lt;/foreign-keys&gt;&lt;ref-type name="Journal Article"&gt;17&lt;/ref-type&gt;&lt;contributors&gt;&lt;authors&gt;&lt;author&gt;Hu, Li‐tze&lt;/author&gt;&lt;author&gt;Bentler, Peter M&lt;/author&gt;&lt;/authors&gt;&lt;/contributors&gt;&lt;titles&gt;&lt;title&gt;Cutoff criteria for fit indexes in covariance structure analysis: Conventional criteria versus new alternatives&lt;/title&gt;&lt;secondary-title&gt;Structural equation modeling: a multidisciplinary journal&lt;/secondary-title&gt;&lt;/titles&gt;&lt;periodical&gt;&lt;full-title&gt;Structural equation modeling: a multidisciplinary journal&lt;/full-title&gt;&lt;/periodical&gt;&lt;pages&gt;1-55&lt;/pages&gt;&lt;volume&gt;6&lt;/volume&gt;&lt;number&gt;1&lt;/number&gt;&lt;dates&gt;&lt;year&gt;1999&lt;/year&gt;&lt;/dates&gt;&lt;isbn&gt;1070-5511&lt;/isbn&gt;&lt;urls&gt;&lt;/urls&gt;&lt;/record&gt;&lt;/Cite&gt;&lt;Cite&gt;&lt;Author&gt;Abd-El-Fattah&lt;/Author&gt;&lt;Year&gt;2010&lt;/Year&gt;&lt;RecNum&gt;172&lt;/RecNum&gt;&lt;record&gt;&lt;rec-number&gt;172&lt;/rec-number&gt;&lt;foreign-keys&gt;&lt;key app="EN" db-id="sepdspt29xvaz1eteps5sae105rrse2552zp" timestamp="1753992309"&gt;172&lt;/key&gt;&lt;/foreign-keys&gt;&lt;ref-type name="Journal Article"&gt;17&lt;/ref-type&gt;&lt;contributors&gt;&lt;authors&gt;&lt;author&gt;Abd-El-Fattah, Sabry M&lt;/author&gt;&lt;/authors&gt;&lt;/contributors&gt;&lt;titles&gt;&lt;title&gt;Structural equation modeling with AMOS: basic concepts, applications and programming&lt;/title&gt;&lt;secondary-title&gt;Journal of applied quantitative methods&lt;/secondary-title&gt;&lt;/titles&gt;&lt;periodical&gt;&lt;full-title&gt;Journal of applied quantitative methods&lt;/full-title&gt;&lt;/periodical&gt;&lt;pages&gt;365-368&lt;/pages&gt;&lt;volume&gt;5&lt;/volume&gt;&lt;number&gt;2&lt;/number&gt;&lt;dates&gt;&lt;year&gt;2010&lt;/year&gt;&lt;/dates&gt;&lt;isbn&gt;1842-4562&lt;/isbn&gt;&lt;urls&gt;&lt;/urls&gt;&lt;/record&gt;&lt;/Cite&gt;&lt;/EndNote&gt;</w:instrText>
      </w:r>
      <w:r w:rsidRPr="00DF7CA0">
        <w:rPr>
          <w:rStyle w:val="Emphasis"/>
          <w:rFonts w:asciiTheme="majorBidi" w:hAnsiTheme="majorBidi" w:cstheme="majorBidi"/>
          <w:i w:val="0"/>
          <w:iCs w:val="0"/>
          <w:color w:val="0F1115"/>
          <w:shd w:val="clear" w:color="auto" w:fill="FFFFFF"/>
        </w:rPr>
        <w:fldChar w:fldCharType="separate"/>
      </w:r>
      <w:r>
        <w:rPr>
          <w:rStyle w:val="Emphasis"/>
          <w:rFonts w:asciiTheme="majorBidi" w:hAnsiTheme="majorBidi" w:cstheme="majorBidi"/>
          <w:i w:val="0"/>
          <w:iCs w:val="0"/>
          <w:noProof/>
          <w:color w:val="0F1115"/>
          <w:shd w:val="clear" w:color="auto" w:fill="FFFFFF"/>
        </w:rPr>
        <w:t>[65, 79]</w:t>
      </w:r>
      <w:r w:rsidRPr="00DF7CA0">
        <w:rPr>
          <w:rStyle w:val="Emphasis"/>
          <w:rFonts w:asciiTheme="majorBidi" w:hAnsiTheme="majorBidi" w:cstheme="majorBidi"/>
          <w:i w:val="0"/>
          <w:iCs w:val="0"/>
          <w:color w:val="0F1115"/>
          <w:shd w:val="clear" w:color="auto" w:fill="FFFFFF"/>
        </w:rPr>
        <w:fldChar w:fldCharType="end"/>
      </w:r>
      <w:r w:rsidRPr="00DF7CA0">
        <w:rPr>
          <w:rFonts w:asciiTheme="majorBidi" w:hAnsiTheme="majorBidi" w:cstheme="majorBidi"/>
          <w:i/>
          <w:iCs/>
          <w:color w:val="0F1115"/>
          <w:shd w:val="clear" w:color="auto" w:fill="FFFFFF"/>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35"/>
        <w:gridCol w:w="2754"/>
        <w:gridCol w:w="5244"/>
      </w:tblGrid>
      <w:tr w:rsidR="00E55535" w:rsidRPr="00DF7CA0" w14:paraId="21965590" w14:textId="77777777" w:rsidTr="00AA4CD0">
        <w:trPr>
          <w:tblHeader/>
          <w:tblCellSpacing w:w="15" w:type="dxa"/>
        </w:trPr>
        <w:tc>
          <w:tcPr>
            <w:tcW w:w="0" w:type="auto"/>
            <w:tcBorders>
              <w:top w:val="single" w:sz="4" w:space="0" w:color="auto"/>
              <w:bottom w:val="single" w:sz="4" w:space="0" w:color="auto"/>
            </w:tcBorders>
            <w:vAlign w:val="center"/>
            <w:hideMark/>
          </w:tcPr>
          <w:p w14:paraId="240766A6" w14:textId="77777777" w:rsidR="00E55535" w:rsidRPr="00DF7CA0" w:rsidRDefault="00E55535" w:rsidP="00AA4CD0">
            <w:pPr>
              <w:bidi w:val="0"/>
              <w:rPr>
                <w:rFonts w:cstheme="minorHAnsi"/>
              </w:rPr>
            </w:pPr>
            <w:r w:rsidRPr="00DF7CA0">
              <w:rPr>
                <w:rFonts w:cstheme="minorHAnsi"/>
              </w:rPr>
              <w:t>Fit Indices</w:t>
            </w:r>
          </w:p>
        </w:tc>
        <w:tc>
          <w:tcPr>
            <w:tcW w:w="0" w:type="auto"/>
            <w:tcBorders>
              <w:top w:val="single" w:sz="4" w:space="0" w:color="auto"/>
              <w:bottom w:val="single" w:sz="4" w:space="0" w:color="auto"/>
            </w:tcBorders>
            <w:vAlign w:val="center"/>
            <w:hideMark/>
          </w:tcPr>
          <w:p w14:paraId="4AF9C239" w14:textId="77777777" w:rsidR="00E55535" w:rsidRPr="00DF7CA0" w:rsidRDefault="00E55535" w:rsidP="00AA4CD0">
            <w:pPr>
              <w:bidi w:val="0"/>
              <w:rPr>
                <w:rFonts w:cstheme="minorHAnsi"/>
              </w:rPr>
            </w:pPr>
            <w:r w:rsidRPr="00DF7CA0">
              <w:rPr>
                <w:rFonts w:cstheme="minorHAnsi"/>
              </w:rPr>
              <w:t>Source (Authors)</w:t>
            </w:r>
          </w:p>
        </w:tc>
        <w:tc>
          <w:tcPr>
            <w:tcW w:w="0" w:type="auto"/>
            <w:tcBorders>
              <w:top w:val="single" w:sz="4" w:space="0" w:color="auto"/>
              <w:bottom w:val="single" w:sz="4" w:space="0" w:color="auto"/>
            </w:tcBorders>
            <w:vAlign w:val="center"/>
            <w:hideMark/>
          </w:tcPr>
          <w:p w14:paraId="6A9CEF54" w14:textId="77777777" w:rsidR="00E55535" w:rsidRPr="00DF7CA0" w:rsidRDefault="00E55535" w:rsidP="00AA4CD0">
            <w:pPr>
              <w:bidi w:val="0"/>
              <w:rPr>
                <w:rFonts w:cstheme="minorHAnsi"/>
              </w:rPr>
            </w:pPr>
            <w:r w:rsidRPr="00DF7CA0">
              <w:rPr>
                <w:rFonts w:cstheme="minorHAnsi"/>
              </w:rPr>
              <w:t>Suggested Values</w:t>
            </w:r>
          </w:p>
        </w:tc>
      </w:tr>
      <w:tr w:rsidR="00E55535" w:rsidRPr="00DF7CA0" w14:paraId="6CA757A8" w14:textId="77777777" w:rsidTr="00AA4CD0">
        <w:trPr>
          <w:tblCellSpacing w:w="15" w:type="dxa"/>
        </w:trPr>
        <w:tc>
          <w:tcPr>
            <w:tcW w:w="0" w:type="auto"/>
            <w:vAlign w:val="center"/>
            <w:hideMark/>
          </w:tcPr>
          <w:p w14:paraId="1F5D4C4E" w14:textId="77777777" w:rsidR="00E55535" w:rsidRPr="00DF7CA0" w:rsidRDefault="00E55535" w:rsidP="00AA4CD0">
            <w:pPr>
              <w:bidi w:val="0"/>
              <w:rPr>
                <w:rFonts w:cstheme="minorHAnsi"/>
              </w:rPr>
            </w:pPr>
            <w:r w:rsidRPr="00DF7CA0">
              <w:rPr>
                <w:rFonts w:cstheme="minorHAnsi"/>
              </w:rPr>
              <w:t>X2</w:t>
            </w:r>
          </w:p>
        </w:tc>
        <w:tc>
          <w:tcPr>
            <w:tcW w:w="0" w:type="auto"/>
            <w:vAlign w:val="center"/>
            <w:hideMark/>
          </w:tcPr>
          <w:p w14:paraId="594521C1" w14:textId="77777777" w:rsidR="00E55535" w:rsidRPr="00DF7CA0" w:rsidRDefault="00E55535" w:rsidP="00AA4CD0">
            <w:pPr>
              <w:bidi w:val="0"/>
              <w:rPr>
                <w:rFonts w:cstheme="minorHAnsi"/>
              </w:rPr>
            </w:pPr>
            <w:r w:rsidRPr="00DF7CA0">
              <w:rPr>
                <w:rFonts w:cstheme="minorHAnsi"/>
              </w:rPr>
              <w:t>Meyers et al. (2005)</w:t>
            </w:r>
          </w:p>
        </w:tc>
        <w:tc>
          <w:tcPr>
            <w:tcW w:w="0" w:type="auto"/>
            <w:vAlign w:val="center"/>
            <w:hideMark/>
          </w:tcPr>
          <w:p w14:paraId="4C2CC5A6" w14:textId="77777777" w:rsidR="00E55535" w:rsidRPr="00DF7CA0" w:rsidRDefault="00E55535" w:rsidP="00AA4CD0">
            <w:pPr>
              <w:bidi w:val="0"/>
              <w:rPr>
                <w:rFonts w:cstheme="minorHAnsi"/>
              </w:rPr>
            </w:pPr>
            <w:r w:rsidRPr="00DF7CA0">
              <w:rPr>
                <w:rFonts w:cstheme="minorHAnsi"/>
              </w:rPr>
              <w:t>p-value &gt; 0.05</w:t>
            </w:r>
          </w:p>
        </w:tc>
      </w:tr>
      <w:tr w:rsidR="00E55535" w:rsidRPr="00DF7CA0" w14:paraId="547A534A" w14:textId="77777777" w:rsidTr="00AA4CD0">
        <w:trPr>
          <w:tblCellSpacing w:w="15" w:type="dxa"/>
        </w:trPr>
        <w:tc>
          <w:tcPr>
            <w:tcW w:w="0" w:type="auto"/>
            <w:vAlign w:val="center"/>
            <w:hideMark/>
          </w:tcPr>
          <w:p w14:paraId="6ADAA683" w14:textId="77777777" w:rsidR="00E55535" w:rsidRPr="00DF7CA0" w:rsidRDefault="00E55535" w:rsidP="00AA4CD0">
            <w:pPr>
              <w:bidi w:val="0"/>
              <w:rPr>
                <w:rFonts w:cstheme="minorHAnsi"/>
              </w:rPr>
            </w:pPr>
            <w:r w:rsidRPr="00DF7CA0">
              <w:rPr>
                <w:rFonts w:cstheme="minorHAnsi"/>
              </w:rPr>
              <w:t>CMIN/DF</w:t>
            </w:r>
          </w:p>
        </w:tc>
        <w:tc>
          <w:tcPr>
            <w:tcW w:w="0" w:type="auto"/>
            <w:vAlign w:val="center"/>
            <w:hideMark/>
          </w:tcPr>
          <w:p w14:paraId="6132F1BD" w14:textId="77777777" w:rsidR="00E55535" w:rsidRPr="00DF7CA0" w:rsidRDefault="00E55535" w:rsidP="00AA4CD0">
            <w:pPr>
              <w:bidi w:val="0"/>
              <w:rPr>
                <w:rFonts w:cstheme="minorHAnsi"/>
              </w:rPr>
            </w:pPr>
            <w:r w:rsidRPr="00DF7CA0">
              <w:rPr>
                <w:rFonts w:cstheme="minorHAnsi"/>
              </w:rPr>
              <w:t>Marsh &amp; Hocevar (1985)</w:t>
            </w:r>
          </w:p>
        </w:tc>
        <w:tc>
          <w:tcPr>
            <w:tcW w:w="0" w:type="auto"/>
            <w:vAlign w:val="center"/>
            <w:hideMark/>
          </w:tcPr>
          <w:p w14:paraId="7A70CD21" w14:textId="77777777" w:rsidR="00E55535" w:rsidRPr="00DF7CA0" w:rsidRDefault="00E55535" w:rsidP="00AA4CD0">
            <w:pPr>
              <w:bidi w:val="0"/>
              <w:rPr>
                <w:rFonts w:cstheme="minorHAnsi"/>
              </w:rPr>
            </w:pPr>
            <w:r w:rsidRPr="00DF7CA0">
              <w:rPr>
                <w:rFonts w:cstheme="minorHAnsi"/>
              </w:rPr>
              <w:t>&lt; 5</w:t>
            </w:r>
          </w:p>
        </w:tc>
      </w:tr>
      <w:tr w:rsidR="00E55535" w:rsidRPr="00DF7CA0" w14:paraId="2D9FE9BC" w14:textId="77777777" w:rsidTr="00AA4CD0">
        <w:trPr>
          <w:tblCellSpacing w:w="15" w:type="dxa"/>
        </w:trPr>
        <w:tc>
          <w:tcPr>
            <w:tcW w:w="0" w:type="auto"/>
            <w:vAlign w:val="center"/>
            <w:hideMark/>
          </w:tcPr>
          <w:p w14:paraId="73DA11BA" w14:textId="77777777" w:rsidR="00E55535" w:rsidRPr="00DF7CA0" w:rsidRDefault="00E55535" w:rsidP="00AA4CD0">
            <w:pPr>
              <w:bidi w:val="0"/>
              <w:rPr>
                <w:rFonts w:cstheme="minorHAnsi"/>
              </w:rPr>
            </w:pPr>
          </w:p>
        </w:tc>
        <w:tc>
          <w:tcPr>
            <w:tcW w:w="0" w:type="auto"/>
            <w:vAlign w:val="center"/>
            <w:hideMark/>
          </w:tcPr>
          <w:p w14:paraId="0FE6F03A" w14:textId="77777777" w:rsidR="00E55535" w:rsidRPr="00DF7CA0" w:rsidRDefault="00E55535" w:rsidP="00AA4CD0">
            <w:pPr>
              <w:bidi w:val="0"/>
              <w:rPr>
                <w:rFonts w:cstheme="minorHAnsi"/>
              </w:rPr>
            </w:pPr>
            <w:r w:rsidRPr="00DF7CA0">
              <w:rPr>
                <w:rFonts w:cstheme="minorHAnsi"/>
              </w:rPr>
              <w:t>Bentler (1990)</w:t>
            </w:r>
          </w:p>
        </w:tc>
        <w:tc>
          <w:tcPr>
            <w:tcW w:w="0" w:type="auto"/>
            <w:vAlign w:val="center"/>
            <w:hideMark/>
          </w:tcPr>
          <w:p w14:paraId="299AAB07" w14:textId="77777777" w:rsidR="00E55535" w:rsidRPr="00DF7CA0" w:rsidRDefault="00E55535" w:rsidP="00AA4CD0">
            <w:pPr>
              <w:bidi w:val="0"/>
              <w:rPr>
                <w:rFonts w:cstheme="minorHAnsi"/>
              </w:rPr>
            </w:pPr>
            <w:r w:rsidRPr="00DF7CA0">
              <w:rPr>
                <w:rFonts w:cstheme="minorHAnsi"/>
              </w:rPr>
              <w:t>&lt; 5 reported if n &gt; 200</w:t>
            </w:r>
          </w:p>
        </w:tc>
      </w:tr>
      <w:tr w:rsidR="00E55535" w:rsidRPr="00DF7CA0" w14:paraId="418CB28C" w14:textId="77777777" w:rsidTr="00AA4CD0">
        <w:trPr>
          <w:tblCellSpacing w:w="15" w:type="dxa"/>
        </w:trPr>
        <w:tc>
          <w:tcPr>
            <w:tcW w:w="0" w:type="auto"/>
            <w:vAlign w:val="center"/>
            <w:hideMark/>
          </w:tcPr>
          <w:p w14:paraId="6AD6A1FE" w14:textId="77777777" w:rsidR="00E55535" w:rsidRPr="00DF7CA0" w:rsidRDefault="00E55535" w:rsidP="00AA4CD0">
            <w:pPr>
              <w:bidi w:val="0"/>
              <w:rPr>
                <w:rFonts w:cstheme="minorHAnsi"/>
              </w:rPr>
            </w:pPr>
          </w:p>
        </w:tc>
        <w:tc>
          <w:tcPr>
            <w:tcW w:w="0" w:type="auto"/>
            <w:vAlign w:val="center"/>
            <w:hideMark/>
          </w:tcPr>
          <w:p w14:paraId="47117F2A" w14:textId="77777777" w:rsidR="00E55535" w:rsidRPr="00DF7CA0" w:rsidRDefault="00E55535" w:rsidP="00AA4CD0">
            <w:pPr>
              <w:bidi w:val="0"/>
              <w:rPr>
                <w:rFonts w:cstheme="minorHAnsi"/>
              </w:rPr>
            </w:pPr>
            <w:r w:rsidRPr="00DF7CA0">
              <w:rPr>
                <w:rFonts w:cstheme="minorHAnsi"/>
              </w:rPr>
              <w:t>Hair et al. (2009)</w:t>
            </w:r>
          </w:p>
        </w:tc>
        <w:tc>
          <w:tcPr>
            <w:tcW w:w="0" w:type="auto"/>
            <w:vAlign w:val="center"/>
            <w:hideMark/>
          </w:tcPr>
          <w:p w14:paraId="05484BB3" w14:textId="77777777" w:rsidR="00E55535" w:rsidRPr="00DF7CA0" w:rsidRDefault="00E55535" w:rsidP="00AA4CD0">
            <w:pPr>
              <w:bidi w:val="0"/>
              <w:rPr>
                <w:rFonts w:cstheme="minorHAnsi"/>
              </w:rPr>
            </w:pPr>
            <w:r w:rsidRPr="00DF7CA0">
              <w:rPr>
                <w:rFonts w:cstheme="minorHAnsi"/>
              </w:rPr>
              <w:t>&lt; 3 Good; &lt; 5 sometimes acceptable</w:t>
            </w:r>
          </w:p>
        </w:tc>
      </w:tr>
      <w:tr w:rsidR="00E55535" w:rsidRPr="00DF7CA0" w14:paraId="43639BA9" w14:textId="77777777" w:rsidTr="00AA4CD0">
        <w:trPr>
          <w:tblCellSpacing w:w="15" w:type="dxa"/>
        </w:trPr>
        <w:tc>
          <w:tcPr>
            <w:tcW w:w="0" w:type="auto"/>
            <w:vAlign w:val="center"/>
            <w:hideMark/>
          </w:tcPr>
          <w:p w14:paraId="4DAA7841" w14:textId="77777777" w:rsidR="00E55535" w:rsidRPr="00DF7CA0" w:rsidRDefault="00E55535" w:rsidP="00AA4CD0">
            <w:pPr>
              <w:bidi w:val="0"/>
              <w:rPr>
                <w:rFonts w:cstheme="minorHAnsi"/>
              </w:rPr>
            </w:pPr>
            <w:r w:rsidRPr="00DF7CA0">
              <w:rPr>
                <w:rFonts w:cstheme="minorHAnsi"/>
              </w:rPr>
              <w:t>CFI</w:t>
            </w:r>
          </w:p>
        </w:tc>
        <w:tc>
          <w:tcPr>
            <w:tcW w:w="0" w:type="auto"/>
            <w:vAlign w:val="center"/>
            <w:hideMark/>
          </w:tcPr>
          <w:p w14:paraId="1FD435D3" w14:textId="77777777" w:rsidR="00E55535" w:rsidRPr="00DF7CA0" w:rsidRDefault="00E55535" w:rsidP="00AA4CD0">
            <w:pPr>
              <w:bidi w:val="0"/>
              <w:rPr>
                <w:rFonts w:cstheme="minorHAnsi"/>
              </w:rPr>
            </w:pPr>
            <w:r w:rsidRPr="00DF7CA0">
              <w:rPr>
                <w:rFonts w:cstheme="minorHAnsi"/>
              </w:rPr>
              <w:t>Chain (1997)</w:t>
            </w:r>
          </w:p>
        </w:tc>
        <w:tc>
          <w:tcPr>
            <w:tcW w:w="0" w:type="auto"/>
            <w:vAlign w:val="center"/>
            <w:hideMark/>
          </w:tcPr>
          <w:p w14:paraId="2B219BD2" w14:textId="77777777" w:rsidR="00E55535" w:rsidRPr="00DF7CA0" w:rsidRDefault="00E55535" w:rsidP="00AA4CD0">
            <w:pPr>
              <w:bidi w:val="0"/>
              <w:rPr>
                <w:rFonts w:cstheme="minorHAnsi"/>
              </w:rPr>
            </w:pPr>
            <w:r w:rsidRPr="00DF7CA0">
              <w:rPr>
                <w:rFonts w:cstheme="minorHAnsi"/>
              </w:rPr>
              <w:t>&gt; 0.90</w:t>
            </w:r>
          </w:p>
        </w:tc>
      </w:tr>
      <w:tr w:rsidR="00E55535" w:rsidRPr="00DF7CA0" w14:paraId="2341B7B4" w14:textId="77777777" w:rsidTr="00AA4CD0">
        <w:trPr>
          <w:tblCellSpacing w:w="15" w:type="dxa"/>
        </w:trPr>
        <w:tc>
          <w:tcPr>
            <w:tcW w:w="0" w:type="auto"/>
            <w:vAlign w:val="center"/>
            <w:hideMark/>
          </w:tcPr>
          <w:p w14:paraId="5F576A19" w14:textId="77777777" w:rsidR="00E55535" w:rsidRPr="00DF7CA0" w:rsidRDefault="00E55535" w:rsidP="00AA4CD0">
            <w:pPr>
              <w:bidi w:val="0"/>
              <w:rPr>
                <w:rFonts w:cstheme="minorHAnsi"/>
              </w:rPr>
            </w:pPr>
          </w:p>
        </w:tc>
        <w:tc>
          <w:tcPr>
            <w:tcW w:w="0" w:type="auto"/>
            <w:vAlign w:val="center"/>
            <w:hideMark/>
          </w:tcPr>
          <w:p w14:paraId="378E3AC4" w14:textId="77777777" w:rsidR="00E55535" w:rsidRPr="00DF7CA0" w:rsidRDefault="00E55535" w:rsidP="00AA4CD0">
            <w:pPr>
              <w:bidi w:val="0"/>
              <w:rPr>
                <w:rFonts w:cstheme="minorHAnsi"/>
              </w:rPr>
            </w:pPr>
            <w:r w:rsidRPr="00DF7CA0">
              <w:rPr>
                <w:rFonts w:cstheme="minorHAnsi"/>
              </w:rPr>
              <w:t>Sears &amp; Geover (1993)</w:t>
            </w:r>
          </w:p>
        </w:tc>
        <w:tc>
          <w:tcPr>
            <w:tcW w:w="0" w:type="auto"/>
            <w:vAlign w:val="center"/>
            <w:hideMark/>
          </w:tcPr>
          <w:p w14:paraId="66714A71" w14:textId="77777777" w:rsidR="00E55535" w:rsidRPr="00DF7CA0" w:rsidRDefault="00E55535" w:rsidP="00AA4CD0">
            <w:pPr>
              <w:bidi w:val="0"/>
              <w:rPr>
                <w:rFonts w:cstheme="minorHAnsi"/>
              </w:rPr>
            </w:pPr>
            <w:r w:rsidRPr="00DF7CA0">
              <w:rPr>
                <w:rFonts w:cstheme="minorHAnsi"/>
              </w:rPr>
              <w:t>&gt; 0.90</w:t>
            </w:r>
          </w:p>
        </w:tc>
      </w:tr>
      <w:tr w:rsidR="00E55535" w:rsidRPr="00DF7CA0" w14:paraId="70A26AEF" w14:textId="77777777" w:rsidTr="00AA4CD0">
        <w:trPr>
          <w:tblCellSpacing w:w="15" w:type="dxa"/>
        </w:trPr>
        <w:tc>
          <w:tcPr>
            <w:tcW w:w="0" w:type="auto"/>
            <w:vAlign w:val="center"/>
            <w:hideMark/>
          </w:tcPr>
          <w:p w14:paraId="2B314863" w14:textId="77777777" w:rsidR="00E55535" w:rsidRPr="00DF7CA0" w:rsidRDefault="00E55535" w:rsidP="00AA4CD0">
            <w:pPr>
              <w:bidi w:val="0"/>
              <w:rPr>
                <w:rFonts w:cstheme="minorHAnsi"/>
              </w:rPr>
            </w:pPr>
          </w:p>
        </w:tc>
        <w:tc>
          <w:tcPr>
            <w:tcW w:w="0" w:type="auto"/>
            <w:vAlign w:val="center"/>
            <w:hideMark/>
          </w:tcPr>
          <w:p w14:paraId="1CB2C932" w14:textId="77777777" w:rsidR="00E55535" w:rsidRPr="00DF7CA0" w:rsidRDefault="00E55535" w:rsidP="00AA4CD0">
            <w:pPr>
              <w:bidi w:val="0"/>
              <w:rPr>
                <w:rFonts w:cstheme="minorHAnsi"/>
              </w:rPr>
            </w:pPr>
            <w:r w:rsidRPr="00DF7CA0">
              <w:rPr>
                <w:rFonts w:cstheme="minorHAnsi"/>
              </w:rPr>
              <w:t>Bentler (1990)</w:t>
            </w:r>
          </w:p>
        </w:tc>
        <w:tc>
          <w:tcPr>
            <w:tcW w:w="0" w:type="auto"/>
            <w:vAlign w:val="center"/>
            <w:hideMark/>
          </w:tcPr>
          <w:p w14:paraId="11DD44BB" w14:textId="77777777" w:rsidR="00E55535" w:rsidRPr="00DF7CA0" w:rsidRDefault="00E55535" w:rsidP="00AA4CD0">
            <w:pPr>
              <w:bidi w:val="0"/>
              <w:rPr>
                <w:rFonts w:cstheme="minorHAnsi"/>
              </w:rPr>
            </w:pPr>
            <w:r w:rsidRPr="00DF7CA0">
              <w:rPr>
                <w:rFonts w:cstheme="minorHAnsi"/>
              </w:rPr>
              <w:t>&gt; 0.90</w:t>
            </w:r>
          </w:p>
        </w:tc>
      </w:tr>
      <w:tr w:rsidR="00E55535" w:rsidRPr="00DF7CA0" w14:paraId="3C1F8723" w14:textId="77777777" w:rsidTr="00AA4CD0">
        <w:trPr>
          <w:tblCellSpacing w:w="15" w:type="dxa"/>
        </w:trPr>
        <w:tc>
          <w:tcPr>
            <w:tcW w:w="0" w:type="auto"/>
            <w:vAlign w:val="center"/>
            <w:hideMark/>
          </w:tcPr>
          <w:p w14:paraId="21ED4B16" w14:textId="77777777" w:rsidR="00E55535" w:rsidRPr="00DF7CA0" w:rsidRDefault="00E55535" w:rsidP="00AA4CD0">
            <w:pPr>
              <w:bidi w:val="0"/>
              <w:rPr>
                <w:rFonts w:cstheme="minorHAnsi"/>
              </w:rPr>
            </w:pPr>
          </w:p>
        </w:tc>
        <w:tc>
          <w:tcPr>
            <w:tcW w:w="0" w:type="auto"/>
            <w:vAlign w:val="center"/>
            <w:hideMark/>
          </w:tcPr>
          <w:p w14:paraId="27665300" w14:textId="77777777" w:rsidR="00E55535" w:rsidRPr="00DF7CA0" w:rsidRDefault="00E55535" w:rsidP="00AA4CD0">
            <w:pPr>
              <w:bidi w:val="0"/>
              <w:rPr>
                <w:rFonts w:cstheme="minorHAnsi"/>
              </w:rPr>
            </w:pPr>
            <w:r w:rsidRPr="00DF7CA0">
              <w:rPr>
                <w:rFonts w:cstheme="minorHAnsi"/>
              </w:rPr>
              <w:t>Hatcher (1994)</w:t>
            </w:r>
          </w:p>
        </w:tc>
        <w:tc>
          <w:tcPr>
            <w:tcW w:w="0" w:type="auto"/>
            <w:vAlign w:val="center"/>
            <w:hideMark/>
          </w:tcPr>
          <w:p w14:paraId="1B8AEFD5" w14:textId="77777777" w:rsidR="00E55535" w:rsidRPr="00DF7CA0" w:rsidRDefault="00E55535" w:rsidP="00AA4CD0">
            <w:pPr>
              <w:bidi w:val="0"/>
              <w:rPr>
                <w:rFonts w:cstheme="minorHAnsi"/>
              </w:rPr>
            </w:pPr>
            <w:r w:rsidRPr="00DF7CA0">
              <w:rPr>
                <w:rFonts w:cstheme="minorHAnsi"/>
              </w:rPr>
              <w:t>&gt; 0.90</w:t>
            </w:r>
          </w:p>
        </w:tc>
      </w:tr>
      <w:tr w:rsidR="00E55535" w:rsidRPr="00DF7CA0" w14:paraId="681E4C49" w14:textId="77777777" w:rsidTr="00AA4CD0">
        <w:trPr>
          <w:tblCellSpacing w:w="15" w:type="dxa"/>
        </w:trPr>
        <w:tc>
          <w:tcPr>
            <w:tcW w:w="0" w:type="auto"/>
            <w:vAlign w:val="center"/>
            <w:hideMark/>
          </w:tcPr>
          <w:p w14:paraId="20900B81" w14:textId="77777777" w:rsidR="00E55535" w:rsidRPr="00DF7CA0" w:rsidRDefault="00E55535" w:rsidP="00AA4CD0">
            <w:pPr>
              <w:bidi w:val="0"/>
              <w:rPr>
                <w:rFonts w:cstheme="minorHAnsi"/>
              </w:rPr>
            </w:pPr>
            <w:r w:rsidRPr="00DF7CA0">
              <w:rPr>
                <w:rFonts w:cstheme="minorHAnsi"/>
              </w:rPr>
              <w:t>RMSEA</w:t>
            </w:r>
          </w:p>
        </w:tc>
        <w:tc>
          <w:tcPr>
            <w:tcW w:w="0" w:type="auto"/>
            <w:vAlign w:val="center"/>
            <w:hideMark/>
          </w:tcPr>
          <w:p w14:paraId="511619C5" w14:textId="77777777" w:rsidR="00E55535" w:rsidRPr="00DF7CA0" w:rsidRDefault="00E55535" w:rsidP="00AA4CD0">
            <w:pPr>
              <w:bidi w:val="0"/>
              <w:rPr>
                <w:rFonts w:cstheme="minorHAnsi"/>
              </w:rPr>
            </w:pPr>
            <w:r w:rsidRPr="00DF7CA0">
              <w:rPr>
                <w:rFonts w:cstheme="minorHAnsi"/>
              </w:rPr>
              <w:t>Byrne (2001)</w:t>
            </w:r>
          </w:p>
        </w:tc>
        <w:tc>
          <w:tcPr>
            <w:tcW w:w="0" w:type="auto"/>
            <w:vAlign w:val="center"/>
            <w:hideMark/>
          </w:tcPr>
          <w:p w14:paraId="57E78676" w14:textId="77777777" w:rsidR="00E55535" w:rsidRPr="00DF7CA0" w:rsidRDefault="00E55535" w:rsidP="00AA4CD0">
            <w:pPr>
              <w:bidi w:val="0"/>
              <w:rPr>
                <w:rFonts w:cstheme="minorHAnsi"/>
              </w:rPr>
            </w:pPr>
            <w:r w:rsidRPr="00DF7CA0">
              <w:rPr>
                <w:rFonts w:cstheme="minorHAnsi"/>
              </w:rPr>
              <w:t>&lt; 0.08</w:t>
            </w:r>
          </w:p>
        </w:tc>
      </w:tr>
      <w:tr w:rsidR="00E55535" w:rsidRPr="00DF7CA0" w14:paraId="6716F59B" w14:textId="77777777" w:rsidTr="00AA4CD0">
        <w:trPr>
          <w:tblCellSpacing w:w="15" w:type="dxa"/>
        </w:trPr>
        <w:tc>
          <w:tcPr>
            <w:tcW w:w="0" w:type="auto"/>
            <w:vAlign w:val="center"/>
            <w:hideMark/>
          </w:tcPr>
          <w:p w14:paraId="6D616A2D" w14:textId="77777777" w:rsidR="00E55535" w:rsidRPr="00DF7CA0" w:rsidRDefault="00E55535" w:rsidP="00AA4CD0">
            <w:pPr>
              <w:bidi w:val="0"/>
              <w:rPr>
                <w:rFonts w:cstheme="minorHAnsi"/>
              </w:rPr>
            </w:pPr>
          </w:p>
        </w:tc>
        <w:tc>
          <w:tcPr>
            <w:tcW w:w="0" w:type="auto"/>
            <w:vAlign w:val="center"/>
            <w:hideMark/>
          </w:tcPr>
          <w:p w14:paraId="4D33427F" w14:textId="77777777" w:rsidR="00E55535" w:rsidRPr="00DF7CA0" w:rsidRDefault="00E55535" w:rsidP="00AA4CD0">
            <w:pPr>
              <w:bidi w:val="0"/>
              <w:rPr>
                <w:rFonts w:cstheme="minorHAnsi"/>
              </w:rPr>
            </w:pPr>
            <w:r w:rsidRPr="00DF7CA0">
              <w:rPr>
                <w:rFonts w:cstheme="minorHAnsi"/>
              </w:rPr>
              <w:t>Hu &amp; Bentler (1999)</w:t>
            </w:r>
          </w:p>
        </w:tc>
        <w:tc>
          <w:tcPr>
            <w:tcW w:w="0" w:type="auto"/>
            <w:vAlign w:val="center"/>
            <w:hideMark/>
          </w:tcPr>
          <w:p w14:paraId="428AEF9B" w14:textId="77777777" w:rsidR="00E55535" w:rsidRPr="00DF7CA0" w:rsidRDefault="00E55535" w:rsidP="00AA4CD0">
            <w:pPr>
              <w:bidi w:val="0"/>
              <w:rPr>
                <w:rFonts w:cstheme="minorHAnsi"/>
              </w:rPr>
            </w:pPr>
            <w:r w:rsidRPr="00DF7CA0">
              <w:rPr>
                <w:rFonts w:cstheme="minorHAnsi"/>
              </w:rPr>
              <w:t>&lt; 0.05</w:t>
            </w:r>
          </w:p>
        </w:tc>
      </w:tr>
      <w:tr w:rsidR="00E55535" w:rsidRPr="00DF7CA0" w14:paraId="080F6CAF" w14:textId="77777777" w:rsidTr="00AA4CD0">
        <w:trPr>
          <w:tblCellSpacing w:w="15" w:type="dxa"/>
        </w:trPr>
        <w:tc>
          <w:tcPr>
            <w:tcW w:w="0" w:type="auto"/>
            <w:vAlign w:val="center"/>
            <w:hideMark/>
          </w:tcPr>
          <w:p w14:paraId="76D93583" w14:textId="77777777" w:rsidR="00E55535" w:rsidRPr="00DF7CA0" w:rsidRDefault="00E55535" w:rsidP="00AA4CD0">
            <w:pPr>
              <w:bidi w:val="0"/>
              <w:rPr>
                <w:rFonts w:cstheme="minorHAnsi"/>
              </w:rPr>
            </w:pPr>
          </w:p>
        </w:tc>
        <w:tc>
          <w:tcPr>
            <w:tcW w:w="0" w:type="auto"/>
            <w:vAlign w:val="center"/>
            <w:hideMark/>
          </w:tcPr>
          <w:p w14:paraId="05E6EC9D" w14:textId="77777777" w:rsidR="00E55535" w:rsidRPr="00DF7CA0" w:rsidRDefault="00E55535" w:rsidP="00AA4CD0">
            <w:pPr>
              <w:bidi w:val="0"/>
              <w:rPr>
                <w:rFonts w:cstheme="minorHAnsi"/>
              </w:rPr>
            </w:pPr>
            <w:r w:rsidRPr="00DF7CA0">
              <w:rPr>
                <w:rFonts w:cstheme="minorHAnsi"/>
              </w:rPr>
              <w:t>Meyers et al. (2005)</w:t>
            </w:r>
          </w:p>
        </w:tc>
        <w:tc>
          <w:tcPr>
            <w:tcW w:w="0" w:type="auto"/>
            <w:vAlign w:val="center"/>
            <w:hideMark/>
          </w:tcPr>
          <w:p w14:paraId="070FE6A1" w14:textId="77777777" w:rsidR="00E55535" w:rsidRPr="00DF7CA0" w:rsidRDefault="00E55535" w:rsidP="00AA4CD0">
            <w:pPr>
              <w:bidi w:val="0"/>
              <w:rPr>
                <w:rFonts w:cstheme="minorHAnsi"/>
              </w:rPr>
            </w:pPr>
            <w:r w:rsidRPr="00DF7CA0">
              <w:rPr>
                <w:rFonts w:cstheme="minorHAnsi"/>
              </w:rPr>
              <w:t>&lt; 0.03: good fit; 0.08 to 1: moderate fit; &gt; 1: poor fit</w:t>
            </w:r>
          </w:p>
        </w:tc>
      </w:tr>
      <w:tr w:rsidR="00E55535" w:rsidRPr="00DF7CA0" w14:paraId="7B85F81D" w14:textId="77777777" w:rsidTr="00AA4CD0">
        <w:trPr>
          <w:tblCellSpacing w:w="15" w:type="dxa"/>
        </w:trPr>
        <w:tc>
          <w:tcPr>
            <w:tcW w:w="0" w:type="auto"/>
            <w:vAlign w:val="center"/>
            <w:hideMark/>
          </w:tcPr>
          <w:p w14:paraId="52C91FE8" w14:textId="77777777" w:rsidR="00E55535" w:rsidRPr="00DF7CA0" w:rsidRDefault="00E55535" w:rsidP="00AA4CD0">
            <w:pPr>
              <w:bidi w:val="0"/>
              <w:rPr>
                <w:rFonts w:cstheme="minorHAnsi"/>
              </w:rPr>
            </w:pPr>
            <w:r w:rsidRPr="00DF7CA0">
              <w:rPr>
                <w:rFonts w:cstheme="minorHAnsi"/>
              </w:rPr>
              <w:t>SRMR</w:t>
            </w:r>
          </w:p>
        </w:tc>
        <w:tc>
          <w:tcPr>
            <w:tcW w:w="0" w:type="auto"/>
            <w:vAlign w:val="center"/>
            <w:hideMark/>
          </w:tcPr>
          <w:p w14:paraId="08D9F92D" w14:textId="77777777" w:rsidR="00E55535" w:rsidRPr="00DF7CA0" w:rsidRDefault="00E55535" w:rsidP="00AA4CD0">
            <w:pPr>
              <w:bidi w:val="0"/>
              <w:rPr>
                <w:rFonts w:cstheme="minorHAnsi"/>
              </w:rPr>
            </w:pPr>
            <w:r w:rsidRPr="00DF7CA0">
              <w:rPr>
                <w:rFonts w:cstheme="minorHAnsi"/>
              </w:rPr>
              <w:t>Hair et al. (2009)</w:t>
            </w:r>
          </w:p>
        </w:tc>
        <w:tc>
          <w:tcPr>
            <w:tcW w:w="0" w:type="auto"/>
            <w:vAlign w:val="center"/>
            <w:hideMark/>
          </w:tcPr>
          <w:p w14:paraId="2D38EA6C" w14:textId="77777777" w:rsidR="00E55535" w:rsidRPr="00DF7CA0" w:rsidRDefault="00E55535" w:rsidP="00AA4CD0">
            <w:pPr>
              <w:bidi w:val="0"/>
              <w:rPr>
                <w:rFonts w:cstheme="minorHAnsi"/>
              </w:rPr>
            </w:pPr>
            <w:r w:rsidRPr="00DF7CA0">
              <w:rPr>
                <w:rFonts w:cstheme="minorHAnsi"/>
              </w:rPr>
              <w:t>&gt; 0.09</w:t>
            </w:r>
          </w:p>
        </w:tc>
      </w:tr>
      <w:tr w:rsidR="00E55535" w:rsidRPr="00DF7CA0" w14:paraId="7C698FBE" w14:textId="77777777" w:rsidTr="00AA4CD0">
        <w:trPr>
          <w:tblCellSpacing w:w="15" w:type="dxa"/>
        </w:trPr>
        <w:tc>
          <w:tcPr>
            <w:tcW w:w="0" w:type="auto"/>
            <w:vAlign w:val="center"/>
            <w:hideMark/>
          </w:tcPr>
          <w:p w14:paraId="5D8C6A4B" w14:textId="77777777" w:rsidR="00E55535" w:rsidRPr="00DF7CA0" w:rsidRDefault="00E55535" w:rsidP="00AA4CD0">
            <w:pPr>
              <w:bidi w:val="0"/>
              <w:rPr>
                <w:rFonts w:cstheme="minorHAnsi"/>
              </w:rPr>
            </w:pPr>
            <w:r w:rsidRPr="00DF7CA0">
              <w:rPr>
                <w:rFonts w:cstheme="minorHAnsi"/>
              </w:rPr>
              <w:t>NFI</w:t>
            </w:r>
          </w:p>
        </w:tc>
        <w:tc>
          <w:tcPr>
            <w:tcW w:w="0" w:type="auto"/>
            <w:vAlign w:val="center"/>
            <w:hideMark/>
          </w:tcPr>
          <w:p w14:paraId="6ED69F87" w14:textId="77777777" w:rsidR="00E55535" w:rsidRPr="00DF7CA0" w:rsidRDefault="00E55535" w:rsidP="00AA4CD0">
            <w:pPr>
              <w:bidi w:val="0"/>
              <w:rPr>
                <w:rFonts w:cstheme="minorHAnsi"/>
              </w:rPr>
            </w:pPr>
            <w:r w:rsidRPr="00DF7CA0">
              <w:rPr>
                <w:rFonts w:cstheme="minorHAnsi"/>
              </w:rPr>
              <w:t>Bentler &amp; Bonett (1980)</w:t>
            </w:r>
          </w:p>
        </w:tc>
        <w:tc>
          <w:tcPr>
            <w:tcW w:w="0" w:type="auto"/>
            <w:vAlign w:val="center"/>
            <w:hideMark/>
          </w:tcPr>
          <w:p w14:paraId="3AB2E78B" w14:textId="77777777" w:rsidR="00E55535" w:rsidRPr="00DF7CA0" w:rsidRDefault="00E55535" w:rsidP="00AA4CD0">
            <w:pPr>
              <w:bidi w:val="0"/>
              <w:rPr>
                <w:rFonts w:cstheme="minorHAnsi"/>
              </w:rPr>
            </w:pPr>
            <w:r w:rsidRPr="00DF7CA0">
              <w:rPr>
                <w:rFonts w:cstheme="minorHAnsi"/>
              </w:rPr>
              <w:t>&gt; 0.9</w:t>
            </w:r>
          </w:p>
        </w:tc>
      </w:tr>
      <w:tr w:rsidR="00E55535" w:rsidRPr="00DF7CA0" w14:paraId="21201C68" w14:textId="77777777" w:rsidTr="00AA4CD0">
        <w:trPr>
          <w:tblCellSpacing w:w="15" w:type="dxa"/>
        </w:trPr>
        <w:tc>
          <w:tcPr>
            <w:tcW w:w="0" w:type="auto"/>
            <w:vAlign w:val="center"/>
            <w:hideMark/>
          </w:tcPr>
          <w:p w14:paraId="78BC5A77" w14:textId="77777777" w:rsidR="00E55535" w:rsidRPr="00DF7CA0" w:rsidRDefault="00E55535" w:rsidP="00AA4CD0">
            <w:pPr>
              <w:bidi w:val="0"/>
              <w:rPr>
                <w:rFonts w:cstheme="minorHAnsi"/>
              </w:rPr>
            </w:pPr>
            <w:r w:rsidRPr="00DF7CA0">
              <w:rPr>
                <w:rFonts w:cstheme="minorHAnsi"/>
              </w:rPr>
              <w:t>CMIN</w:t>
            </w:r>
          </w:p>
        </w:tc>
        <w:tc>
          <w:tcPr>
            <w:tcW w:w="0" w:type="auto"/>
            <w:vAlign w:val="center"/>
            <w:hideMark/>
          </w:tcPr>
          <w:p w14:paraId="6CE77D8A" w14:textId="77777777" w:rsidR="00E55535" w:rsidRPr="00DF7CA0" w:rsidRDefault="00E55535" w:rsidP="00AA4CD0">
            <w:pPr>
              <w:bidi w:val="0"/>
              <w:rPr>
                <w:rFonts w:cstheme="minorHAnsi"/>
              </w:rPr>
            </w:pPr>
            <w:r w:rsidRPr="00DF7CA0">
              <w:rPr>
                <w:rFonts w:cstheme="minorHAnsi"/>
              </w:rPr>
              <w:t>Tabachnick &amp; Fidell (1996)</w:t>
            </w:r>
          </w:p>
        </w:tc>
        <w:tc>
          <w:tcPr>
            <w:tcW w:w="0" w:type="auto"/>
            <w:vAlign w:val="center"/>
            <w:hideMark/>
          </w:tcPr>
          <w:p w14:paraId="07C81025" w14:textId="77777777" w:rsidR="00E55535" w:rsidRPr="00DF7CA0" w:rsidRDefault="00E55535" w:rsidP="00AA4CD0">
            <w:pPr>
              <w:bidi w:val="0"/>
              <w:rPr>
                <w:rFonts w:cstheme="minorHAnsi"/>
              </w:rPr>
            </w:pPr>
            <w:r w:rsidRPr="00DF7CA0">
              <w:rPr>
                <w:rFonts w:cstheme="minorHAnsi"/>
              </w:rPr>
              <w:t>Reported if n between 100 and 200</w:t>
            </w:r>
          </w:p>
        </w:tc>
      </w:tr>
      <w:tr w:rsidR="00E55535" w:rsidRPr="00DF7CA0" w14:paraId="157877FA" w14:textId="77777777" w:rsidTr="00AA4CD0">
        <w:trPr>
          <w:tblCellSpacing w:w="15" w:type="dxa"/>
        </w:trPr>
        <w:tc>
          <w:tcPr>
            <w:tcW w:w="0" w:type="auto"/>
            <w:vAlign w:val="center"/>
            <w:hideMark/>
          </w:tcPr>
          <w:p w14:paraId="67EE87C3" w14:textId="77777777" w:rsidR="00E55535" w:rsidRPr="00DF7CA0" w:rsidRDefault="00E55535" w:rsidP="00AA4CD0">
            <w:pPr>
              <w:bidi w:val="0"/>
              <w:rPr>
                <w:rFonts w:cstheme="minorHAnsi"/>
              </w:rPr>
            </w:pPr>
            <w:r w:rsidRPr="00DF7CA0">
              <w:rPr>
                <w:rFonts w:cstheme="minorHAnsi"/>
              </w:rPr>
              <w:t>RFI</w:t>
            </w:r>
          </w:p>
        </w:tc>
        <w:tc>
          <w:tcPr>
            <w:tcW w:w="0" w:type="auto"/>
            <w:vAlign w:val="center"/>
            <w:hideMark/>
          </w:tcPr>
          <w:p w14:paraId="44DB36B4" w14:textId="77777777" w:rsidR="00E55535" w:rsidRPr="00DF7CA0" w:rsidRDefault="00E55535" w:rsidP="00AA4CD0">
            <w:pPr>
              <w:bidi w:val="0"/>
              <w:rPr>
                <w:rFonts w:cstheme="minorHAnsi"/>
              </w:rPr>
            </w:pPr>
            <w:r w:rsidRPr="00DF7CA0">
              <w:rPr>
                <w:rFonts w:cstheme="minorHAnsi"/>
              </w:rPr>
              <w:t>Meyers et al. (2005)</w:t>
            </w:r>
          </w:p>
        </w:tc>
        <w:tc>
          <w:tcPr>
            <w:tcW w:w="0" w:type="auto"/>
            <w:vAlign w:val="center"/>
            <w:hideMark/>
          </w:tcPr>
          <w:p w14:paraId="28CE82B1" w14:textId="77777777" w:rsidR="00E55535" w:rsidRPr="00DF7CA0" w:rsidRDefault="00E55535" w:rsidP="00AA4CD0">
            <w:pPr>
              <w:bidi w:val="0"/>
              <w:rPr>
                <w:rFonts w:cstheme="minorHAnsi"/>
              </w:rPr>
            </w:pPr>
            <w:r w:rsidRPr="00DF7CA0">
              <w:rPr>
                <w:rFonts w:cstheme="minorHAnsi"/>
              </w:rPr>
              <w:t>&gt; 0.90</w:t>
            </w:r>
          </w:p>
        </w:tc>
      </w:tr>
      <w:tr w:rsidR="00E55535" w:rsidRPr="00DF7CA0" w14:paraId="15CF01D5" w14:textId="77777777" w:rsidTr="00AA4CD0">
        <w:trPr>
          <w:tblCellSpacing w:w="15" w:type="dxa"/>
        </w:trPr>
        <w:tc>
          <w:tcPr>
            <w:tcW w:w="0" w:type="auto"/>
            <w:vAlign w:val="center"/>
            <w:hideMark/>
          </w:tcPr>
          <w:p w14:paraId="499F63B9" w14:textId="77777777" w:rsidR="00E55535" w:rsidRPr="00DF7CA0" w:rsidRDefault="00E55535" w:rsidP="00AA4CD0">
            <w:pPr>
              <w:bidi w:val="0"/>
              <w:rPr>
                <w:rFonts w:cstheme="minorHAnsi"/>
              </w:rPr>
            </w:pPr>
            <w:r w:rsidRPr="00DF7CA0">
              <w:rPr>
                <w:rFonts w:cstheme="minorHAnsi"/>
              </w:rPr>
              <w:t>IFI</w:t>
            </w:r>
          </w:p>
        </w:tc>
        <w:tc>
          <w:tcPr>
            <w:tcW w:w="0" w:type="auto"/>
            <w:vAlign w:val="center"/>
            <w:hideMark/>
          </w:tcPr>
          <w:p w14:paraId="02C18900" w14:textId="77777777" w:rsidR="00E55535" w:rsidRPr="00DF7CA0" w:rsidRDefault="00E55535" w:rsidP="00AA4CD0">
            <w:pPr>
              <w:bidi w:val="0"/>
              <w:rPr>
                <w:rFonts w:cstheme="minorHAnsi"/>
              </w:rPr>
            </w:pPr>
            <w:r w:rsidRPr="00DF7CA0">
              <w:rPr>
                <w:rFonts w:cstheme="minorHAnsi"/>
              </w:rPr>
              <w:t>Meyers et al. (2005)</w:t>
            </w:r>
          </w:p>
        </w:tc>
        <w:tc>
          <w:tcPr>
            <w:tcW w:w="0" w:type="auto"/>
            <w:vAlign w:val="center"/>
            <w:hideMark/>
          </w:tcPr>
          <w:p w14:paraId="55B181D7" w14:textId="77777777" w:rsidR="00E55535" w:rsidRPr="00DF7CA0" w:rsidRDefault="00E55535" w:rsidP="00AA4CD0">
            <w:pPr>
              <w:bidi w:val="0"/>
              <w:rPr>
                <w:rFonts w:cstheme="minorHAnsi"/>
              </w:rPr>
            </w:pPr>
            <w:r w:rsidRPr="00DF7CA0">
              <w:rPr>
                <w:rFonts w:cstheme="minorHAnsi"/>
              </w:rPr>
              <w:t>&gt; 0.90</w:t>
            </w:r>
          </w:p>
        </w:tc>
      </w:tr>
      <w:tr w:rsidR="00E55535" w:rsidRPr="00DF7CA0" w14:paraId="3280EF81" w14:textId="77777777" w:rsidTr="00AA4CD0">
        <w:trPr>
          <w:tblCellSpacing w:w="15" w:type="dxa"/>
        </w:trPr>
        <w:tc>
          <w:tcPr>
            <w:tcW w:w="0" w:type="auto"/>
            <w:vAlign w:val="center"/>
            <w:hideMark/>
          </w:tcPr>
          <w:p w14:paraId="41860200" w14:textId="77777777" w:rsidR="00E55535" w:rsidRPr="00DF7CA0" w:rsidRDefault="00E55535" w:rsidP="00AA4CD0">
            <w:pPr>
              <w:bidi w:val="0"/>
              <w:rPr>
                <w:rFonts w:cstheme="minorHAnsi"/>
              </w:rPr>
            </w:pPr>
            <w:r w:rsidRPr="00DF7CA0">
              <w:rPr>
                <w:rFonts w:cstheme="minorHAnsi"/>
              </w:rPr>
              <w:t>RMSR</w:t>
            </w:r>
          </w:p>
        </w:tc>
        <w:tc>
          <w:tcPr>
            <w:tcW w:w="0" w:type="auto"/>
            <w:vAlign w:val="center"/>
            <w:hideMark/>
          </w:tcPr>
          <w:p w14:paraId="4D0787A0" w14:textId="77777777" w:rsidR="00E55535" w:rsidRPr="00DF7CA0" w:rsidRDefault="00E55535" w:rsidP="00AA4CD0">
            <w:pPr>
              <w:bidi w:val="0"/>
              <w:rPr>
                <w:rFonts w:cstheme="minorHAnsi"/>
              </w:rPr>
            </w:pPr>
            <w:r w:rsidRPr="00DF7CA0">
              <w:rPr>
                <w:rFonts w:cstheme="minorHAnsi"/>
              </w:rPr>
              <w:t>Meyers et al. (2005)</w:t>
            </w:r>
          </w:p>
        </w:tc>
        <w:tc>
          <w:tcPr>
            <w:tcW w:w="0" w:type="auto"/>
            <w:vAlign w:val="center"/>
            <w:hideMark/>
          </w:tcPr>
          <w:p w14:paraId="34EAE5DC" w14:textId="77777777" w:rsidR="00E55535" w:rsidRPr="00DF7CA0" w:rsidRDefault="00E55535" w:rsidP="00AA4CD0">
            <w:pPr>
              <w:bidi w:val="0"/>
              <w:rPr>
                <w:rFonts w:cstheme="minorHAnsi"/>
              </w:rPr>
            </w:pPr>
            <w:r w:rsidRPr="00DF7CA0">
              <w:rPr>
                <w:rFonts w:cstheme="minorHAnsi"/>
              </w:rPr>
              <w:t>&lt; 0.05</w:t>
            </w:r>
          </w:p>
        </w:tc>
      </w:tr>
      <w:tr w:rsidR="00E55535" w:rsidRPr="00DF7CA0" w14:paraId="1E2BCF11" w14:textId="77777777" w:rsidTr="00AA4CD0">
        <w:trPr>
          <w:tblCellSpacing w:w="15" w:type="dxa"/>
        </w:trPr>
        <w:tc>
          <w:tcPr>
            <w:tcW w:w="0" w:type="auto"/>
            <w:vAlign w:val="center"/>
            <w:hideMark/>
          </w:tcPr>
          <w:p w14:paraId="177105C0" w14:textId="77777777" w:rsidR="00E55535" w:rsidRPr="00DF7CA0" w:rsidRDefault="00E55535" w:rsidP="00AA4CD0">
            <w:pPr>
              <w:bidi w:val="0"/>
              <w:rPr>
                <w:rFonts w:cstheme="minorHAnsi"/>
              </w:rPr>
            </w:pPr>
            <w:r w:rsidRPr="00DF7CA0">
              <w:rPr>
                <w:rFonts w:cstheme="minorHAnsi"/>
              </w:rPr>
              <w:t>PNFI</w:t>
            </w:r>
          </w:p>
        </w:tc>
        <w:tc>
          <w:tcPr>
            <w:tcW w:w="0" w:type="auto"/>
            <w:vAlign w:val="center"/>
            <w:hideMark/>
          </w:tcPr>
          <w:p w14:paraId="65F66114" w14:textId="77777777" w:rsidR="00E55535" w:rsidRPr="00DF7CA0" w:rsidRDefault="00E55535" w:rsidP="00AA4CD0">
            <w:pPr>
              <w:bidi w:val="0"/>
              <w:rPr>
                <w:rFonts w:cstheme="minorHAnsi"/>
              </w:rPr>
            </w:pPr>
            <w:r w:rsidRPr="00DF7CA0">
              <w:rPr>
                <w:rFonts w:cstheme="minorHAnsi"/>
              </w:rPr>
              <w:t>Meyers et al. (2005)</w:t>
            </w:r>
          </w:p>
        </w:tc>
        <w:tc>
          <w:tcPr>
            <w:tcW w:w="0" w:type="auto"/>
            <w:vAlign w:val="center"/>
            <w:hideMark/>
          </w:tcPr>
          <w:p w14:paraId="37F71D4C" w14:textId="77777777" w:rsidR="00E55535" w:rsidRPr="00DF7CA0" w:rsidRDefault="00E55535" w:rsidP="00AA4CD0">
            <w:pPr>
              <w:bidi w:val="0"/>
              <w:rPr>
                <w:rFonts w:cstheme="minorHAnsi"/>
              </w:rPr>
            </w:pPr>
            <w:r w:rsidRPr="00DF7CA0">
              <w:rPr>
                <w:rFonts w:cstheme="minorHAnsi"/>
              </w:rPr>
              <w:t>&gt; 0.5</w:t>
            </w:r>
          </w:p>
        </w:tc>
      </w:tr>
      <w:tr w:rsidR="00E55535" w:rsidRPr="00DF7CA0" w14:paraId="290A5705" w14:textId="77777777" w:rsidTr="00AA4CD0">
        <w:trPr>
          <w:tblCellSpacing w:w="15" w:type="dxa"/>
        </w:trPr>
        <w:tc>
          <w:tcPr>
            <w:tcW w:w="0" w:type="auto"/>
            <w:vAlign w:val="center"/>
            <w:hideMark/>
          </w:tcPr>
          <w:p w14:paraId="11B38C94" w14:textId="77777777" w:rsidR="00E55535" w:rsidRPr="00DF7CA0" w:rsidRDefault="00E55535" w:rsidP="00AA4CD0">
            <w:pPr>
              <w:bidi w:val="0"/>
              <w:rPr>
                <w:rFonts w:cstheme="minorHAnsi"/>
              </w:rPr>
            </w:pPr>
            <w:r w:rsidRPr="00DF7CA0">
              <w:rPr>
                <w:rFonts w:cstheme="minorHAnsi"/>
              </w:rPr>
              <w:t>PCFI</w:t>
            </w:r>
          </w:p>
        </w:tc>
        <w:tc>
          <w:tcPr>
            <w:tcW w:w="0" w:type="auto"/>
            <w:vAlign w:val="center"/>
            <w:hideMark/>
          </w:tcPr>
          <w:p w14:paraId="3024D598" w14:textId="77777777" w:rsidR="00E55535" w:rsidRPr="00DF7CA0" w:rsidRDefault="00E55535" w:rsidP="00AA4CD0">
            <w:pPr>
              <w:bidi w:val="0"/>
              <w:rPr>
                <w:rFonts w:cstheme="minorHAnsi"/>
              </w:rPr>
            </w:pPr>
            <w:r w:rsidRPr="00DF7CA0">
              <w:rPr>
                <w:rFonts w:cstheme="minorHAnsi"/>
              </w:rPr>
              <w:t>Meyers et al. (2005)</w:t>
            </w:r>
          </w:p>
        </w:tc>
        <w:tc>
          <w:tcPr>
            <w:tcW w:w="0" w:type="auto"/>
            <w:vAlign w:val="center"/>
            <w:hideMark/>
          </w:tcPr>
          <w:p w14:paraId="1022FB2B" w14:textId="77777777" w:rsidR="00E55535" w:rsidRPr="00DF7CA0" w:rsidRDefault="00E55535" w:rsidP="00AA4CD0">
            <w:pPr>
              <w:bidi w:val="0"/>
              <w:rPr>
                <w:rFonts w:cstheme="minorHAnsi"/>
              </w:rPr>
            </w:pPr>
            <w:r w:rsidRPr="00DF7CA0">
              <w:rPr>
                <w:rFonts w:cstheme="minorHAnsi"/>
              </w:rPr>
              <w:t>&gt; 0.5</w:t>
            </w:r>
          </w:p>
        </w:tc>
      </w:tr>
      <w:tr w:rsidR="00E55535" w:rsidRPr="00DF7CA0" w14:paraId="33B9D580" w14:textId="77777777" w:rsidTr="00AA4CD0">
        <w:trPr>
          <w:tblCellSpacing w:w="15" w:type="dxa"/>
        </w:trPr>
        <w:tc>
          <w:tcPr>
            <w:tcW w:w="0" w:type="auto"/>
            <w:vAlign w:val="center"/>
            <w:hideMark/>
          </w:tcPr>
          <w:p w14:paraId="0CB92FB7" w14:textId="77777777" w:rsidR="00E55535" w:rsidRPr="00DF7CA0" w:rsidRDefault="00E55535" w:rsidP="00AA4CD0">
            <w:pPr>
              <w:bidi w:val="0"/>
              <w:rPr>
                <w:rFonts w:cstheme="minorHAnsi"/>
              </w:rPr>
            </w:pPr>
            <w:r w:rsidRPr="00DF7CA0">
              <w:rPr>
                <w:rFonts w:cstheme="minorHAnsi"/>
              </w:rPr>
              <w:t>PCLOSE</w:t>
            </w:r>
          </w:p>
        </w:tc>
        <w:tc>
          <w:tcPr>
            <w:tcW w:w="0" w:type="auto"/>
            <w:vAlign w:val="center"/>
            <w:hideMark/>
          </w:tcPr>
          <w:p w14:paraId="37682B3D" w14:textId="77777777" w:rsidR="00E55535" w:rsidRPr="00DF7CA0" w:rsidRDefault="00E55535" w:rsidP="00AA4CD0">
            <w:pPr>
              <w:bidi w:val="0"/>
              <w:rPr>
                <w:rFonts w:cstheme="minorHAnsi"/>
              </w:rPr>
            </w:pPr>
            <w:r w:rsidRPr="00DF7CA0">
              <w:rPr>
                <w:rFonts w:cstheme="minorHAnsi"/>
              </w:rPr>
              <w:t>Hair et al. (2009)</w:t>
            </w:r>
          </w:p>
        </w:tc>
        <w:tc>
          <w:tcPr>
            <w:tcW w:w="0" w:type="auto"/>
            <w:vAlign w:val="center"/>
            <w:hideMark/>
          </w:tcPr>
          <w:p w14:paraId="324F9FFF" w14:textId="77777777" w:rsidR="00E55535" w:rsidRPr="00DF7CA0" w:rsidRDefault="00E55535" w:rsidP="00AA4CD0">
            <w:pPr>
              <w:bidi w:val="0"/>
              <w:rPr>
                <w:rFonts w:cstheme="minorHAnsi"/>
              </w:rPr>
            </w:pPr>
            <w:r w:rsidRPr="00DF7CA0">
              <w:rPr>
                <w:rFonts w:cstheme="minorHAnsi"/>
              </w:rPr>
              <w:t>&gt; 0.05</w:t>
            </w:r>
          </w:p>
        </w:tc>
      </w:tr>
      <w:tr w:rsidR="00E55535" w:rsidRPr="004A0883" w14:paraId="6E56C256" w14:textId="77777777" w:rsidTr="00AA4CD0">
        <w:trPr>
          <w:tblCellSpacing w:w="15" w:type="dxa"/>
        </w:trPr>
        <w:tc>
          <w:tcPr>
            <w:tcW w:w="0" w:type="auto"/>
            <w:tcBorders>
              <w:bottom w:val="single" w:sz="4" w:space="0" w:color="auto"/>
            </w:tcBorders>
            <w:vAlign w:val="center"/>
            <w:hideMark/>
          </w:tcPr>
          <w:p w14:paraId="7B405D7F" w14:textId="77777777" w:rsidR="00E55535" w:rsidRPr="00DF7CA0" w:rsidRDefault="00E55535" w:rsidP="00AA4CD0">
            <w:pPr>
              <w:bidi w:val="0"/>
              <w:rPr>
                <w:rFonts w:cstheme="minorHAnsi"/>
              </w:rPr>
            </w:pPr>
            <w:r w:rsidRPr="00DF7CA0">
              <w:rPr>
                <w:rFonts w:cstheme="minorHAnsi"/>
              </w:rPr>
              <w:lastRenderedPageBreak/>
              <w:t>AGFI</w:t>
            </w:r>
          </w:p>
        </w:tc>
        <w:tc>
          <w:tcPr>
            <w:tcW w:w="0" w:type="auto"/>
            <w:tcBorders>
              <w:bottom w:val="single" w:sz="4" w:space="0" w:color="auto"/>
            </w:tcBorders>
            <w:vAlign w:val="center"/>
            <w:hideMark/>
          </w:tcPr>
          <w:p w14:paraId="6F4FD4B5" w14:textId="77777777" w:rsidR="00E55535" w:rsidRPr="00DF7CA0" w:rsidRDefault="00E55535" w:rsidP="00AA4CD0">
            <w:pPr>
              <w:bidi w:val="0"/>
              <w:rPr>
                <w:rFonts w:cstheme="minorHAnsi"/>
              </w:rPr>
            </w:pPr>
            <w:r w:rsidRPr="00DF7CA0">
              <w:rPr>
                <w:rFonts w:cstheme="minorHAnsi"/>
              </w:rPr>
              <w:t>Hair et al. (2009)</w:t>
            </w:r>
          </w:p>
        </w:tc>
        <w:tc>
          <w:tcPr>
            <w:tcW w:w="0" w:type="auto"/>
            <w:tcBorders>
              <w:bottom w:val="single" w:sz="4" w:space="0" w:color="auto"/>
            </w:tcBorders>
            <w:vAlign w:val="center"/>
            <w:hideMark/>
          </w:tcPr>
          <w:p w14:paraId="64A02275" w14:textId="77777777" w:rsidR="00E55535" w:rsidRPr="004A0883" w:rsidRDefault="00E55535" w:rsidP="00AA4CD0">
            <w:pPr>
              <w:bidi w:val="0"/>
              <w:rPr>
                <w:rFonts w:cstheme="minorHAnsi"/>
              </w:rPr>
            </w:pPr>
            <w:r w:rsidRPr="00DF7CA0">
              <w:rPr>
                <w:rFonts w:cstheme="minorHAnsi"/>
              </w:rPr>
              <w:t>&gt; 0.80</w:t>
            </w:r>
          </w:p>
        </w:tc>
      </w:tr>
    </w:tbl>
    <w:p w14:paraId="116A434C" w14:textId="77777777" w:rsidR="00E55535" w:rsidRPr="004A0883" w:rsidRDefault="00E55535" w:rsidP="00E55535">
      <w:pPr>
        <w:bidi w:val="0"/>
        <w:rPr>
          <w:rFonts w:cstheme="minorHAnsi"/>
        </w:rPr>
      </w:pPr>
    </w:p>
    <w:p w14:paraId="34A47D5F" w14:textId="77777777" w:rsidR="00E55535" w:rsidRDefault="00E55535" w:rsidP="00E55535">
      <w:pPr>
        <w:bidi w:val="0"/>
        <w:rPr>
          <w:rFonts w:cstheme="minorHAnsi"/>
        </w:rPr>
      </w:pPr>
    </w:p>
    <w:p w14:paraId="1587916F" w14:textId="77777777" w:rsidR="00F553FF" w:rsidRDefault="00F553FF"/>
    <w:sectPr w:rsidR="00F553FF" w:rsidSect="00E555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535"/>
    <w:rsid w:val="003C2EF4"/>
    <w:rsid w:val="00446799"/>
    <w:rsid w:val="00471820"/>
    <w:rsid w:val="006A7E07"/>
    <w:rsid w:val="00701021"/>
    <w:rsid w:val="007A1DD9"/>
    <w:rsid w:val="00866E40"/>
    <w:rsid w:val="00B74216"/>
    <w:rsid w:val="00CF0FCC"/>
    <w:rsid w:val="00D62F8C"/>
    <w:rsid w:val="00DE06E6"/>
    <w:rsid w:val="00E55535"/>
    <w:rsid w:val="00E97CD6"/>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A82A7"/>
  <w15:chartTrackingRefBased/>
  <w15:docId w15:val="{4B65D684-AF47-4DB3-B79E-98A33BAFE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535"/>
    <w:pPr>
      <w:bidi/>
      <w:spacing w:after="0" w:line="360" w:lineRule="auto"/>
    </w:pPr>
  </w:style>
  <w:style w:type="paragraph" w:styleId="Heading1">
    <w:name w:val="heading 1"/>
    <w:basedOn w:val="Normal"/>
    <w:next w:val="Normal"/>
    <w:link w:val="Heading1Char"/>
    <w:uiPriority w:val="9"/>
    <w:qFormat/>
    <w:rsid w:val="00E55535"/>
    <w:pPr>
      <w:keepNext/>
      <w:keepLines/>
      <w:bidi w:val="0"/>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5535"/>
    <w:pPr>
      <w:keepNext/>
      <w:keepLines/>
      <w:bidi w:val="0"/>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5535"/>
    <w:pPr>
      <w:keepNext/>
      <w:keepLines/>
      <w:bidi w:val="0"/>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5535"/>
    <w:pPr>
      <w:keepNext/>
      <w:keepLines/>
      <w:bidi w:val="0"/>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5535"/>
    <w:pPr>
      <w:keepNext/>
      <w:keepLines/>
      <w:bidi w:val="0"/>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5535"/>
    <w:pPr>
      <w:keepNext/>
      <w:keepLines/>
      <w:bidi w:val="0"/>
      <w:spacing w:before="4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5535"/>
    <w:pPr>
      <w:keepNext/>
      <w:keepLines/>
      <w:bidi w:val="0"/>
      <w:spacing w:before="4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5535"/>
    <w:pPr>
      <w:keepNext/>
      <w:keepLines/>
      <w:bidi w:val="0"/>
      <w:spacing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5535"/>
    <w:pPr>
      <w:keepNext/>
      <w:keepLines/>
      <w:bidi w:val="0"/>
      <w:spacing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55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55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55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55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55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55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55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55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5535"/>
    <w:rPr>
      <w:rFonts w:eastAsiaTheme="majorEastAsia" w:cstheme="majorBidi"/>
      <w:color w:val="272727" w:themeColor="text1" w:themeTint="D8"/>
    </w:rPr>
  </w:style>
  <w:style w:type="paragraph" w:styleId="Title">
    <w:name w:val="Title"/>
    <w:basedOn w:val="Normal"/>
    <w:next w:val="Normal"/>
    <w:link w:val="TitleChar"/>
    <w:uiPriority w:val="10"/>
    <w:qFormat/>
    <w:rsid w:val="00E55535"/>
    <w:pPr>
      <w:bidi w:val="0"/>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55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5535"/>
    <w:pPr>
      <w:numPr>
        <w:ilvl w:val="1"/>
      </w:numPr>
      <w:bidi w:val="0"/>
      <w:spacing w:after="160"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55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5535"/>
    <w:pPr>
      <w:bidi w:val="0"/>
      <w:spacing w:before="160" w:after="160" w:line="278" w:lineRule="auto"/>
      <w:jc w:val="center"/>
    </w:pPr>
    <w:rPr>
      <w:i/>
      <w:iCs/>
      <w:color w:val="404040" w:themeColor="text1" w:themeTint="BF"/>
    </w:rPr>
  </w:style>
  <w:style w:type="character" w:customStyle="1" w:styleId="QuoteChar">
    <w:name w:val="Quote Char"/>
    <w:basedOn w:val="DefaultParagraphFont"/>
    <w:link w:val="Quote"/>
    <w:uiPriority w:val="29"/>
    <w:rsid w:val="00E55535"/>
    <w:rPr>
      <w:i/>
      <w:iCs/>
      <w:color w:val="404040" w:themeColor="text1" w:themeTint="BF"/>
    </w:rPr>
  </w:style>
  <w:style w:type="paragraph" w:styleId="ListParagraph">
    <w:name w:val="List Paragraph"/>
    <w:basedOn w:val="Normal"/>
    <w:uiPriority w:val="34"/>
    <w:qFormat/>
    <w:rsid w:val="00E55535"/>
    <w:pPr>
      <w:bidi w:val="0"/>
      <w:spacing w:after="160" w:line="278" w:lineRule="auto"/>
      <w:ind w:left="720"/>
      <w:contextualSpacing/>
    </w:pPr>
  </w:style>
  <w:style w:type="character" w:styleId="IntenseEmphasis">
    <w:name w:val="Intense Emphasis"/>
    <w:basedOn w:val="DefaultParagraphFont"/>
    <w:uiPriority w:val="21"/>
    <w:qFormat/>
    <w:rsid w:val="00E55535"/>
    <w:rPr>
      <w:i/>
      <w:iCs/>
      <w:color w:val="0F4761" w:themeColor="accent1" w:themeShade="BF"/>
    </w:rPr>
  </w:style>
  <w:style w:type="paragraph" w:styleId="IntenseQuote">
    <w:name w:val="Intense Quote"/>
    <w:basedOn w:val="Normal"/>
    <w:next w:val="Normal"/>
    <w:link w:val="IntenseQuoteChar"/>
    <w:uiPriority w:val="30"/>
    <w:qFormat/>
    <w:rsid w:val="00E55535"/>
    <w:pPr>
      <w:pBdr>
        <w:top w:val="single" w:sz="4" w:space="10" w:color="0F4761" w:themeColor="accent1" w:themeShade="BF"/>
        <w:bottom w:val="single" w:sz="4" w:space="10" w:color="0F4761" w:themeColor="accent1" w:themeShade="BF"/>
      </w:pBdr>
      <w:bidi w:val="0"/>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5535"/>
    <w:rPr>
      <w:i/>
      <w:iCs/>
      <w:color w:val="0F4761" w:themeColor="accent1" w:themeShade="BF"/>
    </w:rPr>
  </w:style>
  <w:style w:type="character" w:styleId="IntenseReference">
    <w:name w:val="Intense Reference"/>
    <w:basedOn w:val="DefaultParagraphFont"/>
    <w:uiPriority w:val="32"/>
    <w:qFormat/>
    <w:rsid w:val="00E55535"/>
    <w:rPr>
      <w:b/>
      <w:bCs/>
      <w:smallCaps/>
      <w:color w:val="0F4761" w:themeColor="accent1" w:themeShade="BF"/>
      <w:spacing w:val="5"/>
    </w:rPr>
  </w:style>
  <w:style w:type="character" w:styleId="Strong">
    <w:name w:val="Strong"/>
    <w:basedOn w:val="DefaultParagraphFont"/>
    <w:uiPriority w:val="22"/>
    <w:qFormat/>
    <w:rsid w:val="00E55535"/>
    <w:rPr>
      <w:b/>
      <w:bCs/>
    </w:rPr>
  </w:style>
  <w:style w:type="character" w:styleId="Emphasis">
    <w:name w:val="Emphasis"/>
    <w:basedOn w:val="DefaultParagraphFont"/>
    <w:uiPriority w:val="20"/>
    <w:qFormat/>
    <w:rsid w:val="00E5553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439</Words>
  <Characters>2504</Characters>
  <Application>Microsoft Office Word</Application>
  <DocSecurity>0</DocSecurity>
  <Lines>20</Lines>
  <Paragraphs>5</Paragraphs>
  <ScaleCrop>false</ScaleCrop>
  <Company>Springer Nature</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2026-08-18T11:36:00Z</dcterms:created>
  <dcterms:modified xsi:type="dcterms:W3CDTF">2026-08-18T11:36:00Z</dcterms:modified>
</cp:coreProperties>
</file>