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7FDB6" w14:textId="77777777" w:rsidR="00226A31" w:rsidRPr="00AC0AB4" w:rsidRDefault="00226A31" w:rsidP="00226A31">
      <w:pPr>
        <w:spacing w:after="0" w:line="480" w:lineRule="auto"/>
        <w:rPr>
          <w:b/>
          <w:szCs w:val="24"/>
        </w:rPr>
      </w:pPr>
      <w:r w:rsidRPr="00AC0AB4">
        <w:rPr>
          <w:b/>
          <w:bCs/>
          <w:szCs w:val="24"/>
        </w:rPr>
        <w:t>Fig. S1. Growth stimulation by 5β-DHT and 3β-ecdiol requires AR signaling.</w:t>
      </w:r>
      <w:r w:rsidRPr="00AC0AB4">
        <w:rPr>
          <w:b/>
          <w:szCs w:val="24"/>
        </w:rPr>
        <w:br/>
      </w:r>
      <w:r w:rsidRPr="00AC0AB4">
        <w:rPr>
          <w:bCs/>
          <w:szCs w:val="24"/>
        </w:rPr>
        <w:t>(</w:t>
      </w:r>
      <w:r w:rsidRPr="001A4C4E">
        <w:rPr>
          <w:b/>
          <w:szCs w:val="24"/>
        </w:rPr>
        <w:t>A</w:t>
      </w:r>
      <w:r w:rsidRPr="00AC0AB4">
        <w:rPr>
          <w:bCs/>
          <w:szCs w:val="24"/>
        </w:rPr>
        <w:t xml:space="preserve">) Live-cell proliferation of LNCaP cells cultured in androgen-depleted medium and treated with vehicle or the indicated </w:t>
      </w:r>
      <w:r>
        <w:rPr>
          <w:bCs/>
          <w:szCs w:val="24"/>
        </w:rPr>
        <w:t>T</w:t>
      </w:r>
      <w:r w:rsidRPr="00AC0AB4">
        <w:rPr>
          <w:bCs/>
          <w:szCs w:val="24"/>
        </w:rPr>
        <w:t xml:space="preserve"> metabolites at 10 </w:t>
      </w:r>
      <w:r>
        <w:rPr>
          <w:bCs/>
          <w:szCs w:val="24"/>
        </w:rPr>
        <w:t xml:space="preserve">nM </w:t>
      </w:r>
      <w:r w:rsidRPr="00AC0AB4">
        <w:rPr>
          <w:bCs/>
          <w:szCs w:val="24"/>
        </w:rPr>
        <w:t xml:space="preserve">(n = </w:t>
      </w:r>
      <w:r>
        <w:rPr>
          <w:bCs/>
          <w:szCs w:val="24"/>
        </w:rPr>
        <w:t>3</w:t>
      </w:r>
      <w:r w:rsidRPr="00AC0AB4">
        <w:rPr>
          <w:bCs/>
          <w:szCs w:val="24"/>
        </w:rPr>
        <w:t>). (</w:t>
      </w:r>
      <w:r w:rsidRPr="001A4C4E">
        <w:rPr>
          <w:b/>
          <w:szCs w:val="24"/>
        </w:rPr>
        <w:t>B</w:t>
      </w:r>
      <w:r w:rsidRPr="00AC0AB4">
        <w:rPr>
          <w:bCs/>
          <w:szCs w:val="24"/>
        </w:rPr>
        <w:t>) Proliferation of parental AR-null PC-3 cells treated with vehicle, 1 nM T, 10 nM 5β-DHT, or 10 nM 3β-ecdiol</w:t>
      </w:r>
      <w:r>
        <w:rPr>
          <w:bCs/>
          <w:szCs w:val="24"/>
        </w:rPr>
        <w:t xml:space="preserve"> </w:t>
      </w:r>
      <w:r w:rsidRPr="00AC0AB4">
        <w:rPr>
          <w:bCs/>
          <w:szCs w:val="24"/>
        </w:rPr>
        <w:t xml:space="preserve">(n = </w:t>
      </w:r>
      <w:r>
        <w:rPr>
          <w:bCs/>
          <w:szCs w:val="24"/>
        </w:rPr>
        <w:t>3</w:t>
      </w:r>
      <w:r w:rsidRPr="00AC0AB4">
        <w:rPr>
          <w:bCs/>
          <w:szCs w:val="24"/>
        </w:rPr>
        <w:t>). (</w:t>
      </w:r>
      <w:r w:rsidRPr="001A4C4E">
        <w:rPr>
          <w:b/>
          <w:szCs w:val="24"/>
        </w:rPr>
        <w:t>C</w:t>
      </w:r>
      <w:r w:rsidRPr="00AC0AB4">
        <w:rPr>
          <w:bCs/>
          <w:szCs w:val="24"/>
        </w:rPr>
        <w:t>) Proliferation of C4-2 cells treated with 1 nM T, 10 nM 5β-DHT, or 10 nM 3β-ecdiol, with or without 10 µM enzalutamide (Enz)</w:t>
      </w:r>
      <w:r>
        <w:rPr>
          <w:bCs/>
          <w:szCs w:val="24"/>
        </w:rPr>
        <w:t xml:space="preserve"> </w:t>
      </w:r>
      <w:r w:rsidRPr="00AC0AB4">
        <w:rPr>
          <w:bCs/>
          <w:szCs w:val="24"/>
        </w:rPr>
        <w:t xml:space="preserve">(n = </w:t>
      </w:r>
      <w:r>
        <w:rPr>
          <w:bCs/>
          <w:szCs w:val="24"/>
        </w:rPr>
        <w:t>3</w:t>
      </w:r>
      <w:r w:rsidRPr="00AC0AB4">
        <w:rPr>
          <w:bCs/>
          <w:szCs w:val="24"/>
        </w:rPr>
        <w:t>). Growth was normalized to time zero.</w:t>
      </w:r>
      <w:r>
        <w:rPr>
          <w:bCs/>
          <w:szCs w:val="24"/>
        </w:rPr>
        <w:t xml:space="preserve"> </w:t>
      </w:r>
      <w:r w:rsidRPr="00F4160D">
        <w:rPr>
          <w:bCs/>
          <w:szCs w:val="24"/>
        </w:rPr>
        <w:t>Data are mean ± SEM</w:t>
      </w:r>
      <w:r>
        <w:rPr>
          <w:bCs/>
          <w:szCs w:val="24"/>
        </w:rPr>
        <w:t xml:space="preserve">. </w:t>
      </w:r>
      <w:r w:rsidRPr="00AC0AB4">
        <w:rPr>
          <w:bCs/>
          <w:szCs w:val="24"/>
        </w:rPr>
        <w:t>**P &lt; 0.01, ***P &lt; 0.001, and ****P &lt; 0.0001.</w:t>
      </w:r>
    </w:p>
    <w:p w14:paraId="316CEF1B" w14:textId="77777777" w:rsidR="00226A31" w:rsidRPr="00AC0AB4" w:rsidRDefault="00226A31" w:rsidP="00226A31">
      <w:pPr>
        <w:spacing w:after="0" w:line="480" w:lineRule="auto"/>
        <w:rPr>
          <w:bCs/>
          <w:szCs w:val="24"/>
        </w:rPr>
      </w:pPr>
      <w:r w:rsidRPr="00AC0AB4">
        <w:rPr>
          <w:b/>
          <w:bCs/>
          <w:szCs w:val="24"/>
        </w:rPr>
        <w:t>Fig. S2. T, 5β-DHT, and 3β-ecdiol enrich the androgen-response gene set.</w:t>
      </w:r>
      <w:r w:rsidRPr="00AC0AB4">
        <w:rPr>
          <w:b/>
          <w:szCs w:val="24"/>
        </w:rPr>
        <w:br/>
      </w:r>
      <w:r w:rsidRPr="00AC0AB4">
        <w:rPr>
          <w:bCs/>
          <w:szCs w:val="24"/>
        </w:rPr>
        <w:t>GSEA enrichment plots for HALLMARK_ANDROGEN_RESPONSE in C4-2 cells treated with 10 nM T, 5β-DHT, or 3β-ecdiol for 24 h in androgen-depleted medium. NES and FDR q values are shown.</w:t>
      </w:r>
    </w:p>
    <w:p w14:paraId="3B1DBD4B" w14:textId="77777777" w:rsidR="00226A31" w:rsidRPr="00AC0AB4" w:rsidRDefault="00226A31" w:rsidP="00226A31">
      <w:pPr>
        <w:spacing w:after="0" w:line="480" w:lineRule="auto"/>
        <w:rPr>
          <w:bCs/>
          <w:szCs w:val="24"/>
        </w:rPr>
      </w:pPr>
      <w:r w:rsidRPr="00AC0AB4">
        <w:rPr>
          <w:b/>
          <w:bCs/>
          <w:szCs w:val="24"/>
        </w:rPr>
        <w:t>Fig. S3. 5β-DHT activates clinically relevant AR gain-of-function mutants.</w:t>
      </w:r>
      <w:r w:rsidRPr="00AC0AB4">
        <w:rPr>
          <w:b/>
          <w:szCs w:val="24"/>
        </w:rPr>
        <w:br/>
      </w:r>
      <w:r w:rsidRPr="00AC0AB4">
        <w:rPr>
          <w:bCs/>
          <w:szCs w:val="24"/>
        </w:rPr>
        <w:t>PC-3 cells stably expressing AR-W742C or AR-H875Y and the ARR3tk-eGFP/SV40-mCherry reporter were treated with vehicle, T, or 5β-DHT at 100 nM or 1 µM for 48 h. (</w:t>
      </w:r>
      <w:r w:rsidRPr="002D403F">
        <w:rPr>
          <w:b/>
          <w:szCs w:val="24"/>
        </w:rPr>
        <w:t>A, B</w:t>
      </w:r>
      <w:r w:rsidRPr="00AC0AB4">
        <w:rPr>
          <w:bCs/>
          <w:szCs w:val="24"/>
        </w:rPr>
        <w:t>) Representative mCherry reporter-level, AR-responsive eGFP, and merged fluorescence images. Scale bars, 100 µm. (</w:t>
      </w:r>
      <w:r w:rsidRPr="002D403F">
        <w:rPr>
          <w:b/>
          <w:szCs w:val="24"/>
        </w:rPr>
        <w:t>C, D</w:t>
      </w:r>
      <w:r w:rsidRPr="00AC0AB4">
        <w:rPr>
          <w:bCs/>
          <w:szCs w:val="24"/>
        </w:rPr>
        <w:t>) Ratios of GFP-positive to RFP-positive cells, normalized to the initial value, in AR-W742C and AR-H875Y cells over 48 h</w:t>
      </w:r>
      <w:r>
        <w:rPr>
          <w:bCs/>
          <w:szCs w:val="24"/>
        </w:rPr>
        <w:t xml:space="preserve"> </w:t>
      </w:r>
      <w:r w:rsidRPr="00AC0AB4">
        <w:rPr>
          <w:bCs/>
          <w:szCs w:val="24"/>
        </w:rPr>
        <w:t xml:space="preserve">(n = </w:t>
      </w:r>
      <w:r>
        <w:rPr>
          <w:bCs/>
          <w:szCs w:val="24"/>
        </w:rPr>
        <w:t>3</w:t>
      </w:r>
      <w:r w:rsidRPr="00AC0AB4">
        <w:rPr>
          <w:bCs/>
          <w:szCs w:val="24"/>
        </w:rPr>
        <w:t>).</w:t>
      </w:r>
      <w:r>
        <w:rPr>
          <w:bCs/>
          <w:szCs w:val="24"/>
        </w:rPr>
        <w:t xml:space="preserve"> </w:t>
      </w:r>
      <w:r w:rsidRPr="00F4160D">
        <w:rPr>
          <w:bCs/>
          <w:szCs w:val="24"/>
        </w:rPr>
        <w:t>Data are mean ± SEM</w:t>
      </w:r>
      <w:r>
        <w:rPr>
          <w:bCs/>
          <w:szCs w:val="24"/>
        </w:rPr>
        <w:t xml:space="preserve">. </w:t>
      </w:r>
      <w:r w:rsidRPr="00AC0AB4">
        <w:rPr>
          <w:bCs/>
          <w:szCs w:val="24"/>
        </w:rPr>
        <w:t>****P &lt; 0.0001.</w:t>
      </w:r>
    </w:p>
    <w:p w14:paraId="7EF3C1F4" w14:textId="77777777" w:rsidR="00226A31" w:rsidRPr="00AC0AB4" w:rsidRDefault="00226A31" w:rsidP="00226A31">
      <w:pPr>
        <w:spacing w:after="0" w:line="480" w:lineRule="auto"/>
        <w:rPr>
          <w:b/>
          <w:szCs w:val="24"/>
        </w:rPr>
      </w:pPr>
      <w:r w:rsidRPr="00AC0AB4">
        <w:rPr>
          <w:b/>
          <w:bCs/>
          <w:szCs w:val="24"/>
        </w:rPr>
        <w:t>Fig. S4. Inactive 5β-reduced metabolites do not induce supraphysiological growth suppression.</w:t>
      </w:r>
      <w:r w:rsidRPr="00AC0AB4">
        <w:rPr>
          <w:b/>
          <w:szCs w:val="24"/>
        </w:rPr>
        <w:br/>
      </w:r>
      <w:r w:rsidRPr="00AC0AB4">
        <w:rPr>
          <w:bCs/>
          <w:szCs w:val="24"/>
        </w:rPr>
        <w:t>Live-cell proliferation of (</w:t>
      </w:r>
      <w:r w:rsidRPr="002D403F">
        <w:rPr>
          <w:b/>
          <w:szCs w:val="24"/>
        </w:rPr>
        <w:t>A</w:t>
      </w:r>
      <w:r w:rsidRPr="00AC0AB4">
        <w:rPr>
          <w:bCs/>
          <w:szCs w:val="24"/>
        </w:rPr>
        <w:t>) C4-2 and (</w:t>
      </w:r>
      <w:r w:rsidRPr="002D403F">
        <w:rPr>
          <w:b/>
          <w:szCs w:val="24"/>
        </w:rPr>
        <w:t>B</w:t>
      </w:r>
      <w:r w:rsidRPr="00AC0AB4">
        <w:rPr>
          <w:bCs/>
          <w:szCs w:val="24"/>
        </w:rPr>
        <w:t xml:space="preserve">) LNCaP cells cultured in </w:t>
      </w:r>
      <w:r>
        <w:rPr>
          <w:bCs/>
          <w:szCs w:val="24"/>
        </w:rPr>
        <w:t>full serum</w:t>
      </w:r>
      <w:r w:rsidRPr="00AC0AB4">
        <w:rPr>
          <w:bCs/>
          <w:szCs w:val="24"/>
        </w:rPr>
        <w:t xml:space="preserve"> medium and treated with vehicle or 5β-ecdione, 3β-ecl, 3α-ecdiol, or 3α-ecl at 100 nM or 1 µM</w:t>
      </w:r>
      <w:r>
        <w:rPr>
          <w:bCs/>
          <w:szCs w:val="24"/>
        </w:rPr>
        <w:t xml:space="preserve"> </w:t>
      </w:r>
      <w:r w:rsidRPr="00AC0AB4">
        <w:rPr>
          <w:bCs/>
          <w:szCs w:val="24"/>
        </w:rPr>
        <w:t xml:space="preserve">(n = </w:t>
      </w:r>
      <w:r>
        <w:rPr>
          <w:bCs/>
          <w:szCs w:val="24"/>
        </w:rPr>
        <w:t>3</w:t>
      </w:r>
      <w:r w:rsidRPr="00AC0AB4">
        <w:rPr>
          <w:bCs/>
          <w:szCs w:val="24"/>
        </w:rPr>
        <w:t>). (</w:t>
      </w:r>
      <w:r w:rsidRPr="002D403F">
        <w:rPr>
          <w:b/>
          <w:szCs w:val="24"/>
        </w:rPr>
        <w:t>C</w:t>
      </w:r>
      <w:r w:rsidRPr="00AC0AB4">
        <w:rPr>
          <w:bCs/>
          <w:szCs w:val="24"/>
        </w:rPr>
        <w:t xml:space="preserve">) </w:t>
      </w:r>
      <w:r w:rsidRPr="00AC0AB4">
        <w:rPr>
          <w:bCs/>
          <w:szCs w:val="24"/>
        </w:rPr>
        <w:lastRenderedPageBreak/>
        <w:t>Proliferation of parental AR-null PC-3 cells treated with vehicle, T, or the indicated metabolites at 100 nM or 1 µM</w:t>
      </w:r>
      <w:r>
        <w:rPr>
          <w:bCs/>
          <w:szCs w:val="24"/>
        </w:rPr>
        <w:t xml:space="preserve"> </w:t>
      </w:r>
      <w:r w:rsidRPr="00AC0AB4">
        <w:rPr>
          <w:bCs/>
          <w:szCs w:val="24"/>
        </w:rPr>
        <w:t xml:space="preserve">(n = </w:t>
      </w:r>
      <w:r>
        <w:rPr>
          <w:bCs/>
          <w:szCs w:val="24"/>
        </w:rPr>
        <w:t>3</w:t>
      </w:r>
      <w:r w:rsidRPr="00AC0AB4">
        <w:rPr>
          <w:bCs/>
          <w:szCs w:val="24"/>
        </w:rPr>
        <w:t>). Growth was normalized to time zero.</w:t>
      </w:r>
      <w:r>
        <w:rPr>
          <w:bCs/>
          <w:szCs w:val="24"/>
        </w:rPr>
        <w:t xml:space="preserve"> </w:t>
      </w:r>
      <w:r w:rsidRPr="00F4160D">
        <w:rPr>
          <w:bCs/>
          <w:szCs w:val="24"/>
        </w:rPr>
        <w:t>Data are mean ± SEM</w:t>
      </w:r>
      <w:r>
        <w:rPr>
          <w:bCs/>
          <w:szCs w:val="24"/>
        </w:rPr>
        <w:t>.</w:t>
      </w:r>
    </w:p>
    <w:p w14:paraId="6864BA6E" w14:textId="77777777" w:rsidR="00226A31" w:rsidRPr="00AC0AB4" w:rsidRDefault="00226A31" w:rsidP="00226A31">
      <w:pPr>
        <w:spacing w:after="0" w:line="480" w:lineRule="auto"/>
        <w:rPr>
          <w:bCs/>
          <w:szCs w:val="24"/>
        </w:rPr>
      </w:pPr>
      <w:r w:rsidRPr="00AC0AB4">
        <w:rPr>
          <w:b/>
          <w:bCs/>
          <w:szCs w:val="24"/>
        </w:rPr>
        <w:t xml:space="preserve">Fig. S5. Progesterone-class steroids stimulate C4-2 growth at low concentrations but do not significantly suppress growth at </w:t>
      </w:r>
      <w:r>
        <w:rPr>
          <w:b/>
          <w:bCs/>
          <w:szCs w:val="24"/>
        </w:rPr>
        <w:t>high</w:t>
      </w:r>
      <w:r w:rsidRPr="00AC0AB4">
        <w:rPr>
          <w:b/>
          <w:bCs/>
          <w:szCs w:val="24"/>
        </w:rPr>
        <w:t xml:space="preserve"> concentrations.</w:t>
      </w:r>
      <w:r w:rsidRPr="00AC0AB4">
        <w:rPr>
          <w:b/>
          <w:szCs w:val="24"/>
        </w:rPr>
        <w:br/>
      </w:r>
      <w:r w:rsidRPr="00AC0AB4">
        <w:rPr>
          <w:bCs/>
          <w:szCs w:val="24"/>
        </w:rPr>
        <w:t>(</w:t>
      </w:r>
      <w:r w:rsidRPr="00A236B7">
        <w:rPr>
          <w:b/>
          <w:szCs w:val="24"/>
        </w:rPr>
        <w:t>A</w:t>
      </w:r>
      <w:r w:rsidRPr="00AC0AB4">
        <w:rPr>
          <w:bCs/>
          <w:szCs w:val="24"/>
        </w:rPr>
        <w:t>) Schematic of progesterone metabolism through the indicated enzymes; steroid abbreviations are defined in the panel. (</w:t>
      </w:r>
      <w:r w:rsidRPr="00A236B7">
        <w:rPr>
          <w:b/>
          <w:szCs w:val="24"/>
        </w:rPr>
        <w:t>B</w:t>
      </w:r>
      <w:r w:rsidRPr="00AC0AB4">
        <w:rPr>
          <w:bCs/>
          <w:szCs w:val="24"/>
        </w:rPr>
        <w:t xml:space="preserve">) Live-cell proliferation of C4-2 cells cultured in androgen-depleted medium and treated with the indicated steroids at 0.1, 1, or 10 </w:t>
      </w:r>
      <w:r>
        <w:rPr>
          <w:bCs/>
          <w:szCs w:val="24"/>
        </w:rPr>
        <w:t xml:space="preserve">nM </w:t>
      </w:r>
      <w:r w:rsidRPr="00AC0AB4">
        <w:rPr>
          <w:bCs/>
          <w:szCs w:val="24"/>
        </w:rPr>
        <w:t xml:space="preserve">(n = </w:t>
      </w:r>
      <w:r>
        <w:rPr>
          <w:bCs/>
          <w:szCs w:val="24"/>
        </w:rPr>
        <w:t>3</w:t>
      </w:r>
      <w:r w:rsidRPr="00AC0AB4">
        <w:rPr>
          <w:bCs/>
          <w:szCs w:val="24"/>
        </w:rPr>
        <w:t>). (</w:t>
      </w:r>
      <w:r w:rsidRPr="00A236B7">
        <w:rPr>
          <w:b/>
          <w:szCs w:val="24"/>
        </w:rPr>
        <w:t>C</w:t>
      </w:r>
      <w:r w:rsidRPr="00AC0AB4">
        <w:rPr>
          <w:bCs/>
          <w:szCs w:val="24"/>
        </w:rPr>
        <w:t xml:space="preserve">) Proliferation of C4-2 cells cultured in </w:t>
      </w:r>
      <w:r>
        <w:rPr>
          <w:bCs/>
          <w:szCs w:val="24"/>
        </w:rPr>
        <w:t>full serum</w:t>
      </w:r>
      <w:r w:rsidRPr="00AC0AB4">
        <w:rPr>
          <w:bCs/>
          <w:szCs w:val="24"/>
        </w:rPr>
        <w:t xml:space="preserve"> medium and treated with the same steroids at 100 nM or 1 µM</w:t>
      </w:r>
      <w:r>
        <w:rPr>
          <w:bCs/>
          <w:szCs w:val="24"/>
        </w:rPr>
        <w:t xml:space="preserve"> </w:t>
      </w:r>
      <w:r w:rsidRPr="00AC0AB4">
        <w:rPr>
          <w:bCs/>
          <w:szCs w:val="24"/>
        </w:rPr>
        <w:t xml:space="preserve">(n = </w:t>
      </w:r>
      <w:r>
        <w:rPr>
          <w:bCs/>
          <w:szCs w:val="24"/>
        </w:rPr>
        <w:t>3</w:t>
      </w:r>
      <w:r w:rsidRPr="00AC0AB4">
        <w:rPr>
          <w:bCs/>
          <w:szCs w:val="24"/>
        </w:rPr>
        <w:t>). Growth was normalized to time zero.</w:t>
      </w:r>
      <w:r>
        <w:rPr>
          <w:bCs/>
          <w:szCs w:val="24"/>
        </w:rPr>
        <w:t xml:space="preserve"> </w:t>
      </w:r>
      <w:r w:rsidRPr="00F4160D">
        <w:rPr>
          <w:bCs/>
          <w:szCs w:val="24"/>
        </w:rPr>
        <w:t>Data are mean ± SEM</w:t>
      </w:r>
      <w:r>
        <w:rPr>
          <w:bCs/>
          <w:szCs w:val="24"/>
        </w:rPr>
        <w:t xml:space="preserve">. </w:t>
      </w:r>
      <w:r w:rsidRPr="00AC0AB4">
        <w:rPr>
          <w:bCs/>
          <w:szCs w:val="24"/>
        </w:rPr>
        <w:t>ns, not significant; **P &lt; 0.01, ***P &lt; 0.001, and ****P &lt; 0.0001.</w:t>
      </w:r>
    </w:p>
    <w:p w14:paraId="7B50F37C" w14:textId="77777777" w:rsidR="00226A31" w:rsidRPr="00AC0AB4" w:rsidRDefault="00226A31" w:rsidP="00226A31">
      <w:pPr>
        <w:spacing w:after="0" w:line="480" w:lineRule="auto"/>
        <w:rPr>
          <w:bCs/>
          <w:szCs w:val="24"/>
        </w:rPr>
      </w:pPr>
      <w:r w:rsidRPr="00AC0AB4">
        <w:rPr>
          <w:b/>
          <w:bCs/>
          <w:szCs w:val="24"/>
        </w:rPr>
        <w:t xml:space="preserve">Fig. S6. </w:t>
      </w:r>
      <w:r>
        <w:rPr>
          <w:b/>
          <w:bCs/>
          <w:szCs w:val="24"/>
        </w:rPr>
        <w:t>High-dose</w:t>
      </w:r>
      <w:r w:rsidRPr="00AC0AB4">
        <w:rPr>
          <w:b/>
          <w:bCs/>
          <w:szCs w:val="24"/>
        </w:rPr>
        <w:t xml:space="preserve"> T and 5β-DHT robustly enrich the androgen-response gene set.</w:t>
      </w:r>
      <w:r w:rsidRPr="00AC0AB4">
        <w:rPr>
          <w:b/>
          <w:szCs w:val="24"/>
        </w:rPr>
        <w:br/>
      </w:r>
      <w:r w:rsidRPr="00AC0AB4">
        <w:rPr>
          <w:bCs/>
          <w:szCs w:val="24"/>
        </w:rPr>
        <w:t>GSEA enrichment plots for HALLMARK_ANDROGEN_RESPONSE in C4-2 cells treated with 100 nM T or 5β-DHT for 1 or 3 days in FBS-containing medium. Each treatment was compared with its time-matched control; NES and FDR q values are shown.</w:t>
      </w:r>
    </w:p>
    <w:p w14:paraId="6B99E0F8" w14:textId="77777777" w:rsidR="00226A31" w:rsidRPr="00AC0AB4" w:rsidRDefault="00226A31" w:rsidP="00226A31">
      <w:pPr>
        <w:spacing w:after="0" w:line="480" w:lineRule="auto"/>
        <w:rPr>
          <w:bCs/>
          <w:szCs w:val="24"/>
        </w:rPr>
      </w:pPr>
      <w:r w:rsidRPr="00AC0AB4">
        <w:rPr>
          <w:b/>
          <w:bCs/>
          <w:szCs w:val="24"/>
        </w:rPr>
        <w:t>Fig. S7. T and 5β-DHT coordinately regulate senescence-associated genes.</w:t>
      </w:r>
      <w:r w:rsidRPr="00AC0AB4">
        <w:rPr>
          <w:b/>
          <w:szCs w:val="24"/>
        </w:rPr>
        <w:br/>
      </w:r>
      <w:r w:rsidRPr="00AC0AB4">
        <w:rPr>
          <w:bCs/>
          <w:szCs w:val="24"/>
        </w:rPr>
        <w:t xml:space="preserve">C4-2 cells cultured in </w:t>
      </w:r>
      <w:r>
        <w:rPr>
          <w:bCs/>
          <w:szCs w:val="24"/>
        </w:rPr>
        <w:t>full serum</w:t>
      </w:r>
      <w:r w:rsidRPr="00AC0AB4">
        <w:rPr>
          <w:bCs/>
          <w:szCs w:val="24"/>
        </w:rPr>
        <w:t xml:space="preserve"> medium were treated with vehicle, 100 nM T, or 100 nM 5β-DHT for 1 or 3 days. (</w:t>
      </w:r>
      <w:r w:rsidRPr="00A236B7">
        <w:rPr>
          <w:b/>
          <w:szCs w:val="24"/>
        </w:rPr>
        <w:t>A</w:t>
      </w:r>
      <w:r w:rsidRPr="00AC0AB4">
        <w:rPr>
          <w:bCs/>
          <w:szCs w:val="24"/>
        </w:rPr>
        <w:t>) Row z-score heatmap of senescence-associated genes. (</w:t>
      </w:r>
      <w:r w:rsidRPr="00A236B7">
        <w:rPr>
          <w:b/>
          <w:szCs w:val="24"/>
        </w:rPr>
        <w:t>B</w:t>
      </w:r>
      <w:r w:rsidRPr="00AC0AB4">
        <w:rPr>
          <w:bCs/>
          <w:szCs w:val="24"/>
        </w:rPr>
        <w:t xml:space="preserve">) RT-qPCR analysis of </w:t>
      </w:r>
      <w:r w:rsidRPr="00A236B7">
        <w:rPr>
          <w:bCs/>
          <w:i/>
          <w:iCs/>
          <w:szCs w:val="24"/>
        </w:rPr>
        <w:t>ALDH1A3</w:t>
      </w:r>
      <w:r w:rsidRPr="00AC0AB4">
        <w:rPr>
          <w:bCs/>
          <w:szCs w:val="24"/>
        </w:rPr>
        <w:t xml:space="preserve">, </w:t>
      </w:r>
      <w:r w:rsidRPr="00A236B7">
        <w:rPr>
          <w:bCs/>
          <w:i/>
          <w:iCs/>
          <w:szCs w:val="24"/>
        </w:rPr>
        <w:t>RRAS</w:t>
      </w:r>
      <w:r w:rsidRPr="00AC0AB4">
        <w:rPr>
          <w:bCs/>
          <w:szCs w:val="24"/>
        </w:rPr>
        <w:t xml:space="preserve">, </w:t>
      </w:r>
      <w:r w:rsidRPr="00A236B7">
        <w:rPr>
          <w:bCs/>
          <w:i/>
          <w:iCs/>
          <w:szCs w:val="24"/>
        </w:rPr>
        <w:t>CDKN1A</w:t>
      </w:r>
      <w:r w:rsidRPr="00AC0AB4">
        <w:rPr>
          <w:bCs/>
          <w:szCs w:val="24"/>
        </w:rPr>
        <w:t xml:space="preserve">, </w:t>
      </w:r>
      <w:r w:rsidRPr="00A236B7">
        <w:rPr>
          <w:bCs/>
          <w:i/>
          <w:iCs/>
          <w:szCs w:val="24"/>
        </w:rPr>
        <w:t>CDKN2B</w:t>
      </w:r>
      <w:r w:rsidRPr="00AC0AB4">
        <w:rPr>
          <w:bCs/>
          <w:szCs w:val="24"/>
        </w:rPr>
        <w:t xml:space="preserve">, </w:t>
      </w:r>
      <w:r w:rsidRPr="00A236B7">
        <w:rPr>
          <w:bCs/>
          <w:i/>
          <w:iCs/>
          <w:szCs w:val="24"/>
        </w:rPr>
        <w:t>LMNB1</w:t>
      </w:r>
      <w:r w:rsidRPr="00AC0AB4">
        <w:rPr>
          <w:bCs/>
          <w:szCs w:val="24"/>
        </w:rPr>
        <w:t xml:space="preserve">, and </w:t>
      </w:r>
      <w:r w:rsidRPr="00A236B7">
        <w:rPr>
          <w:bCs/>
          <w:i/>
          <w:iCs/>
          <w:szCs w:val="24"/>
        </w:rPr>
        <w:t>CCNA2</w:t>
      </w:r>
      <w:r w:rsidRPr="00AC0AB4">
        <w:rPr>
          <w:bCs/>
          <w:szCs w:val="24"/>
        </w:rPr>
        <w:t>. Expression is shown relative to the corresponding time-matched control</w:t>
      </w:r>
      <w:r>
        <w:rPr>
          <w:bCs/>
          <w:szCs w:val="24"/>
        </w:rPr>
        <w:t xml:space="preserve"> </w:t>
      </w:r>
      <w:r w:rsidRPr="00AC0AB4">
        <w:rPr>
          <w:bCs/>
          <w:szCs w:val="24"/>
        </w:rPr>
        <w:t xml:space="preserve">(n = </w:t>
      </w:r>
      <w:r>
        <w:rPr>
          <w:bCs/>
          <w:szCs w:val="24"/>
        </w:rPr>
        <w:t>3</w:t>
      </w:r>
      <w:r w:rsidRPr="00AC0AB4">
        <w:rPr>
          <w:bCs/>
          <w:szCs w:val="24"/>
        </w:rPr>
        <w:t>).</w:t>
      </w:r>
      <w:r>
        <w:rPr>
          <w:bCs/>
          <w:szCs w:val="24"/>
        </w:rPr>
        <w:t xml:space="preserve"> </w:t>
      </w:r>
      <w:r w:rsidRPr="00F4160D">
        <w:rPr>
          <w:bCs/>
          <w:szCs w:val="24"/>
        </w:rPr>
        <w:t>Data are mean ± SEM</w:t>
      </w:r>
      <w:r>
        <w:rPr>
          <w:bCs/>
          <w:szCs w:val="24"/>
        </w:rPr>
        <w:t xml:space="preserve">. </w:t>
      </w:r>
      <w:r w:rsidRPr="00AC0AB4">
        <w:rPr>
          <w:bCs/>
          <w:szCs w:val="24"/>
        </w:rPr>
        <w:t>ns, not significant; *P &lt; 0.05</w:t>
      </w:r>
      <w:r>
        <w:rPr>
          <w:bCs/>
          <w:szCs w:val="24"/>
        </w:rPr>
        <w:t xml:space="preserve">, </w:t>
      </w:r>
      <w:r w:rsidRPr="00AC0AB4">
        <w:rPr>
          <w:bCs/>
          <w:szCs w:val="24"/>
        </w:rPr>
        <w:t>**P &lt; 0.01, ***P &lt; 0.001, and ****P &lt; 0.0001.</w:t>
      </w:r>
    </w:p>
    <w:p w14:paraId="09586CEE" w14:textId="77777777" w:rsidR="00226A31" w:rsidRPr="001739E7" w:rsidRDefault="00226A31" w:rsidP="00226A31">
      <w:pPr>
        <w:spacing w:after="0" w:line="480" w:lineRule="auto"/>
        <w:rPr>
          <w:bCs/>
          <w:szCs w:val="24"/>
        </w:rPr>
      </w:pPr>
      <w:r w:rsidRPr="00AC0AB4">
        <w:rPr>
          <w:b/>
          <w:bCs/>
          <w:szCs w:val="24"/>
        </w:rPr>
        <w:t>Fig. S8. 5β-DHT induces senescence-associated protein changes in AR-mutant PC-3 cells.</w:t>
      </w:r>
      <w:r w:rsidRPr="00AC0AB4">
        <w:rPr>
          <w:b/>
          <w:szCs w:val="24"/>
        </w:rPr>
        <w:br/>
      </w:r>
      <w:r w:rsidRPr="00AC0AB4">
        <w:rPr>
          <w:bCs/>
          <w:szCs w:val="24"/>
        </w:rPr>
        <w:t xml:space="preserve">Representative immunoblots of phospho-Rb (Ser807/811), SKP2, p27, p21, and β-actin in </w:t>
      </w:r>
      <w:r w:rsidRPr="00AC0AB4">
        <w:rPr>
          <w:bCs/>
          <w:szCs w:val="24"/>
        </w:rPr>
        <w:lastRenderedPageBreak/>
        <w:t xml:space="preserve">parental PC-3, PC-3 AR-W742C, and PC-3 AR-H875Y cells treated with vehicle, 100 nM T, or 100 nM 5β-DHT for 3 days in </w:t>
      </w:r>
      <w:r>
        <w:rPr>
          <w:bCs/>
          <w:szCs w:val="24"/>
        </w:rPr>
        <w:t>full serum</w:t>
      </w:r>
      <w:r w:rsidRPr="00AC0AB4">
        <w:rPr>
          <w:bCs/>
          <w:szCs w:val="24"/>
        </w:rPr>
        <w:t xml:space="preserve"> medium</w:t>
      </w:r>
      <w:r>
        <w:rPr>
          <w:bCs/>
          <w:szCs w:val="24"/>
        </w:rPr>
        <w:t xml:space="preserve"> </w:t>
      </w:r>
      <w:r w:rsidRPr="00AC0AB4">
        <w:rPr>
          <w:bCs/>
          <w:szCs w:val="24"/>
        </w:rPr>
        <w:t xml:space="preserve">(n = </w:t>
      </w:r>
      <w:r>
        <w:rPr>
          <w:bCs/>
          <w:szCs w:val="24"/>
        </w:rPr>
        <w:t>3</w:t>
      </w:r>
      <w:r w:rsidRPr="00AC0AB4">
        <w:rPr>
          <w:bCs/>
          <w:szCs w:val="24"/>
        </w:rPr>
        <w:t>).</w:t>
      </w:r>
    </w:p>
    <w:p w14:paraId="20578A0E" w14:textId="77777777" w:rsidR="00E023F9" w:rsidRDefault="00E023F9"/>
    <w:sectPr w:rsidR="00E023F9" w:rsidSect="00226A31">
      <w:footerReference w:type="default" r:id="rId4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67632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9BBA98" w14:textId="77777777" w:rsidR="00226A31" w:rsidRDefault="00226A3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522A84" w14:textId="77777777" w:rsidR="00226A31" w:rsidRDefault="00226A3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A31"/>
    <w:rsid w:val="000C4033"/>
    <w:rsid w:val="00173ED8"/>
    <w:rsid w:val="00226A31"/>
    <w:rsid w:val="002F50B1"/>
    <w:rsid w:val="003950CF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3A31B"/>
  <w15:chartTrackingRefBased/>
  <w15:docId w15:val="{802476BC-17CF-448E-BFAC-34550D4FF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A31"/>
    <w:pPr>
      <w:spacing w:after="200" w:line="276" w:lineRule="auto"/>
    </w:pPr>
    <w:rPr>
      <w:rFonts w:ascii="Times New Roman" w:eastAsiaTheme="minorEastAsia" w:hAnsi="Times New Roman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6A3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6A3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6A3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6A3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6A3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6A31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6A31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6A31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6A31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6A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6A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6A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6A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6A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6A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6A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6A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6A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6A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26A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6A3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26A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6A31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26A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6A31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26A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6A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6A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6A31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226A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A31"/>
    <w:rPr>
      <w:rFonts w:ascii="Times New Roman" w:eastAsiaTheme="minorEastAsia" w:hAnsi="Times New Roman"/>
      <w:kern w:val="0"/>
      <w:szCs w:val="22"/>
      <w:lang w:val="en-US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226A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539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2026-07-30T09:43:00Z</dcterms:created>
  <dcterms:modified xsi:type="dcterms:W3CDTF">2026-07-30T09:43:00Z</dcterms:modified>
</cp:coreProperties>
</file>