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/>
          <w:b/>
          <w:i w:val="0"/>
          <w:sz w:val="28"/>
        </w:rPr>
        <w:t>Online Resource 1</w:t>
      </w:r>
    </w:p>
    <w:p>
      <w:pPr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 xml:space="preserve">Tree proximity dominates meter-scale microbial activity beneath mature </w:t>
      </w:r>
      <w:r>
        <w:rPr>
          <w:rFonts w:ascii="Times New Roman" w:hAnsi="Times New Roman" w:eastAsia="Times New Roman"/>
          <w:b/>
          <w:i/>
          <w:sz w:val="24"/>
        </w:rPr>
        <w:t>Faidherbia albida</w:t>
      </w:r>
      <w:r>
        <w:rPr>
          <w:rFonts w:ascii="Times New Roman" w:hAnsi="Times New Roman" w:eastAsia="Times New Roman"/>
          <w:b/>
          <w:i w:val="0"/>
          <w:sz w:val="24"/>
        </w:rPr>
        <w:t xml:space="preserve"> trees on a sandy tropical soil in Zambia: evidence from spatial regression and blocked validation</w:t>
      </w:r>
    </w:p>
    <w:p>
      <w:pPr>
        <w:jc w:val="center"/>
      </w:pPr>
      <w:r>
        <w:rPr>
          <w:rFonts w:ascii="Times New Roman" w:hAnsi="Times New Roman" w:eastAsia="Times New Roman"/>
          <w:b w:val="0"/>
          <w:i w:val="0"/>
          <w:sz w:val="20"/>
        </w:rPr>
        <w:t>Elijah Phiri, Patience Chanda and Alice Mutiti Mweetwa</w:t>
      </w:r>
    </w:p>
    <w:p>
      <w:pPr>
        <w:jc w:val="center"/>
      </w:pPr>
      <w:r>
        <w:rPr>
          <w:rFonts w:ascii="Times New Roman" w:hAnsi="Times New Roman" w:eastAsia="Times New Roman"/>
          <w:b w:val="0"/>
          <w:i w:val="0"/>
          <w:sz w:val="20"/>
        </w:rPr>
        <w:t>Agroforestry Systems</w:t>
      </w:r>
    </w:p>
    <w:p>
      <w:pPr>
        <w:keepNext w:val="0"/>
        <w:spacing w:line="240" w:lineRule="auto" w:before="60" w:after="120"/>
        <w:jc w:val="left"/>
      </w:pPr>
      <w:r>
        <w:rPr>
          <w:rFonts w:ascii="Times New Roman" w:hAnsi="Times New Roman" w:eastAsia="Times New Roman"/>
          <w:b/>
          <w:sz w:val="18"/>
        </w:rPr>
        <w:t>Table S1</w:t>
      </w:r>
      <w:r>
        <w:rPr>
          <w:rFonts w:ascii="Times New Roman" w:hAnsi="Times New Roman" w:eastAsia="Times New Roman"/>
          <w:sz w:val="18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18"/>
        </w:rPr>
        <w:t>Descriptive statistics for measured soil properties and tree distance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7"/>
        <w:gridCol w:w="1027"/>
        <w:gridCol w:w="1027"/>
        <w:gridCol w:w="1027"/>
        <w:gridCol w:w="1027"/>
        <w:gridCol w:w="1027"/>
        <w:gridCol w:w="1027"/>
        <w:gridCol w:w="1027"/>
        <w:gridCol w:w="1027"/>
      </w:tblGrid>
      <w:tr>
        <w:trPr>
          <w:cantSplit/>
          <w:tblHeader w:val="true"/>
        </w:trPr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2F3"/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sz w:val="1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14"/>
              </w:rPr>
              <w:t>Variable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2F3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14"/>
              </w:rPr>
              <w:t>n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2F3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14"/>
              </w:rPr>
              <w:t>Mean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2F3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14"/>
              </w:rPr>
              <w:t>SD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2F3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14"/>
              </w:rPr>
              <w:t>CV (%)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2F3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14"/>
              </w:rPr>
              <w:t>Minimum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2F3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14"/>
              </w:rPr>
              <w:t>Median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2F3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14"/>
              </w:rPr>
              <w:t>Maximum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2F3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14"/>
              </w:rPr>
              <w:t>Skewness</w:t>
            </w:r>
          </w:p>
        </w:tc>
      </w:tr>
      <w:tr>
        <w:trPr>
          <w:cantSplit/>
        </w:trPr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MA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169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2.88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1.36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47.3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0.15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2.68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7.61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0.84</w:t>
            </w:r>
          </w:p>
        </w:tc>
      </w:tr>
      <w:tr>
        <w:trPr>
          <w:cantSplit/>
        </w:trPr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SOC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169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1.11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0.19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17.0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0.56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1.12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1.76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0.23</w:t>
            </w:r>
          </w:p>
        </w:tc>
      </w:tr>
      <w:tr>
        <w:trPr>
          <w:cantSplit/>
        </w:trPr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pH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169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5.21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0.41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7.9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4.52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5.07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6.05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0.48</w:t>
            </w:r>
          </w:p>
        </w:tc>
      </w:tr>
      <w:tr>
        <w:trPr>
          <w:cantSplit/>
        </w:trPr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Sand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169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80.94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2.24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2.8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72.93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80.80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85.80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-0.16</w:t>
            </w:r>
          </w:p>
        </w:tc>
      </w:tr>
      <w:tr>
        <w:trPr>
          <w:cantSplit/>
        </w:trPr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Silt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169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7.58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1.67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22.0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3.80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7.20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12.67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0.50</w:t>
            </w:r>
          </w:p>
        </w:tc>
      </w:tr>
      <w:tr>
        <w:trPr>
          <w:cantSplit/>
        </w:trPr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Clay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169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11.47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2.28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19.8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6.40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11.73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16.40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-0.24</w:t>
            </w:r>
          </w:p>
        </w:tc>
      </w:tr>
      <w:tr>
        <w:trPr>
          <w:cantSplit/>
        </w:trPr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Fine fraction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169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19.06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2.24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11.8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14.20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19.20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27.07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0.17</w:t>
            </w:r>
          </w:p>
        </w:tc>
      </w:tr>
      <w:tr>
        <w:trPr>
          <w:cantSplit/>
        </w:trPr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Tree distance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169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6.83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3.55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52.0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0.00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6.32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12.53</w:t>
            </w:r>
          </w:p>
        </w:tc>
        <w:tc>
          <w:tcPr>
            <w:tcW w:type="dxa" w:w="102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0.02</w:t>
            </w:r>
          </w:p>
        </w:tc>
      </w:tr>
    </w:tbl>
    <w:p>
      <w:pPr>
        <w:spacing w:after="120" w:line="240" w:lineRule="auto"/>
      </w:pPr>
      <w:r>
        <w:rPr>
          <w:rFonts w:ascii="Times New Roman" w:hAnsi="Times New Roman" w:eastAsia="Times New Roman"/>
          <w:b w:val="0"/>
          <w:i w:val="0"/>
          <w:sz w:val="16"/>
        </w:rPr>
        <w:t>SOC, soil organic carbon; MA, microbial activity index. Sand, silt, clay and fine fraction are percentages; SOC is percentage carbon.</w:t>
      </w:r>
    </w:p>
    <w:p>
      <w:pPr>
        <w:keepNext w:val="0"/>
        <w:spacing w:line="240" w:lineRule="auto" w:before="60" w:after="120"/>
        <w:jc w:val="left"/>
      </w:pPr>
      <w:r>
        <w:rPr>
          <w:rFonts w:ascii="Times New Roman" w:hAnsi="Times New Roman" w:eastAsia="Times New Roman"/>
          <w:b/>
          <w:sz w:val="18"/>
        </w:rPr>
        <w:t>Table S2</w:t>
      </w:r>
      <w:r>
        <w:rPr>
          <w:rFonts w:ascii="Times New Roman" w:hAnsi="Times New Roman" w:eastAsia="Times New Roman"/>
          <w:sz w:val="18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18"/>
        </w:rPr>
        <w:t>Global Moran’s I for response and predictor variables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8"/>
        <w:gridCol w:w="1848"/>
        <w:gridCol w:w="1848"/>
        <w:gridCol w:w="1848"/>
        <w:gridCol w:w="1848"/>
      </w:tblGrid>
      <w:tr>
        <w:trPr>
          <w:cantSplit/>
          <w:tblHeader w:val="true"/>
        </w:trPr>
        <w:tc>
          <w:tcPr>
            <w:tcW w:type="dxa" w:w="184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2F3"/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sz w:val="16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16"/>
              </w:rPr>
              <w:t>Variable</w:t>
            </w:r>
          </w:p>
        </w:tc>
        <w:tc>
          <w:tcPr>
            <w:tcW w:type="dxa" w:w="184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2F3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16"/>
              </w:rPr>
              <w:t>Moran’s I</w:t>
            </w:r>
          </w:p>
        </w:tc>
        <w:tc>
          <w:tcPr>
            <w:tcW w:type="dxa" w:w="184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2F3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16"/>
              </w:rPr>
              <w:t>Expected I</w:t>
            </w:r>
          </w:p>
        </w:tc>
        <w:tc>
          <w:tcPr>
            <w:tcW w:type="dxa" w:w="184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2F3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16"/>
              </w:rPr>
              <w:t>Permutation p</w:t>
            </w:r>
          </w:p>
        </w:tc>
        <w:tc>
          <w:tcPr>
            <w:tcW w:type="dxa" w:w="184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2F3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16"/>
              </w:rPr>
              <w:t>Permutation z</w:t>
            </w:r>
          </w:p>
        </w:tc>
      </w:tr>
      <w:tr>
        <w:trPr>
          <w:cantSplit/>
        </w:trPr>
        <w:tc>
          <w:tcPr>
            <w:tcW w:type="dxa" w:w="184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MA</w:t>
            </w:r>
          </w:p>
        </w:tc>
        <w:tc>
          <w:tcPr>
            <w:tcW w:type="dxa" w:w="184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0.160</w:t>
            </w:r>
          </w:p>
        </w:tc>
        <w:tc>
          <w:tcPr>
            <w:tcW w:type="dxa" w:w="184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-0.006</w:t>
            </w:r>
          </w:p>
        </w:tc>
        <w:tc>
          <w:tcPr>
            <w:tcW w:type="dxa" w:w="184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&lt;0.001</w:t>
            </w:r>
          </w:p>
        </w:tc>
        <w:tc>
          <w:tcPr>
            <w:tcW w:type="dxa" w:w="184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4.43</w:t>
            </w:r>
          </w:p>
        </w:tc>
      </w:tr>
      <w:tr>
        <w:trPr>
          <w:cantSplit/>
        </w:trPr>
        <w:tc>
          <w:tcPr>
            <w:tcW w:type="dxa" w:w="184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ln(MA)</w:t>
            </w:r>
          </w:p>
        </w:tc>
        <w:tc>
          <w:tcPr>
            <w:tcW w:type="dxa" w:w="184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0.167</w:t>
            </w:r>
          </w:p>
        </w:tc>
        <w:tc>
          <w:tcPr>
            <w:tcW w:type="dxa" w:w="184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-0.006</w:t>
            </w:r>
          </w:p>
        </w:tc>
        <w:tc>
          <w:tcPr>
            <w:tcW w:type="dxa" w:w="184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&lt;0.001</w:t>
            </w:r>
          </w:p>
        </w:tc>
        <w:tc>
          <w:tcPr>
            <w:tcW w:type="dxa" w:w="184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4.73</w:t>
            </w:r>
          </w:p>
        </w:tc>
      </w:tr>
      <w:tr>
        <w:trPr>
          <w:cantSplit/>
        </w:trPr>
        <w:tc>
          <w:tcPr>
            <w:tcW w:type="dxa" w:w="184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SOC</w:t>
            </w:r>
          </w:p>
        </w:tc>
        <w:tc>
          <w:tcPr>
            <w:tcW w:type="dxa" w:w="184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0.267</w:t>
            </w:r>
          </w:p>
        </w:tc>
        <w:tc>
          <w:tcPr>
            <w:tcW w:type="dxa" w:w="184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-0.006</w:t>
            </w:r>
          </w:p>
        </w:tc>
        <w:tc>
          <w:tcPr>
            <w:tcW w:type="dxa" w:w="184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&lt;0.001</w:t>
            </w:r>
          </w:p>
        </w:tc>
        <w:tc>
          <w:tcPr>
            <w:tcW w:type="dxa" w:w="184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7.44</w:t>
            </w:r>
          </w:p>
        </w:tc>
      </w:tr>
      <w:tr>
        <w:trPr>
          <w:cantSplit/>
        </w:trPr>
        <w:tc>
          <w:tcPr>
            <w:tcW w:type="dxa" w:w="184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pH</w:t>
            </w:r>
          </w:p>
        </w:tc>
        <w:tc>
          <w:tcPr>
            <w:tcW w:type="dxa" w:w="184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0.532</w:t>
            </w:r>
          </w:p>
        </w:tc>
        <w:tc>
          <w:tcPr>
            <w:tcW w:type="dxa" w:w="184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-0.006</w:t>
            </w:r>
          </w:p>
        </w:tc>
        <w:tc>
          <w:tcPr>
            <w:tcW w:type="dxa" w:w="184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&lt;0.001</w:t>
            </w:r>
          </w:p>
        </w:tc>
        <w:tc>
          <w:tcPr>
            <w:tcW w:type="dxa" w:w="184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14.37</w:t>
            </w:r>
          </w:p>
        </w:tc>
      </w:tr>
      <w:tr>
        <w:trPr>
          <w:cantSplit/>
        </w:trPr>
        <w:tc>
          <w:tcPr>
            <w:tcW w:type="dxa" w:w="184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ILR₁: sand vs. fines</w:t>
            </w:r>
          </w:p>
        </w:tc>
        <w:tc>
          <w:tcPr>
            <w:tcW w:type="dxa" w:w="184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0.352</w:t>
            </w:r>
          </w:p>
        </w:tc>
        <w:tc>
          <w:tcPr>
            <w:tcW w:type="dxa" w:w="184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-0.006</w:t>
            </w:r>
          </w:p>
        </w:tc>
        <w:tc>
          <w:tcPr>
            <w:tcW w:type="dxa" w:w="184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&lt;0.001</w:t>
            </w:r>
          </w:p>
        </w:tc>
        <w:tc>
          <w:tcPr>
            <w:tcW w:type="dxa" w:w="184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9.79</w:t>
            </w:r>
          </w:p>
        </w:tc>
      </w:tr>
      <w:tr>
        <w:trPr>
          <w:cantSplit/>
        </w:trPr>
        <w:tc>
          <w:tcPr>
            <w:tcW w:type="dxa" w:w="184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ILR₂: silt vs. clay</w:t>
            </w:r>
          </w:p>
        </w:tc>
        <w:tc>
          <w:tcPr>
            <w:tcW w:type="dxa" w:w="184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0.392</w:t>
            </w:r>
          </w:p>
        </w:tc>
        <w:tc>
          <w:tcPr>
            <w:tcW w:type="dxa" w:w="184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-0.006</w:t>
            </w:r>
          </w:p>
        </w:tc>
        <w:tc>
          <w:tcPr>
            <w:tcW w:type="dxa" w:w="184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&lt;0.001</w:t>
            </w:r>
          </w:p>
        </w:tc>
        <w:tc>
          <w:tcPr>
            <w:tcW w:type="dxa" w:w="184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10.63</w:t>
            </w:r>
          </w:p>
        </w:tc>
      </w:tr>
      <w:tr>
        <w:trPr>
          <w:cantSplit/>
        </w:trPr>
        <w:tc>
          <w:tcPr>
            <w:tcW w:type="dxa" w:w="184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Tree distance</w:t>
            </w:r>
          </w:p>
        </w:tc>
        <w:tc>
          <w:tcPr>
            <w:tcW w:type="dxa" w:w="184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0.840</w:t>
            </w:r>
          </w:p>
        </w:tc>
        <w:tc>
          <w:tcPr>
            <w:tcW w:type="dxa" w:w="184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-0.006</w:t>
            </w:r>
          </w:p>
        </w:tc>
        <w:tc>
          <w:tcPr>
            <w:tcW w:type="dxa" w:w="184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&lt;0.001</w:t>
            </w:r>
          </w:p>
        </w:tc>
        <w:tc>
          <w:tcPr>
            <w:tcW w:type="dxa" w:w="184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22.85</w:t>
            </w:r>
          </w:p>
        </w:tc>
      </w:tr>
    </w:tbl>
    <w:p>
      <w:pPr>
        <w:spacing w:after="120" w:line="240" w:lineRule="auto"/>
      </w:pPr>
      <w:r>
        <w:rPr>
          <w:rFonts w:ascii="Times New Roman" w:hAnsi="Times New Roman" w:eastAsia="Times New Roman"/>
          <w:b w:val="0"/>
          <w:i w:val="0"/>
          <w:sz w:val="16"/>
        </w:rPr>
        <w:t>Spatial weights were row-standardised and based on eight nearest neighbours; inference used 9,999 permutations.</w:t>
      </w:r>
    </w:p>
    <w:p>
      <w:pPr>
        <w:keepNext w:val="0"/>
        <w:spacing w:line="240" w:lineRule="auto" w:before="60" w:after="120"/>
        <w:jc w:val="left"/>
      </w:pPr>
      <w:r>
        <w:rPr>
          <w:rFonts w:ascii="Times New Roman" w:hAnsi="Times New Roman" w:eastAsia="Times New Roman"/>
          <w:b/>
          <w:sz w:val="18"/>
        </w:rPr>
        <w:t>Table S3</w:t>
      </w:r>
      <w:r>
        <w:rPr>
          <w:rFonts w:ascii="Times New Roman" w:hAnsi="Times New Roman" w:eastAsia="Times New Roman"/>
          <w:sz w:val="18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18"/>
        </w:rPr>
        <w:t>Leave-one-out ordinary kriging performance for ln(MA)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310"/>
        <w:gridCol w:w="2310"/>
        <w:gridCol w:w="2310"/>
        <w:gridCol w:w="2310"/>
      </w:tblGrid>
      <w:tr>
        <w:trPr>
          <w:cantSplit/>
          <w:tblHeader w:val="true"/>
        </w:trPr>
        <w:tc>
          <w:tcPr>
            <w:tcW w:type="dxa" w:w="231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2F3"/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sz w:val="16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16"/>
              </w:rPr>
              <w:t>Variogram model</w:t>
            </w:r>
          </w:p>
        </w:tc>
        <w:tc>
          <w:tcPr>
            <w:tcW w:type="dxa" w:w="231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2F3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16"/>
              </w:rPr>
              <w:t>RMSE</w:t>
            </w:r>
          </w:p>
        </w:tc>
        <w:tc>
          <w:tcPr>
            <w:tcW w:type="dxa" w:w="231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2F3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16"/>
              </w:rPr>
              <w:t>MAE</w:t>
            </w:r>
          </w:p>
        </w:tc>
        <w:tc>
          <w:tcPr>
            <w:tcW w:type="dxa" w:w="231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2F3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16"/>
              </w:rPr>
              <w:t>Bias</w:t>
            </w:r>
          </w:p>
        </w:tc>
      </w:tr>
      <w:tr>
        <w:trPr>
          <w:cantSplit/>
        </w:trPr>
        <w:tc>
          <w:tcPr>
            <w:tcW w:type="dxa" w:w="231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Spherical</w:t>
            </w:r>
          </w:p>
        </w:tc>
        <w:tc>
          <w:tcPr>
            <w:tcW w:type="dxa" w:w="231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0.499</w:t>
            </w:r>
          </w:p>
        </w:tc>
        <w:tc>
          <w:tcPr>
            <w:tcW w:type="dxa" w:w="231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0.387</w:t>
            </w:r>
          </w:p>
        </w:tc>
        <w:tc>
          <w:tcPr>
            <w:tcW w:type="dxa" w:w="231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-0.00001</w:t>
            </w:r>
          </w:p>
        </w:tc>
      </w:tr>
      <w:tr>
        <w:trPr>
          <w:cantSplit/>
        </w:trPr>
        <w:tc>
          <w:tcPr>
            <w:tcW w:type="dxa" w:w="231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Exponential</w:t>
            </w:r>
          </w:p>
        </w:tc>
        <w:tc>
          <w:tcPr>
            <w:tcW w:type="dxa" w:w="231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0.499</w:t>
            </w:r>
          </w:p>
        </w:tc>
        <w:tc>
          <w:tcPr>
            <w:tcW w:type="dxa" w:w="231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0.389</w:t>
            </w:r>
          </w:p>
        </w:tc>
        <w:tc>
          <w:tcPr>
            <w:tcW w:type="dxa" w:w="231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0.00030</w:t>
            </w:r>
          </w:p>
        </w:tc>
      </w:tr>
      <w:tr>
        <w:trPr>
          <w:cantSplit/>
        </w:trPr>
        <w:tc>
          <w:tcPr>
            <w:tcW w:type="dxa" w:w="231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Gaussian</w:t>
            </w:r>
          </w:p>
        </w:tc>
        <w:tc>
          <w:tcPr>
            <w:tcW w:type="dxa" w:w="231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1.477</w:t>
            </w:r>
          </w:p>
        </w:tc>
        <w:tc>
          <w:tcPr>
            <w:tcW w:type="dxa" w:w="231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1.178</w:t>
            </w:r>
          </w:p>
        </w:tc>
        <w:tc>
          <w:tcPr>
            <w:tcW w:type="dxa" w:w="231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0.01194</w:t>
            </w:r>
          </w:p>
        </w:tc>
      </w:tr>
    </w:tbl>
    <w:p>
      <w:pPr>
        <w:spacing w:after="120" w:line="240" w:lineRule="auto"/>
      </w:pPr>
      <w:r>
        <w:rPr>
          <w:rFonts w:ascii="Times New Roman" w:hAnsi="Times New Roman" w:eastAsia="Times New Roman"/>
          <w:b w:val="0"/>
          <w:i w:val="0"/>
          <w:sz w:val="16"/>
        </w:rPr>
        <w:t>The lowest-root mean square error model was used for descriptive prediction and uncertainty surfaces.</w:t>
      </w:r>
    </w:p>
    <w:sectPr w:rsidR="00FC693F" w:rsidRPr="0006063C" w:rsidSect="00034616">
      <w:footerReference w:type="default" r:id="rId9"/>
      <w:pgSz w:w="11906" w:h="16838"/>
      <w:pgMar w:top="1304" w:right="1247" w:bottom="1304" w:left="1417" w:header="567" w:footer="567" w:gutter="0"/>
      <w:cols w:space="720"/>
      <w:docGrid w:linePitch="360"/>
      <w:lnNumType w:countBy="1" w:restart="continuous" w:distance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sz w:val="18"/>
      </w:rPr>
      <w:t xml:space="preserve">Page </w:t>
    </w:r>
    <w:r>
      <w:rPr>
        <w:rFonts w:ascii="Times New Roman" w:hAnsi="Times New Roman"/>
        <w:sz w:val="18"/>
      </w:rP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120"/>
    </w:pPr>
    <w:rPr>
      <w:rFonts w:ascii="Times New Roman" w:hAnsi="Times New Roman" w:eastAsia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000000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ference">
    <w:name w:val="Reference"/>
    <w:pPr>
      <w:spacing w:line="240" w:lineRule="auto" w:after="60"/>
      <w:ind w:left="283" w:hanging="283"/>
    </w:pPr>
    <w:rPr>
      <w:rFonts w:ascii="Times New Roman" w:hAnsi="Times New Roman" w:eastAsia="Times New Roman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Online Resource 1: Tree proximity dominates meter-scale microbial activity beneath mature Faidherbia albida trees on a sandy tropical soil in Zambia: evidence from spatial regression and blocked validation</dc:title>
  <dc:subject>Supplementary information for Agroforestry Systems</dc:subject>
  <dc:creator>Elijah Phiri; Patience Chanda; Alice Mutiti Mweetwa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