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F4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Supporting Information</w:t>
      </w:r>
    </w:p>
    <w:p w14:paraId="23C81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 w14:paraId="0D6D9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sz w:val="32"/>
          <w:szCs w:val="32"/>
          <w:lang w:val="en-US" w:eastAsia="zh-CN"/>
        </w:rPr>
        <w:t>Engineering a Sustainable Cork-PLA Biocomposite with Coupled Thermal Management and Multifunctional Protection for Low-Altitude Packaging</w:t>
      </w:r>
    </w:p>
    <w:p w14:paraId="65EE760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Jiachen Liu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1,#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, Fengbiao Yao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1,#</w:t>
      </w:r>
      <w:r>
        <w:rPr>
          <w:rFonts w:hint="default" w:ascii="Times New Roman" w:hAnsi="Times New Roman" w:cs="Times New Roman"/>
          <w:highlight w:val="none"/>
          <w:vertAlign w:val="baseli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 xml:space="preserve"> Tengfei Yi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1,#</w:t>
      </w:r>
      <w:r>
        <w:rPr>
          <w:rFonts w:hint="default" w:ascii="Times New Roman" w:hAnsi="Times New Roman" w:cs="Times New Roman"/>
          <w:highlight w:val="none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Xudong Gao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, Xiaoliang Wang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1,</w:t>
      </w:r>
      <w:r>
        <w:rPr>
          <w:rFonts w:hint="default" w:ascii="Times New Roman" w:hAnsi="Times New Roman" w:eastAsia="宋体" w:cs="Times New Roman"/>
          <w:i/>
          <w:iCs w:val="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, Xiaojie Hu</w:t>
      </w:r>
      <w:r>
        <w:rPr>
          <w:rFonts w:hint="default" w:ascii="Times New Roman" w:hAnsi="Times New Roman" w:cs="Times New Roman"/>
          <w:highlight w:val="none"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, Baoxuan Liu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，Xiaoying Dong</w:t>
      </w:r>
      <w:r>
        <w:rPr>
          <w:rFonts w:hint="default" w:ascii="Times New Roman" w:hAnsi="Times New Roman" w:eastAsia="宋体" w:cs="Times New Roman"/>
          <w:highlight w:val="none"/>
          <w:vertAlign w:val="baseline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,</w:t>
      </w:r>
      <w:r>
        <w:rPr>
          <w:rFonts w:hint="default" w:ascii="Times New Roman" w:hAnsi="Times New Roman" w:cs="Times New Roman"/>
          <w:i/>
          <w:iCs/>
          <w:vertAlign w:val="superscript"/>
          <w:lang w:val="en-US" w:eastAsia="zh-CN"/>
        </w:rPr>
        <w:t>1,2,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, Yongfeng Li</w:t>
      </w:r>
      <w:r>
        <w:rPr>
          <w:rFonts w:hint="default" w:ascii="Times New Roman" w:hAnsi="Times New Roman" w:eastAsia="宋体" w:cs="Times New Roman"/>
          <w:highlight w:val="none"/>
          <w:vertAlign w:val="baseline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,</w:t>
      </w:r>
      <w:r>
        <w:rPr>
          <w:rFonts w:hint="default" w:ascii="Times New Roman" w:hAnsi="Times New Roman" w:cs="Times New Roman"/>
          <w:i/>
          <w:iCs/>
          <w:vertAlign w:val="superscript"/>
          <w:lang w:val="en-US" w:eastAsia="zh-CN"/>
        </w:rPr>
        <w:t>1,2</w:t>
      </w: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>,3</w:t>
      </w:r>
    </w:p>
    <w:p w14:paraId="0B1237F4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left"/>
        <w:textAlignment w:val="auto"/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</w:pPr>
    </w:p>
    <w:p w14:paraId="0E950E14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i/>
          <w:iCs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lang w:val="en-US" w:eastAsia="zh-CN"/>
        </w:rPr>
        <w:t xml:space="preserve"> Key Laboratory for Warm Temperate Forest Ecosystem Conservation and Restoration of National Forestry and Grassland Administration, College of Forestry, Shandong Agricultural University, No.61 Daizong Street, Tai'an, Shandong, 271018, China</w:t>
      </w:r>
    </w:p>
    <w:p w14:paraId="36D15A0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i w:val="0"/>
          <w:iCs w:val="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i/>
          <w:iCs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vertAlign w:val="baseline"/>
          <w:lang w:val="en-US" w:eastAsia="zh-CN"/>
        </w:rPr>
        <w:t>Shandong Provincial University-Enterprise Collaborative Innovation Center for High-Performance Wooden Furniture, Tai’an 271018, China</w:t>
      </w:r>
    </w:p>
    <w:p w14:paraId="309D3AF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i/>
          <w:iCs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 xml:space="preserve"> Key Laboratory of Agricultural Film Application of Ministry of Agriculture and Rural Affairs, College of Chemistry and Material Science, Shandong Agricultural University, No.61 Daizong Street, Tai'an, Shandong, 271018, China</w:t>
      </w:r>
    </w:p>
    <w:p w14:paraId="536F07A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highlight w:val="none"/>
          <w:vertAlign w:val="superscript"/>
          <w:lang w:val="en-US" w:eastAsia="zh-CN"/>
        </w:rPr>
        <w:t xml:space="preserve">4 </w:t>
      </w:r>
      <w:r>
        <w:rPr>
          <w:rFonts w:hint="default" w:ascii="Times New Roman" w:hAnsi="Times New Roman" w:eastAsia="宋体" w:cs="Times New Roman"/>
          <w:highlight w:val="none"/>
          <w:vertAlign w:val="baseline"/>
          <w:lang w:val="en-US" w:eastAsia="zh-CN"/>
        </w:rPr>
        <w:t>Shandong Cork Oak Industrial Technology Research Institute Co., Ltd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, Ji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'</w:t>
      </w: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ning 272075, China</w:t>
      </w:r>
    </w:p>
    <w:p w14:paraId="073C9F1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 xml:space="preserve"> Key Laboratory of Bio-Based Material Science and Technology (Ministry of Education), Northeast Forestry University, No.26 Hexi</w:t>
      </w: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ng Road, Harbin, Heilongjiang 150040, China</w:t>
      </w:r>
    </w:p>
    <w:p w14:paraId="1DBEF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Corresponding Auther E-mail: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 w14:paraId="064EA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dxiaoying1982@163.com (Xiaoying Dong);</w:t>
      </w:r>
    </w:p>
    <w:p w14:paraId="793E5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lyf288@126.com (Yongfeng Li).</w:t>
      </w:r>
    </w:p>
    <w:p w14:paraId="6D25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Number of pages: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28</w:t>
      </w:r>
    </w:p>
    <w:p w14:paraId="08A95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Number of figures:17</w:t>
      </w:r>
    </w:p>
    <w:p w14:paraId="0200C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Number of tables:1</w:t>
      </w:r>
    </w:p>
    <w:p w14:paraId="08B66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235A8F9C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Supplementary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methods</w:t>
      </w:r>
    </w:p>
    <w:p w14:paraId="714C491A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Density Measurement</w:t>
      </w:r>
    </w:p>
    <w:p w14:paraId="24D2C063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The density of the materials w</w:t>
      </w:r>
      <w:r>
        <w:rPr>
          <w:rFonts w:hint="default" w:ascii="Times New Roman" w:hAnsi="Times New Roman" w:eastAsia="宋体" w:cs="Times New Roman"/>
          <w:lang w:val="en-US" w:eastAsia="zh-CN"/>
        </w:rPr>
        <w:t>as</w:t>
      </w:r>
      <w:r>
        <w:rPr>
          <w:rFonts w:hint="default" w:ascii="Times New Roman" w:hAnsi="Times New Roman" w:eastAsia="宋体" w:cs="Times New Roman"/>
          <w:lang w:eastAsia="zh-CN"/>
        </w:rPr>
        <w:t xml:space="preserve"> determined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lang w:eastAsia="zh-CN"/>
        </w:rPr>
        <w:t>accord</w:t>
      </w:r>
      <w:r>
        <w:rPr>
          <w:rFonts w:hint="default" w:ascii="Times New Roman" w:hAnsi="Times New Roman" w:eastAsia="宋体" w:cs="Times New Roman"/>
          <w:lang w:val="en-US" w:eastAsia="zh-CN"/>
        </w:rPr>
        <w:t>ance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with</w:t>
      </w:r>
      <w:r>
        <w:rPr>
          <w:rFonts w:hint="default" w:ascii="Times New Roman" w:hAnsi="Times New Roman" w:eastAsia="宋体" w:cs="Times New Roman"/>
          <w:lang w:eastAsia="zh-CN"/>
        </w:rPr>
        <w:t xml:space="preserve"> GB/T 17657–2022. Specimens were cut </w:t>
      </w:r>
      <w:r>
        <w:rPr>
          <w:rFonts w:hint="default" w:ascii="Times New Roman" w:hAnsi="Times New Roman" w:eastAsia="宋体" w:cs="Times New Roman"/>
          <w:lang w:val="en-US" w:eastAsia="zh-CN"/>
        </w:rPr>
        <w:t>in</w:t>
      </w:r>
      <w:r>
        <w:rPr>
          <w:rFonts w:hint="default" w:ascii="Times New Roman" w:hAnsi="Times New Roman" w:eastAsia="宋体" w:cs="Times New Roman"/>
          <w:lang w:eastAsia="zh-CN"/>
        </w:rPr>
        <w:t xml:space="preserve">to dimensions of 50 mm × 50 mm with a thickness of 5 mm. The mass and geometric dimensions (length, width,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lang w:eastAsia="zh-CN"/>
        </w:rPr>
        <w:t>thickness) were measured using an analytical balance a</w:t>
      </w:r>
      <w:r>
        <w:rPr>
          <w:rFonts w:hint="default" w:ascii="Times New Roman" w:hAnsi="Times New Roman" w:eastAsia="宋体" w:cs="Times New Roman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lang w:eastAsia="zh-CN"/>
        </w:rPr>
        <w:t xml:space="preserve">d a digital caliper, respectively. </w:t>
      </w:r>
      <w:r>
        <w:rPr>
          <w:rFonts w:hint="default" w:ascii="Times New Roman" w:hAnsi="Times New Roman" w:eastAsia="宋体" w:cs="Times New Roman"/>
          <w:lang w:val="en-US" w:eastAsia="zh-CN"/>
        </w:rPr>
        <w:t>The d</w:t>
      </w:r>
      <w:r>
        <w:rPr>
          <w:rFonts w:hint="default" w:ascii="Times New Roman" w:hAnsi="Times New Roman" w:eastAsia="宋体" w:cs="Times New Roman"/>
          <w:lang w:eastAsia="zh-CN"/>
        </w:rPr>
        <w:t>ensity was calculated according to formula (1):</w:t>
      </w:r>
    </w:p>
    <w:p w14:paraId="1B92EF50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m:oMath>
        <m:r>
          <m:rPr>
            <m:nor/>
          </m:rPr>
          <w:rPr>
            <w:rFonts w:hint="default" w:ascii="Times New Roman" w:hAnsi="Times New Roman" w:eastAsia="宋体" w:cs="Times New Roman"/>
            <w:i/>
            <w:lang w:eastAsia="zh-CN"/>
          </w:rPr>
          <m:t>ρ</m:t>
        </m:r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m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l</m:t>
            </m:r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</m:t>
            </m:r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b</m:t>
            </m:r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</m:t>
            </m:r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t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×</m:t>
        </m:r>
        <m:sSup>
          <m:sSup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10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3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sup>
        </m:sSup>
      </m:oMath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                          (1)</w:t>
      </w:r>
    </w:p>
    <w:p w14:paraId="6EF38137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where ρ is the density (g/cm³)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m is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>mass (g)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lang w:eastAsia="zh-CN"/>
        </w:rPr>
        <w:t xml:space="preserve">l, b, and t </w:t>
      </w:r>
      <w:r>
        <w:rPr>
          <w:rFonts w:hint="default" w:ascii="Times New Roman" w:hAnsi="Times New Roman" w:eastAsia="宋体" w:cs="Times New Roman"/>
          <w:lang w:val="en-US" w:eastAsia="zh-CN"/>
        </w:rPr>
        <w:t>represent the</w:t>
      </w:r>
      <w:r>
        <w:rPr>
          <w:rFonts w:hint="default" w:ascii="Times New Roman" w:hAnsi="Times New Roman" w:eastAsia="宋体" w:cs="Times New Roman"/>
          <w:lang w:eastAsia="zh-CN"/>
        </w:rPr>
        <w:t xml:space="preserve"> length, width, and thickness of the specimen (mm), respectively.</w:t>
      </w:r>
    </w:p>
    <w:p w14:paraId="0EB0FAD1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Thermal Conductivity Measurement</w:t>
      </w:r>
    </w:p>
    <w:p w14:paraId="184617C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t</w:t>
      </w:r>
      <w:r>
        <w:rPr>
          <w:rFonts w:hint="default" w:ascii="Times New Roman" w:hAnsi="Times New Roman" w:eastAsia="宋体" w:cs="Times New Roman"/>
          <w:lang w:eastAsia="zh-CN"/>
        </w:rPr>
        <w:t>hermal conductivity of the materials w</w:t>
      </w:r>
      <w:r>
        <w:rPr>
          <w:rFonts w:hint="default" w:ascii="Times New Roman" w:hAnsi="Times New Roman" w:eastAsia="宋体" w:cs="Times New Roman"/>
          <w:lang w:val="en-US" w:eastAsia="zh-CN"/>
        </w:rPr>
        <w:t>as</w:t>
      </w:r>
      <w:r>
        <w:rPr>
          <w:rFonts w:hint="default" w:ascii="Times New Roman" w:hAnsi="Times New Roman" w:eastAsia="宋体" w:cs="Times New Roman"/>
          <w:lang w:eastAsia="zh-CN"/>
        </w:rPr>
        <w:t xml:space="preserve"> measured using a thermal conductivity analyzer (DRH-II, Hunan Xiangtan, China) </w:t>
      </w:r>
      <w:r>
        <w:rPr>
          <w:rFonts w:hint="default" w:ascii="Times New Roman" w:hAnsi="Times New Roman" w:eastAsia="宋体" w:cs="Times New Roman"/>
          <w:lang w:val="en-US" w:eastAsia="zh-CN"/>
        </w:rPr>
        <w:t>in accordance with</w:t>
      </w:r>
      <w:r>
        <w:rPr>
          <w:rFonts w:hint="default" w:ascii="Times New Roman" w:hAnsi="Times New Roman" w:eastAsia="宋体" w:cs="Times New Roman"/>
          <w:lang w:eastAsia="zh-CN"/>
        </w:rPr>
        <w:t xml:space="preserve"> LY/T 3375–2024.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>Specimens with dimensions of 300 mm × 300 mm × 5 mm were tested under steady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lang w:eastAsia="zh-CN"/>
        </w:rPr>
        <w:t xml:space="preserve">state conditions, with the hot plate maintained at 45 °C and the cold plate at 10 °C. </w:t>
      </w:r>
      <w:r>
        <w:rPr>
          <w:rFonts w:hint="default" w:ascii="Times New Roman" w:hAnsi="Times New Roman" w:eastAsia="宋体" w:cs="Times New Roman"/>
          <w:lang w:val="en-US" w:eastAsia="zh-CN"/>
        </w:rPr>
        <w:t>The t</w:t>
      </w:r>
      <w:r>
        <w:rPr>
          <w:rFonts w:hint="default" w:ascii="Times New Roman" w:hAnsi="Times New Roman" w:eastAsia="宋体" w:cs="Times New Roman"/>
          <w:lang w:eastAsia="zh-CN"/>
        </w:rPr>
        <w:t xml:space="preserve">hermal conductivity was calculated </w:t>
      </w:r>
      <w:r>
        <w:rPr>
          <w:rFonts w:hint="default" w:ascii="Times New Roman" w:hAnsi="Times New Roman" w:eastAsia="宋体" w:cs="Times New Roman"/>
          <w:lang w:val="en-US" w:eastAsia="zh-CN"/>
        </w:rPr>
        <w:t>using Equation</w:t>
      </w:r>
      <w:r>
        <w:rPr>
          <w:rFonts w:hint="default" w:ascii="Times New Roman" w:hAnsi="Times New Roman" w:eastAsia="宋体" w:cs="Times New Roman"/>
          <w:lang w:eastAsia="zh-CN"/>
        </w:rPr>
        <w:t xml:space="preserve"> (2):</w:t>
      </w:r>
    </w:p>
    <w:p w14:paraId="201F562B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m:oMath>
        <m:r>
          <m:rPr>
            <m:nor/>
          </m:rPr>
          <w:rPr>
            <w:rFonts w:hint="default" w:ascii="Times New Roman" w:hAnsi="Times New Roman" w:eastAsia="宋体" w:cs="Times New Roman"/>
            <w:i/>
            <w:lang w:eastAsia="zh-CN"/>
          </w:rPr>
          <m:t>λ</m:t>
        </m:r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W</m:t>
            </m:r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</m:t>
            </m:r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d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×(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t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-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t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)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</m:oMath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                          (2)</w:t>
      </w:r>
    </w:p>
    <w:p w14:paraId="761B8DD0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where λ is the thermal conductivity (W/(m·K))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W is the  steady-state heating power (W)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d is the specimen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>thickness (m)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A is the effective heat transfer area (m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lang w:eastAsia="zh-CN"/>
        </w:rPr>
        <w:t>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and t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1</w:t>
      </w:r>
      <w:r>
        <w:rPr>
          <w:rFonts w:hint="default" w:ascii="Times New Roman" w:hAnsi="Times New Roman" w:eastAsia="宋体" w:cs="Times New Roman"/>
          <w:lang w:eastAsia="zh-CN"/>
        </w:rPr>
        <w:t>, t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2</w:t>
      </w:r>
      <w:r>
        <w:rPr>
          <w:rFonts w:hint="default" w:ascii="Times New Roman" w:hAnsi="Times New Roman" w:eastAsia="宋体" w:cs="Times New Roman"/>
          <w:lang w:eastAsia="zh-CN"/>
        </w:rPr>
        <w:t xml:space="preserve"> are the temperatures of the hot and cold surfaces (°C), respectively.</w:t>
      </w:r>
    </w:p>
    <w:p w14:paraId="1A1C49DE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Heat and Cold Source Testing</w:t>
      </w:r>
    </w:p>
    <w:p w14:paraId="6254B91F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Heat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lang w:eastAsia="zh-CN"/>
        </w:rPr>
        <w:t>source and cold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lang w:eastAsia="zh-CN"/>
        </w:rPr>
        <w:t>source tests were conducted using an infrared thermal imaging system (DRH-II, Shanghai Biaozhuo, China). Specimens (50 mm x 50 mm x 4 mm) were placed on a heating plate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maintained at </w:t>
      </w:r>
      <w:r>
        <w:rPr>
          <w:rFonts w:hint="default" w:ascii="Times New Roman" w:hAnsi="Times New Roman" w:eastAsia="宋体" w:cs="Times New Roman"/>
          <w:lang w:eastAsia="zh-CN"/>
        </w:rPr>
        <w:t>60°C or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on</w:t>
      </w:r>
      <w:r>
        <w:rPr>
          <w:rFonts w:hint="default" w:ascii="Times New Roman" w:hAnsi="Times New Roman" w:eastAsia="宋体" w:cs="Times New Roman"/>
          <w:lang w:eastAsia="zh-CN"/>
        </w:rPr>
        <w:t xml:space="preserve"> a cooling plate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set at </w:t>
      </w:r>
      <w:r>
        <w:rPr>
          <w:rFonts w:hint="default" w:ascii="Times New Roman" w:hAnsi="Times New Roman" w:eastAsia="宋体" w:cs="Times New Roman"/>
          <w:lang w:eastAsia="zh-CN"/>
        </w:rPr>
        <w:t xml:space="preserve">-15°C, and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evolution of the </w:t>
      </w:r>
      <w:r>
        <w:rPr>
          <w:rFonts w:hint="default" w:ascii="Times New Roman" w:hAnsi="Times New Roman" w:eastAsia="宋体" w:cs="Times New Roman"/>
          <w:lang w:eastAsia="zh-CN"/>
        </w:rPr>
        <w:t>surface temperature was recorded over a period of 0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lang w:eastAsia="zh-CN"/>
        </w:rPr>
        <w:t>10 minutes. All measurements were performed at an ambient temperature of 24°C.</w:t>
      </w:r>
    </w:p>
    <w:p w14:paraId="2A01E005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 xml:space="preserve">Mechanical Properties </w:t>
      </w:r>
      <w:r>
        <w:rPr>
          <w:rFonts w:hint="default" w:ascii="Times New Roman" w:hAnsi="Times New Roman" w:eastAsia="宋体" w:cs="Times New Roman"/>
          <w:b/>
          <w:bCs w:val="0"/>
          <w:lang w:eastAsia="zh-CN"/>
        </w:rPr>
        <w:t>and Resilience</w:t>
      </w:r>
      <w:r>
        <w:rPr>
          <w:rFonts w:hint="default" w:ascii="Times New Roman" w:hAnsi="Times New Roman" w:eastAsia="宋体" w:cs="Times New Roman"/>
          <w:b/>
          <w:bCs/>
          <w:lang w:eastAsia="zh-CN"/>
        </w:rPr>
        <w:t xml:space="preserve"> Testing</w:t>
      </w:r>
    </w:p>
    <w:p w14:paraId="62DF53F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Mechanical properties, including compressive strength (CS), tensile strength (TS), internal bond strength (IBS), modulus of rupture (MOR), and modulus of elasticity (MOE)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were measured using an electronic universal testing machine (UTM2502, SUNS, China)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lang w:eastAsia="zh-CN"/>
        </w:rPr>
        <w:t>accord</w:t>
      </w:r>
      <w:r>
        <w:rPr>
          <w:rFonts w:hint="default" w:ascii="Times New Roman" w:hAnsi="Times New Roman" w:eastAsia="宋体" w:cs="Times New Roman"/>
          <w:lang w:val="en-US" w:eastAsia="zh-CN"/>
        </w:rPr>
        <w:t>ance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with</w:t>
      </w:r>
      <w:r>
        <w:rPr>
          <w:rFonts w:hint="default" w:ascii="Times New Roman" w:hAnsi="Times New Roman" w:eastAsia="宋体" w:cs="Times New Roman"/>
          <w:lang w:eastAsia="zh-CN"/>
        </w:rPr>
        <w:t xml:space="preserve"> ISO 7322:2014, LY/T 1657–2015, and GB/T 17657–2022. Specimen dimensions were 50 mm × 50 mm × 20 mm for CS tests; 100 mm × 50 mm × 4 mm for TS, MOR, and MOE tests</w:t>
      </w:r>
      <w:r>
        <w:rPr>
          <w:rFonts w:hint="default" w:ascii="Times New Roman" w:hAnsi="Times New Roman" w:eastAsia="宋体" w:cs="Times New Roman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lang w:eastAsia="zh-CN"/>
        </w:rPr>
        <w:t xml:space="preserve"> and 50 mm × 50 mm × 4 mm for IBS tests.</w:t>
      </w:r>
    </w:p>
    <w:p w14:paraId="61FAB2BC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The </w:t>
      </w:r>
      <w:r>
        <w:rPr>
          <w:rFonts w:hint="default" w:ascii="Times New Roman" w:hAnsi="Times New Roman" w:eastAsia="宋体" w:cs="Times New Roman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lang w:eastAsia="zh-CN"/>
        </w:rPr>
        <w:t xml:space="preserve">uffer </w:t>
      </w:r>
      <w:r>
        <w:rPr>
          <w:rFonts w:hint="default" w:ascii="Times New Roman" w:hAnsi="Times New Roman" w:eastAsia="宋体" w:cs="Times New Roman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lang w:eastAsia="zh-CN"/>
        </w:rPr>
        <w:t xml:space="preserve">nergy </w:t>
      </w:r>
      <w:r>
        <w:rPr>
          <w:rFonts w:hint="default" w:ascii="Times New Roman" w:hAnsi="Times New Roman" w:eastAsia="宋体" w:cs="Times New Roman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lang w:eastAsia="zh-CN"/>
        </w:rPr>
        <w:t xml:space="preserve">bsorption </w:t>
      </w:r>
      <w:r>
        <w:rPr>
          <w:rFonts w:hint="default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lang w:eastAsia="zh-CN"/>
        </w:rPr>
        <w:t>atio (BEAR) was defined as the ratio of the absorbed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impact </w:t>
      </w:r>
      <w:r>
        <w:rPr>
          <w:rFonts w:hint="default" w:ascii="Times New Roman" w:hAnsi="Times New Roman" w:eastAsia="宋体" w:cs="Times New Roman"/>
          <w:lang w:eastAsia="zh-CN"/>
        </w:rPr>
        <w:t>energy to the initial potential energy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and was </w:t>
      </w:r>
      <w:r>
        <w:rPr>
          <w:rFonts w:hint="default" w:ascii="Times New Roman" w:hAnsi="Times New Roman" w:eastAsia="宋体" w:cs="Times New Roman"/>
          <w:lang w:eastAsia="zh-CN"/>
        </w:rPr>
        <w:t xml:space="preserve">calculated as (drop height-rebound height)/drop height. </w:t>
      </w:r>
      <w:r>
        <w:rPr>
          <w:rFonts w:hint="default" w:ascii="Times New Roman" w:hAnsi="Times New Roman" w:eastAsia="宋体" w:cs="Times New Roman"/>
          <w:lang w:val="en-US" w:eastAsia="zh-CN"/>
        </w:rPr>
        <w:t>BEAR m</w:t>
      </w:r>
      <w:r>
        <w:rPr>
          <w:rFonts w:hint="default" w:ascii="Times New Roman" w:hAnsi="Times New Roman" w:eastAsia="宋体" w:cs="Times New Roman"/>
          <w:lang w:eastAsia="zh-CN"/>
        </w:rPr>
        <w:t>easurements were conducted by freely dropping a 400g steel ball from a height of 40 cm onto specimen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with </w:t>
      </w:r>
      <w:r>
        <w:rPr>
          <w:rFonts w:hint="default" w:ascii="Times New Roman" w:hAnsi="Times New Roman" w:eastAsia="宋体" w:cs="Times New Roman"/>
          <w:lang w:eastAsia="zh-CN"/>
        </w:rPr>
        <w:t xml:space="preserve">a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thickness of </w:t>
      </w:r>
      <w:r>
        <w:rPr>
          <w:rFonts w:hint="default" w:ascii="Times New Roman" w:hAnsi="Times New Roman" w:eastAsia="宋体" w:cs="Times New Roman"/>
          <w:lang w:eastAsia="zh-CN"/>
        </w:rPr>
        <w:t>4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 xml:space="preserve">mm. The </w:t>
      </w:r>
      <w:r>
        <w:rPr>
          <w:rFonts w:hint="default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lang w:eastAsia="zh-CN"/>
        </w:rPr>
        <w:t xml:space="preserve">esidual </w:t>
      </w:r>
      <w:r>
        <w:rPr>
          <w:rFonts w:hint="default" w:ascii="Times New Roman" w:hAnsi="Times New Roman" w:eastAsia="宋体" w:cs="Times New Roman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lang w:eastAsia="zh-CN"/>
        </w:rPr>
        <w:t xml:space="preserve">ompression </w:t>
      </w:r>
      <w:r>
        <w:rPr>
          <w:rFonts w:hint="default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lang w:eastAsia="zh-CN"/>
        </w:rPr>
        <w:t>atio (R</w:t>
      </w:r>
      <w:r>
        <w:rPr>
          <w:rFonts w:hint="default" w:ascii="Times New Roman" w:hAnsi="Times New Roman" w:eastAsia="宋体" w:cs="Times New Roman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lang w:eastAsia="zh-CN"/>
        </w:rPr>
        <w:t xml:space="preserve">R) was determined </w:t>
      </w:r>
      <w:r>
        <w:rPr>
          <w:rFonts w:hint="default" w:ascii="Times New Roman" w:hAnsi="Times New Roman" w:eastAsia="宋体" w:cs="Times New Roman"/>
          <w:lang w:val="en-US" w:eastAsia="zh-CN"/>
        </w:rPr>
        <w:t>as</w:t>
      </w:r>
      <w:r>
        <w:rPr>
          <w:rFonts w:hint="default" w:ascii="Times New Roman" w:hAnsi="Times New Roman" w:eastAsia="宋体" w:cs="Times New Roman"/>
          <w:lang w:eastAsia="zh-CN"/>
        </w:rPr>
        <w:t xml:space="preserve"> the ratio of residual strain to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 xml:space="preserve">applied strain after 50 consecutive compression-unloading cycles at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lang w:eastAsia="zh-CN"/>
        </w:rPr>
        <w:t>compressive strain of 10%.</w:t>
      </w:r>
    </w:p>
    <w:p w14:paraId="6CFF693E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Surface Wear Resistance Test</w:t>
      </w:r>
    </w:p>
    <w:p w14:paraId="1D755B0C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The surface wear resistance of the material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 xml:space="preserve"> was evaluated using a paint film abrasion tester (BGD-523, BIUGED, China) in accordance with GB/T 17657-2013. The specimens were subjected to 500 abrasion cycles under a load of 4.9 N at a rotational speed of 60 r/min.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The specimen masses </w:t>
      </w:r>
      <w:r>
        <w:rPr>
          <w:rFonts w:hint="default" w:ascii="Times New Roman" w:hAnsi="Times New Roman" w:eastAsia="宋体" w:cs="Times New Roman"/>
          <w:lang w:eastAsia="zh-CN"/>
        </w:rPr>
        <w:t>before and after abrasion w</w:t>
      </w:r>
      <w:r>
        <w:rPr>
          <w:rFonts w:hint="default" w:ascii="Times New Roman" w:hAnsi="Times New Roman" w:eastAsia="宋体" w:cs="Times New Roman"/>
          <w:lang w:val="en-US" w:eastAsia="zh-CN"/>
        </w:rPr>
        <w:t>ere</w:t>
      </w:r>
      <w:r>
        <w:rPr>
          <w:rFonts w:hint="default" w:ascii="Times New Roman" w:hAnsi="Times New Roman" w:eastAsia="宋体" w:cs="Times New Roman"/>
          <w:lang w:eastAsia="zh-CN"/>
        </w:rPr>
        <w:t xml:space="preserve"> recorded, </w:t>
      </w:r>
      <w:r>
        <w:rPr>
          <w:rFonts w:hint="default" w:ascii="Times New Roman" w:hAnsi="Times New Roman" w:eastAsia="宋体" w:cs="Times New Roman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lang w:eastAsia="zh-CN"/>
        </w:rPr>
        <w:t xml:space="preserve">nd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 xml:space="preserve">wear resistance (WR) was calculated </w:t>
      </w:r>
      <w:r>
        <w:rPr>
          <w:rFonts w:hint="default" w:ascii="Times New Roman" w:hAnsi="Times New Roman" w:eastAsia="宋体" w:cs="Times New Roman"/>
          <w:lang w:val="en-US" w:eastAsia="zh-CN"/>
        </w:rPr>
        <w:t>using Equation</w:t>
      </w:r>
      <w:r>
        <w:rPr>
          <w:rFonts w:hint="default" w:ascii="Times New Roman" w:hAnsi="Times New Roman" w:eastAsia="宋体" w:cs="Times New Roman"/>
          <w:lang w:eastAsia="zh-CN"/>
        </w:rPr>
        <w:t xml:space="preserve"> (3):</w:t>
      </w:r>
    </w:p>
    <w:p w14:paraId="76C3775B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m:oMath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WR=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m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-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m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lang w:eastAsia="zh-CN"/>
              </w:rPr>
              <m:t>R</m:t>
            </m: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×100</m:t>
        </m:r>
      </m:oMath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                         (3)</w:t>
      </w:r>
    </w:p>
    <w:p w14:paraId="44644DF6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lang w:eastAsia="zh-CN"/>
        </w:rPr>
        <w:t xml:space="preserve">here WR is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>wear resistance (mg/100r)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m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1</w:t>
      </w:r>
      <w:r>
        <w:rPr>
          <w:rFonts w:hint="default" w:ascii="Times New Roman" w:hAnsi="Times New Roman" w:eastAsia="宋体" w:cs="Times New Roman"/>
          <w:lang w:eastAsia="zh-CN"/>
        </w:rPr>
        <w:t xml:space="preserve"> and m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2</w:t>
      </w:r>
      <w:r>
        <w:rPr>
          <w:rFonts w:hint="default" w:ascii="Times New Roman" w:hAnsi="Times New Roman" w:eastAsia="宋体" w:cs="Times New Roman"/>
          <w:lang w:eastAsia="zh-CN"/>
        </w:rPr>
        <w:t xml:space="preserve"> are the specimen masses before and after abrasion (mg), respectively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and R is the number of revolutions (500 r).</w:t>
      </w:r>
    </w:p>
    <w:p w14:paraId="570FAC29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Dimensional Stability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bCs/>
          <w:lang w:eastAsia="zh-CN"/>
        </w:rPr>
        <w:t>Under Water Absorption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)</w:t>
      </w:r>
    </w:p>
    <w:p w14:paraId="6A0A3160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To evaluate dimensional stability, specimens (50 mm × 50 mm × 4 mm) were immersed in a water bath at 63 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o</w:t>
      </w:r>
      <w:r>
        <w:rPr>
          <w:rFonts w:hint="default" w:ascii="Times New Roman" w:hAnsi="Times New Roman" w:eastAsia="宋体" w:cs="Times New Roman"/>
          <w:lang w:eastAsia="zh-CN"/>
        </w:rPr>
        <w:t xml:space="preserve">C for 24 h. </w:t>
      </w:r>
      <w:r>
        <w:rPr>
          <w:rFonts w:hint="default" w:ascii="Times New Roman" w:hAnsi="Times New Roman" w:eastAsia="宋体" w:cs="Times New Roman"/>
          <w:lang w:val="en-US" w:eastAsia="zh-CN"/>
        </w:rPr>
        <w:t>The d</w:t>
      </w:r>
      <w:r>
        <w:rPr>
          <w:rFonts w:hint="default" w:ascii="Times New Roman" w:hAnsi="Times New Roman" w:eastAsia="宋体" w:cs="Times New Roman"/>
          <w:lang w:eastAsia="zh-CN"/>
        </w:rPr>
        <w:t>imensional changes before and after immersion were recorded.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1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The t</w:t>
      </w:r>
      <w:r>
        <w:rPr>
          <w:rFonts w:hint="default" w:ascii="Times New Roman" w:hAnsi="Times New Roman" w:eastAsia="宋体" w:cs="Times New Roman"/>
          <w:lang w:eastAsia="zh-CN"/>
        </w:rPr>
        <w:t>hickness swelling ratio (TSR), width swelling ratio (WSR), and volume swelling ratio (VSR) were calculated using Equations (4)-(6):</w:t>
      </w:r>
    </w:p>
    <w:p w14:paraId="6484233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val="de-DE" w:eastAsia="zh-CN"/>
        </w:rPr>
      </w:pPr>
      <m:oMath>
        <m:r>
          <m:rPr>
            <m:nor/>
          </m:rPr>
          <w:rPr>
            <w:rFonts w:hint="default" w:ascii="Times New Roman" w:hAnsi="Times New Roman" w:eastAsia="宋体" w:cs="Times New Roman"/>
            <w:i/>
            <w:lang w:val="de-DE" w:eastAsia="zh-CN"/>
          </w:rPr>
          <m:t>TSR</m:t>
        </m:r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val="de-DE" w:eastAsia="zh-CN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val="de-DE" w:eastAsia="zh-CN"/>
              </w:rPr>
              <m:t>-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val="de-DE" w:eastAsia="zh-CN"/>
          </w:rPr>
          <m:t>×100%</m:t>
        </m:r>
      </m:oMath>
      <w:r>
        <w:rPr>
          <w:rFonts w:hint="default" w:ascii="Times New Roman" w:hAnsi="Times New Roman" w:eastAsia="宋体" w:cs="Times New Roman"/>
          <w:lang w:val="de-DE" w:eastAsia="zh-CN"/>
        </w:rPr>
        <w:t xml:space="preserve">                                                              (4)</w:t>
      </w:r>
    </w:p>
    <w:p w14:paraId="52538939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val="de-DE" w:eastAsia="zh-CN"/>
        </w:rPr>
      </w:pPr>
      <m:oMath>
        <m:r>
          <m:rPr>
            <m:nor/>
          </m:rPr>
          <w:rPr>
            <w:rFonts w:hint="default" w:ascii="Times New Roman" w:hAnsi="Times New Roman" w:eastAsia="宋体" w:cs="Times New Roman"/>
            <w:i/>
            <w:lang w:val="de-DE" w:eastAsia="zh-CN"/>
          </w:rPr>
          <m:t>WSR</m:t>
        </m:r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val="de-DE" w:eastAsia="zh-CN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val="de-DE" w:eastAsia="zh-CN"/>
              </w:rPr>
              <m:t>-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val="de-DE"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val="de-DE"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val="de-DE" w:eastAsia="zh-CN"/>
          </w:rPr>
          <m:t>×100%</m:t>
        </m:r>
      </m:oMath>
      <w:r>
        <w:rPr>
          <w:rFonts w:hint="default" w:ascii="Times New Roman" w:hAnsi="Times New Roman" w:eastAsia="宋体" w:cs="Times New Roman"/>
          <w:lang w:val="de-DE" w:eastAsia="zh-CN"/>
        </w:rPr>
        <w:t xml:space="preserve">                                                              (5)</w:t>
      </w:r>
    </w:p>
    <w:p w14:paraId="5F45DAE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m:oMath>
        <m:r>
          <m:rPr>
            <m:nor/>
          </m:rPr>
          <w:rPr>
            <w:rFonts w:hint="default" w:ascii="Times New Roman" w:hAnsi="Times New Roman" w:eastAsia="宋体" w:cs="Times New Roman"/>
            <w:i/>
            <w:lang w:eastAsia="zh-CN"/>
          </w:rPr>
          <m:t>VSR</m:t>
        </m:r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×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2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eastAsia="宋体" w:cs="Times New Roman"/>
                <w:b w:val="0"/>
                <w:i w:val="0"/>
                <w:lang w:eastAsia="zh-CN"/>
              </w:rPr>
              <m:t>-</m:t>
            </m:r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×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×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×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Sub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×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lang w:eastAsia="zh-CN"/>
                  </w:rPr>
                  <m:t>c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lang w:eastAsia="zh-CN"/>
                  </w:rPr>
                  <m:t>1</m:t>
                </m:r>
                <m:ctrlPr>
                  <w:rPr>
                    <w:rFonts w:hint="default" w:ascii="Cambria Math" w:hAnsi="Cambria Math" w:eastAsia="宋体" w:cs="Times New Roman"/>
                    <w:i/>
                    <w:lang w:eastAsia="zh-CN"/>
                  </w:rPr>
                </m:ctrlPr>
              </m:sub>
            </m:sSub>
            <m:ctrlPr>
              <w:rPr>
                <w:rFonts w:hint="default" w:ascii="Cambria Math" w:hAnsi="Cambria Math" w:eastAsia="宋体" w:cs="Times New Roman"/>
                <w:i/>
                <w:lang w:eastAsia="zh-CN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lang w:eastAsia="zh-CN"/>
          </w:rPr>
          <m:t>×100%</m:t>
        </m:r>
      </m:oMath>
      <w:r>
        <w:rPr>
          <w:rFonts w:hint="default" w:ascii="Times New Roman" w:hAnsi="Times New Roman" w:eastAsia="宋体" w:cs="Times New Roman"/>
          <w:lang w:eastAsia="zh-CN"/>
        </w:rPr>
        <w:t xml:space="preserve">                                           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lang w:eastAsia="zh-CN"/>
        </w:rPr>
        <w:t xml:space="preserve">  (6)</w:t>
      </w:r>
    </w:p>
    <w:p w14:paraId="1147B6CB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where </w:t>
      </w:r>
      <w:r>
        <w:rPr>
          <w:rFonts w:hint="default" w:ascii="Times New Roman" w:hAnsi="Times New Roman" w:eastAsia="宋体" w:cs="Times New Roman"/>
          <w:i/>
          <w:iCs/>
          <w:lang w:eastAsia="zh-CN"/>
        </w:rPr>
        <w:t>a</w:t>
      </w:r>
      <w:r>
        <w:rPr>
          <w:rFonts w:hint="default" w:ascii="Times New Roman" w:hAnsi="Times New Roman" w:eastAsia="宋体" w:cs="Times New Roman"/>
          <w:lang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lang w:eastAsia="zh-CN"/>
        </w:rPr>
        <w:t>b</w:t>
      </w:r>
      <w:r>
        <w:rPr>
          <w:rFonts w:hint="default" w:ascii="Times New Roman" w:hAnsi="Times New Roman" w:eastAsia="宋体" w:cs="Times New Roman"/>
          <w:lang w:eastAsia="zh-CN"/>
        </w:rPr>
        <w:t xml:space="preserve">, and </w:t>
      </w:r>
      <w:r>
        <w:rPr>
          <w:rFonts w:hint="default" w:ascii="Times New Roman" w:hAnsi="Times New Roman" w:eastAsia="宋体" w:cs="Times New Roman"/>
          <w:i/>
          <w:iCs/>
          <w:lang w:eastAsia="zh-CN"/>
        </w:rPr>
        <w:t>c</w:t>
      </w:r>
      <w:r>
        <w:rPr>
          <w:rFonts w:hint="default" w:ascii="Times New Roman" w:hAnsi="Times New Roman" w:eastAsia="宋体" w:cs="Times New Roman"/>
          <w:lang w:eastAsia="zh-CN"/>
        </w:rPr>
        <w:t xml:space="preserve"> represent specimen length, width, and thickness (mm), respectively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lang w:eastAsia="zh-CN"/>
        </w:rPr>
        <w:t xml:space="preserve">subscripts 1 and 2 denote the dry and water-saturated states. </w:t>
      </w:r>
    </w:p>
    <w:p w14:paraId="3CAEC515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Scanning Electron Microscopy (SEM)</w:t>
      </w:r>
    </w:p>
    <w:p w14:paraId="17CB82FC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s</w:t>
      </w:r>
      <w:r>
        <w:rPr>
          <w:rFonts w:hint="default" w:ascii="Times New Roman" w:hAnsi="Times New Roman" w:eastAsia="宋体" w:cs="Times New Roman"/>
          <w:lang w:eastAsia="zh-CN"/>
        </w:rPr>
        <w:t>urface and cross-sectional morphologies of the material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 xml:space="preserve"> were examined using a scanning electron microscope (JSM-6610LV, JEOL, Japan) operated at an accelerating voltage of 5 kV. Prior to observation,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all </w:t>
      </w:r>
      <w:r>
        <w:rPr>
          <w:rFonts w:hint="default" w:ascii="Times New Roman" w:hAnsi="Times New Roman" w:eastAsia="宋体" w:cs="Times New Roman"/>
          <w:lang w:eastAsia="zh-CN"/>
        </w:rPr>
        <w:t xml:space="preserve">samples were sputter-coated with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 thin </w:t>
      </w:r>
      <w:r>
        <w:rPr>
          <w:rFonts w:hint="default" w:ascii="Times New Roman" w:hAnsi="Times New Roman" w:eastAsia="宋体" w:cs="Times New Roman"/>
          <w:lang w:eastAsia="zh-CN"/>
        </w:rPr>
        <w:t xml:space="preserve">gold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layer </w:t>
      </w:r>
      <w:r>
        <w:rPr>
          <w:rFonts w:hint="default" w:ascii="Times New Roman" w:hAnsi="Times New Roman" w:eastAsia="宋体" w:cs="Times New Roman"/>
          <w:lang w:eastAsia="zh-CN"/>
        </w:rPr>
        <w:t xml:space="preserve">at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 current of </w:t>
      </w:r>
      <w:r>
        <w:rPr>
          <w:rFonts w:hint="default" w:ascii="Times New Roman" w:hAnsi="Times New Roman" w:eastAsia="宋体" w:cs="Times New Roman"/>
          <w:lang w:eastAsia="zh-CN"/>
        </w:rPr>
        <w:t>10 mA for 15 s.</w:t>
      </w:r>
    </w:p>
    <w:p w14:paraId="756CB48B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Fourier Transform Infrared Spectroscopy (FTIR)</w:t>
      </w:r>
    </w:p>
    <w:p w14:paraId="66571EC5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c</w:t>
      </w:r>
      <w:r>
        <w:rPr>
          <w:rFonts w:hint="default" w:ascii="Times New Roman" w:hAnsi="Times New Roman" w:eastAsia="宋体" w:cs="Times New Roman"/>
          <w:lang w:eastAsia="zh-CN"/>
        </w:rPr>
        <w:t>hemical structures of the material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 xml:space="preserve"> were analyzed using attenuated total reflectance FTIR (ATR-FTIR, NICOLET 5700, Thermo Nicolet Corporation, USA). </w:t>
      </w:r>
      <w:r>
        <w:rPr>
          <w:rFonts w:hint="default" w:ascii="Times New Roman" w:hAnsi="Times New Roman" w:eastAsia="宋体" w:cs="Times New Roman"/>
          <w:lang w:val="en-US" w:eastAsia="zh-CN"/>
        </w:rPr>
        <w:t>The s</w:t>
      </w:r>
      <w:r>
        <w:rPr>
          <w:rFonts w:hint="default" w:ascii="Times New Roman" w:hAnsi="Times New Roman" w:eastAsia="宋体" w:cs="Times New Roman"/>
          <w:lang w:eastAsia="zh-CN"/>
        </w:rPr>
        <w:t xml:space="preserve">pectra were collected over the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wavenumber </w:t>
      </w:r>
      <w:r>
        <w:rPr>
          <w:rFonts w:hint="default" w:ascii="Times New Roman" w:hAnsi="Times New Roman" w:eastAsia="宋体" w:cs="Times New Roman"/>
          <w:lang w:eastAsia="zh-CN"/>
        </w:rPr>
        <w:t>range of 4000–400 cm⁻¹ with a resolution of 4 cm⁻¹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lang w:eastAsia="zh-CN"/>
        </w:rPr>
        <w:t>a</w:t>
      </w:r>
      <w:r>
        <w:rPr>
          <w:rFonts w:hint="default" w:ascii="Times New Roman" w:hAnsi="Times New Roman" w:eastAsia="宋体" w:cs="Times New Roman"/>
          <w:lang w:val="en-US" w:eastAsia="zh-CN"/>
        </w:rPr>
        <w:t>veraging</w:t>
      </w:r>
      <w:r>
        <w:rPr>
          <w:rFonts w:hint="default" w:ascii="Times New Roman" w:hAnsi="Times New Roman" w:eastAsia="宋体" w:cs="Times New Roman"/>
          <w:lang w:eastAsia="zh-CN"/>
        </w:rPr>
        <w:t xml:space="preserve"> 32 scans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for each sample</w:t>
      </w:r>
      <w:r>
        <w:rPr>
          <w:rFonts w:hint="default" w:ascii="Times New Roman" w:hAnsi="Times New Roman" w:eastAsia="宋体" w:cs="Times New Roman"/>
          <w:lang w:eastAsia="zh-CN"/>
        </w:rPr>
        <w:t>.</w:t>
      </w:r>
    </w:p>
    <w:p w14:paraId="37446986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Spectral Performance Characterization</w:t>
      </w:r>
    </w:p>
    <w:p w14:paraId="5690FA1E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s</w:t>
      </w:r>
      <w:r>
        <w:rPr>
          <w:rFonts w:hint="default" w:ascii="Times New Roman" w:hAnsi="Times New Roman" w:eastAsia="宋体" w:cs="Times New Roman"/>
          <w:lang w:eastAsia="zh-CN"/>
        </w:rPr>
        <w:t xml:space="preserve">olar </w:t>
      </w:r>
      <w:r>
        <w:rPr>
          <w:rFonts w:hint="default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lang w:eastAsia="zh-CN"/>
        </w:rPr>
        <w:t>eflectance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of the specimens</w:t>
      </w:r>
      <w:r>
        <w:rPr>
          <w:rFonts w:hint="default" w:ascii="Times New Roman" w:hAnsi="Times New Roman" w:eastAsia="宋体" w:cs="Times New Roman"/>
          <w:lang w:eastAsia="zh-CN"/>
        </w:rPr>
        <w:t xml:space="preserve"> in the UV–Vis–NIR range (0.3–2.5 µm)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>was measured using a UV–Vis–NIR spectrophotometer (UV-3600 Plus, Shimadzu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Japan) equipped with an integrating sphere (ISR-603)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at </w:t>
      </w:r>
      <w:r>
        <w:rPr>
          <w:rFonts w:hint="default" w:ascii="Times New Roman" w:hAnsi="Times New Roman" w:eastAsia="宋体" w:cs="Times New Roman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lang w:eastAsia="zh-CN"/>
        </w:rPr>
        <w:t xml:space="preserve"> spectral resolution of 0.1 nm. </w:t>
      </w:r>
      <w:r>
        <w:rPr>
          <w:rFonts w:hint="default" w:ascii="Times New Roman" w:hAnsi="Times New Roman" w:eastAsia="宋体" w:cs="Times New Roman"/>
          <w:lang w:val="en-US" w:eastAsia="zh-CN"/>
        </w:rPr>
        <w:t>The m</w:t>
      </w:r>
      <w:r>
        <w:rPr>
          <w:rFonts w:hint="default" w:ascii="Times New Roman" w:hAnsi="Times New Roman" w:eastAsia="宋体" w:cs="Times New Roman"/>
          <w:lang w:eastAsia="zh-CN"/>
        </w:rPr>
        <w:t>id-infrared emissivity (2.5–25 µm) was determined using an FTIR spectrometer (Invenio S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lang w:eastAsia="zh-CN"/>
        </w:rPr>
        <w:t>Bruker</w:t>
      </w:r>
      <w:r>
        <w:rPr>
          <w:rFonts w:hint="default" w:ascii="Times New Roman" w:hAnsi="Times New Roman" w:eastAsia="宋体" w:cs="Times New Roman"/>
          <w:lang w:val="en-US" w:eastAsia="zh-CN"/>
        </w:rPr>
        <w:t>, Germany</w:t>
      </w:r>
      <w:r>
        <w:rPr>
          <w:rFonts w:hint="default" w:ascii="Times New Roman" w:hAnsi="Times New Roman" w:eastAsia="宋体" w:cs="Times New Roman"/>
          <w:lang w:eastAsia="zh-CN"/>
        </w:rPr>
        <w:t xml:space="preserve">)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equipped </w:t>
      </w:r>
      <w:r>
        <w:rPr>
          <w:rFonts w:hint="default" w:ascii="Times New Roman" w:hAnsi="Times New Roman" w:eastAsia="宋体" w:cs="Times New Roman"/>
          <w:lang w:eastAsia="zh-CN"/>
        </w:rPr>
        <w:t xml:space="preserve">with a </w:t>
      </w:r>
      <w:r>
        <w:rPr>
          <w:rFonts w:hint="default" w:ascii="Times New Roman" w:hAnsi="Times New Roman" w:eastAsia="宋体" w:cs="Times New Roman"/>
          <w:lang w:val="en-US" w:eastAsia="zh-CN"/>
        </w:rPr>
        <w:t>mid-infrared</w:t>
      </w:r>
      <w:r>
        <w:rPr>
          <w:rFonts w:hint="default" w:ascii="Times New Roman" w:hAnsi="Times New Roman" w:eastAsia="宋体" w:cs="Times New Roman"/>
          <w:lang w:eastAsia="zh-CN"/>
        </w:rPr>
        <w:t xml:space="preserve"> TGS detector</w:t>
      </w:r>
      <w:r>
        <w:rPr>
          <w:rFonts w:hint="default" w:ascii="Times New Roman" w:hAnsi="Times New Roman" w:eastAsia="宋体" w:cs="Times New Roman"/>
          <w:lang w:val="en-US" w:eastAsia="zh-CN"/>
        </w:rPr>
        <w:t>, with</w:t>
      </w:r>
      <w:r>
        <w:rPr>
          <w:rFonts w:hint="default" w:ascii="Times New Roman" w:hAnsi="Times New Roman" w:eastAsia="宋体" w:cs="Times New Roman"/>
          <w:lang w:eastAsia="zh-CN"/>
        </w:rPr>
        <w:t xml:space="preserve"> a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spectral </w:t>
      </w:r>
      <w:r>
        <w:rPr>
          <w:rFonts w:hint="default" w:ascii="Times New Roman" w:hAnsi="Times New Roman" w:eastAsia="宋体" w:cs="Times New Roman"/>
          <w:lang w:eastAsia="zh-CN"/>
        </w:rPr>
        <w:t>resolution of 4 cm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-1</w:t>
      </w:r>
      <w:r>
        <w:rPr>
          <w:rFonts w:hint="default" w:ascii="Times New Roman" w:hAnsi="Times New Roman" w:eastAsia="宋体" w:cs="Times New Roman"/>
          <w:lang w:eastAsia="zh-CN"/>
        </w:rPr>
        <w:t>.</w:t>
      </w:r>
    </w:p>
    <w:p w14:paraId="2B312AE1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Spectral Averaging and Radiative Parameters</w:t>
      </w:r>
    </w:p>
    <w:p w14:paraId="0B22D85E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The </w:t>
      </w:r>
      <w:r>
        <w:rPr>
          <w:rFonts w:hint="default" w:ascii="Times New Roman" w:hAnsi="Times New Roman" w:eastAsia="宋体" w:cs="Times New Roman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lang w:eastAsia="zh-CN"/>
        </w:rPr>
        <w:t xml:space="preserve">verage solar reflectance was defined over the wavelength range of 0.3–2.5 µm, while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 xml:space="preserve">visible reflectance was calculated over 0.4–0.76 µm. </w:t>
      </w:r>
      <w:r>
        <w:rPr>
          <w:rFonts w:hint="default" w:ascii="Times New Roman" w:hAnsi="Times New Roman" w:eastAsia="宋体" w:cs="Times New Roman"/>
          <w:lang w:val="en-US" w:eastAsia="zh-CN"/>
        </w:rPr>
        <w:t>The a</w:t>
      </w:r>
      <w:r>
        <w:rPr>
          <w:rFonts w:hint="default" w:ascii="Times New Roman" w:hAnsi="Times New Roman" w:eastAsia="宋体" w:cs="Times New Roman"/>
          <w:lang w:eastAsia="zh-CN"/>
        </w:rPr>
        <w:t>tmospheric</w:t>
      </w:r>
      <w:r>
        <w:rPr>
          <w:rFonts w:hint="default" w:ascii="Times New Roman" w:hAnsi="Times New Roman" w:eastAsia="宋体" w:cs="Times New Roman"/>
          <w:lang w:eastAsia="zh-CN"/>
        </w:rPr>
        <w:noBreakHyphen/>
      </w:r>
      <w:r>
        <w:rPr>
          <w:rFonts w:hint="default" w:ascii="Times New Roman" w:hAnsi="Times New Roman" w:eastAsia="宋体" w:cs="Times New Roman"/>
          <w:lang w:eastAsia="zh-CN"/>
        </w:rPr>
        <w:t>window emissivity was evaluated in two spectral regions: the first atmospheric window (8–13 µm) and the second atmospheric window (16–25 µm). The average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 xml:space="preserve">solar reflectance and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average </w:t>
      </w:r>
      <w:r>
        <w:rPr>
          <w:rFonts w:hint="default" w:ascii="Times New Roman" w:hAnsi="Times New Roman" w:eastAsia="宋体" w:cs="Times New Roman"/>
          <w:lang w:eastAsia="zh-CN"/>
        </w:rPr>
        <w:t>atmospheric</w:t>
      </w:r>
      <w:r>
        <w:rPr>
          <w:rFonts w:hint="default" w:ascii="Times New Roman" w:hAnsi="Times New Roman" w:eastAsia="宋体" w:cs="Times New Roman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lang w:eastAsia="zh-CN"/>
        </w:rPr>
        <w:t xml:space="preserve">window emissivity were calculated using </w:t>
      </w:r>
      <w:r>
        <w:rPr>
          <w:rFonts w:hint="default" w:ascii="Times New Roman" w:hAnsi="Times New Roman" w:eastAsia="宋体" w:cs="Times New Roman"/>
          <w:lang w:val="en-US" w:eastAsia="zh-CN"/>
        </w:rPr>
        <w:t>Equation</w:t>
      </w:r>
      <w:r>
        <w:rPr>
          <w:rFonts w:hint="default" w:ascii="Times New Roman" w:hAnsi="Times New Roman" w:eastAsia="宋体" w:cs="Times New Roman"/>
          <w:lang w:eastAsia="zh-CN"/>
        </w:rPr>
        <w:t>s (7) and (8), respectively:</w:t>
      </w:r>
    </w:p>
    <w:p w14:paraId="585DD0EF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rPr>
          <w:rFonts w:hint="default" w:ascii="Times New Roman" w:hAnsi="Times New Roman" w:cs="Times New Roman"/>
        </w:rPr>
      </w:pPr>
      <m:oMath>
        <m:sSub>
          <m:sSubPr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sSubPr>
          <m:e>
            <m:acc>
              <m:accPr>
                <m:chr m:val="̅"/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accPr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R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e>
            </m:acc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sz w:val="24"/>
              </w:rPr>
              <m:t>solar</m:t>
            </m:r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sz w:val="24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fPr>
          <m:num>
            <m:nary>
              <m:naryPr>
                <m:limLoc m:val="subSup"/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p>
              <m:e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I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solar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R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solar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dλ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e>
            </m:nary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num>
          <m:den>
            <m:nary>
              <m:naryPr>
                <m:limLoc m:val="subSup"/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p>
              <m:e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I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solar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dλ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e>
            </m:nary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den>
        </m:f>
      </m:oMath>
      <w:r>
        <w:rPr>
          <w:rFonts w:hint="default" w:ascii="Times New Roman" w:hAnsi="Times New Roman" w:eastAsia="宋体" w:cs="Times New Roman"/>
          <w:sz w:val="24"/>
        </w:rPr>
        <w:t xml:space="preserve">                                            (7)</w:t>
      </w:r>
    </w:p>
    <w:p w14:paraId="0FC28F3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lang w:eastAsia="zh-CN"/>
        </w:rPr>
        <w:t>here λ is the wavelength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R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solar</w:t>
      </w:r>
      <w:r>
        <w:rPr>
          <w:rFonts w:hint="default" w:ascii="Times New Roman" w:hAnsi="Times New Roman" w:eastAsia="宋体" w:cs="Times New Roman"/>
          <w:lang w:eastAsia="zh-CN"/>
        </w:rPr>
        <w:t>(λ) is the measured spectral reflectance of the sample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and I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solar</w:t>
      </w:r>
      <w:r>
        <w:rPr>
          <w:rFonts w:hint="default" w:ascii="Times New Roman" w:hAnsi="Times New Roman" w:eastAsia="宋体" w:cs="Times New Roman"/>
          <w:lang w:eastAsia="zh-CN"/>
        </w:rPr>
        <w:t>(λ) is the</w:t>
      </w:r>
      <w:r>
        <w:rPr>
          <w:rFonts w:hint="default" w:ascii="Times New Roman" w:hAnsi="Times New Roman" w:eastAsia="宋体" w:cs="Times New Roman"/>
          <w:highlight w:val="none"/>
          <w:lang w:eastAsia="zh-CN"/>
        </w:rPr>
        <w:t xml:space="preserve"> AM</w:t>
      </w:r>
      <w:r>
        <w:rPr>
          <w:rFonts w:hint="default" w:ascii="Times New Roman" w:hAnsi="Times New Roman" w:eastAsia="宋体" w:cs="Times New Roman"/>
          <w:lang w:eastAsia="zh-CN"/>
        </w:rPr>
        <w:t xml:space="preserve"> 1.5 standard solar spectral irradiance.</w:t>
      </w:r>
    </w:p>
    <w:p w14:paraId="0658359D">
      <w:pPr>
        <w:pStyle w:val="2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rPr>
          <w:rFonts w:hint="default" w:ascii="Times New Roman" w:hAnsi="Times New Roman" w:eastAsia="宋体" w:cs="Times New Roman"/>
          <w:sz w:val="24"/>
        </w:rPr>
      </w:pPr>
      <m:oMath>
        <m:acc>
          <m:accPr>
            <m:chr m:val="̅"/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eastAsia="宋体" w:cs="Times New Roman"/>
                <w:i/>
                <w:sz w:val="24"/>
              </w:rPr>
              <m:t>ε</m:t>
            </m:r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eastAsia="宋体" w:cs="Times New Roman"/>
            <w:b w:val="0"/>
            <w:i w:val="0"/>
            <w:sz w:val="24"/>
          </w:rPr>
          <m:t>=</m:t>
        </m:r>
        <m:f>
          <m:fPr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fPr>
          <m:num>
            <m:nary>
              <m:naryPr>
                <m:limLoc m:val="subSup"/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p>
              <m:e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ε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T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,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I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B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T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,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dλ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e>
            </m:nary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num>
          <m:den>
            <m:nary>
              <m:naryPr>
                <m:limLoc m:val="subSup"/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a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b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sup>
              <m:e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I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eastAsia="宋体" w:cs="Times New Roman"/>
                        <w:i/>
                        <w:sz w:val="24"/>
                      </w:rPr>
                      <m:t>B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(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T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,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λ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i w:val="0"/>
                    <w:sz w:val="24"/>
                  </w:rPr>
                  <m:t>)</m:t>
                </m:r>
                <m:r>
                  <m:rPr>
                    <m:nor/>
                  </m:rPr>
                  <w:rPr>
                    <w:rFonts w:hint="default" w:ascii="Times New Roman" w:hAnsi="Times New Roman" w:eastAsia="宋体" w:cs="Times New Roman"/>
                    <w:i/>
                    <w:sz w:val="24"/>
                  </w:rPr>
                  <m:t>dλ</m:t>
                </m:r>
                <m:ctrlPr>
                  <w:rPr>
                    <w:rFonts w:hint="default" w:ascii="Cambria Math" w:hAnsi="Cambria Math" w:eastAsia="宋体" w:cs="Times New Roman"/>
                    <w:i/>
                    <w:sz w:val="24"/>
                  </w:rPr>
                </m:ctrlPr>
              </m:e>
            </m:nary>
            <m:ctrlPr>
              <w:rPr>
                <w:rFonts w:hint="default" w:ascii="Cambria Math" w:hAnsi="Cambria Math" w:eastAsia="宋体" w:cs="Times New Roman"/>
                <w:i/>
                <w:sz w:val="24"/>
              </w:rPr>
            </m:ctrlPr>
          </m:den>
        </m:f>
      </m:oMath>
      <w:r>
        <w:rPr>
          <w:rFonts w:hint="default" w:ascii="Times New Roman" w:hAnsi="Times New Roman" w:eastAsia="宋体" w:cs="Times New Roman"/>
          <w:sz w:val="24"/>
        </w:rPr>
        <w:t xml:space="preserve">                                                  (8)</w:t>
      </w:r>
    </w:p>
    <w:p w14:paraId="23788BE0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w</w:t>
      </w:r>
      <w:r>
        <w:rPr>
          <w:rFonts w:hint="default" w:ascii="Times New Roman" w:hAnsi="Times New Roman" w:eastAsia="宋体" w:cs="Times New Roman"/>
          <w:lang w:eastAsia="zh-CN"/>
        </w:rPr>
        <w:t>here ε(T,λ) is the measured spectral emissivity of the sample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T is the temperature</w:t>
      </w:r>
      <w:r>
        <w:rPr>
          <w:rFonts w:hint="default" w:ascii="Times New Roman" w:hAnsi="Times New Roman" w:eastAsia="宋体" w:cs="Times New Roman"/>
          <w:lang w:val="en-US" w:eastAsia="zh-CN"/>
        </w:rPr>
        <w:t>, and</w:t>
      </w:r>
      <w:r>
        <w:rPr>
          <w:rFonts w:hint="default" w:ascii="Times New Roman" w:hAnsi="Times New Roman" w:eastAsia="宋体" w:cs="Times New Roman"/>
          <w:lang w:eastAsia="zh-CN"/>
        </w:rPr>
        <w:t xml:space="preserve"> I</w:t>
      </w:r>
      <w:r>
        <w:rPr>
          <w:rFonts w:hint="default" w:ascii="Times New Roman" w:hAnsi="Times New Roman" w:eastAsia="宋体" w:cs="Times New Roman"/>
          <w:vertAlign w:val="subscript"/>
          <w:lang w:eastAsia="zh-CN"/>
        </w:rPr>
        <w:t>B</w:t>
      </w:r>
      <w:r>
        <w:rPr>
          <w:rFonts w:hint="default" w:ascii="Times New Roman" w:hAnsi="Times New Roman" w:eastAsia="宋体" w:cs="Times New Roman"/>
          <w:lang w:eastAsia="zh-CN"/>
        </w:rPr>
        <w:t>(T,λ) is the spectral radiance of a blackbody at temperature T.</w:t>
      </w:r>
    </w:p>
    <w:p w14:paraId="629AD56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Laser Scattering Test</w:t>
      </w:r>
    </w:p>
    <w:p w14:paraId="68F8F59A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l</w:t>
      </w:r>
      <w:r>
        <w:rPr>
          <w:rFonts w:hint="default" w:ascii="Times New Roman" w:hAnsi="Times New Roman" w:eastAsia="宋体" w:cs="Times New Roman"/>
          <w:lang w:eastAsia="zh-CN"/>
        </w:rPr>
        <w:t xml:space="preserve">aser scattering behaviour was qualitatively evaluated in a dark environment. A red laser beam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with a </w:t>
      </w:r>
      <w:r>
        <w:rPr>
          <w:rFonts w:hint="default" w:ascii="Times New Roman" w:hAnsi="Times New Roman" w:eastAsia="宋体" w:cs="Times New Roman"/>
          <w:lang w:eastAsia="zh-CN"/>
        </w:rPr>
        <w:t xml:space="preserve">wavelength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of </w:t>
      </w:r>
      <w:r>
        <w:rPr>
          <w:rFonts w:hint="default" w:ascii="Times New Roman" w:hAnsi="Times New Roman" w:eastAsia="宋体" w:cs="Times New Roman"/>
          <w:lang w:eastAsia="zh-CN"/>
        </w:rPr>
        <w:t xml:space="preserve">650 nm was incident on the sample surface at an angle of 45°. The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surface </w:t>
      </w:r>
      <w:r>
        <w:rPr>
          <w:rFonts w:hint="default" w:ascii="Times New Roman" w:hAnsi="Times New Roman" w:eastAsia="宋体" w:cs="Times New Roman"/>
          <w:lang w:eastAsia="zh-CN"/>
        </w:rPr>
        <w:t xml:space="preserve">scattering capability was qualitatively assessed by observing the spatial distribution and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relative </w:t>
      </w:r>
      <w:r>
        <w:rPr>
          <w:rFonts w:hint="default" w:ascii="Times New Roman" w:hAnsi="Times New Roman" w:eastAsia="宋体" w:cs="Times New Roman"/>
          <w:lang w:eastAsia="zh-CN"/>
        </w:rPr>
        <w:t xml:space="preserve">intensity of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>scattered light projected onto a white receiving screen.</w:t>
      </w:r>
    </w:p>
    <w:p w14:paraId="31F30F74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Whiteness Measurement</w:t>
      </w:r>
    </w:p>
    <w:p w14:paraId="1B9B4143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The s</w:t>
      </w:r>
      <w:r>
        <w:rPr>
          <w:rFonts w:hint="default" w:ascii="Times New Roman" w:hAnsi="Times New Roman" w:eastAsia="宋体" w:cs="Times New Roman"/>
          <w:lang w:eastAsia="zh-CN"/>
        </w:rPr>
        <w:t xml:space="preserve">urface whiteness of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>materials w</w:t>
      </w:r>
      <w:r>
        <w:rPr>
          <w:rFonts w:hint="default" w:ascii="Times New Roman" w:hAnsi="Times New Roman" w:eastAsia="宋体" w:cs="Times New Roman"/>
          <w:lang w:val="en-US" w:eastAsia="zh-CN"/>
        </w:rPr>
        <w:t>as</w:t>
      </w:r>
      <w:r>
        <w:rPr>
          <w:rFonts w:hint="default" w:ascii="Times New Roman" w:hAnsi="Times New Roman" w:eastAsia="宋体" w:cs="Times New Roman"/>
          <w:lang w:eastAsia="zh-CN"/>
        </w:rPr>
        <w:t xml:space="preserve"> directly measured using a whiteness meter (WSB-L, INESA, Shanghai</w:t>
      </w:r>
      <w:r>
        <w:rPr>
          <w:rFonts w:hint="default" w:ascii="Times New Roman" w:hAnsi="Times New Roman" w:eastAsia="宋体" w:cs="Times New Roman"/>
          <w:lang w:val="en-US" w:eastAsia="zh-CN"/>
        </w:rPr>
        <w:t>, China</w:t>
      </w:r>
      <w:r>
        <w:rPr>
          <w:rFonts w:hint="default" w:ascii="Times New Roman" w:hAnsi="Times New Roman" w:eastAsia="宋体" w:cs="Times New Roman"/>
          <w:lang w:eastAsia="zh-CN"/>
        </w:rPr>
        <w:t>).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>Measurement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 xml:space="preserve"> were conducted using a 45/0 illumination geometry with a blue-light center wavelength of 457 nm. The measurement range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of the </w:t>
      </w:r>
      <w:r>
        <w:rPr>
          <w:rFonts w:hint="default" w:ascii="Times New Roman" w:hAnsi="Times New Roman" w:eastAsia="宋体" w:cs="Times New Roman"/>
          <w:lang w:eastAsia="zh-CN"/>
        </w:rPr>
        <w:t>instrument was 0-120%.</w:t>
      </w:r>
    </w:p>
    <w:p w14:paraId="57E86CC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Outdoor Radiative Cooling Performance</w:t>
      </w:r>
    </w:p>
    <w:p w14:paraId="2645DF5C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Outdoor radiative cooling performance was evaluated using a custom-built testing apparatus (Fig. 4g) on clear days in summer (May 10, 2024) and winter (November 28, 2024) at an open-air parking area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eastAsia="zh-CN"/>
        </w:rPr>
        <w:t>at Shandong Agricultural University (36°11′N, 117°6′E; elevation 138.1 m) (Fig. S8a,d). The test</w:t>
      </w:r>
      <w:r>
        <w:rPr>
          <w:rFonts w:hint="default" w:ascii="Times New Roman" w:hAnsi="Times New Roman" w:eastAsia="宋体" w:cs="Times New Roman"/>
          <w:lang w:val="en-US" w:eastAsia="zh-CN"/>
        </w:rPr>
        <w:t>ing</w:t>
      </w:r>
      <w:r>
        <w:rPr>
          <w:rFonts w:hint="default" w:ascii="Times New Roman" w:hAnsi="Times New Roman" w:eastAsia="宋体" w:cs="Times New Roman"/>
          <w:lang w:eastAsia="zh-CN"/>
        </w:rPr>
        <w:t xml:space="preserve"> device consisted of a thick-walled polystyrene foam box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with an </w:t>
      </w:r>
      <w:r>
        <w:rPr>
          <w:rFonts w:hint="default" w:ascii="Times New Roman" w:hAnsi="Times New Roman" w:eastAsia="宋体" w:cs="Times New Roman"/>
          <w:lang w:eastAsia="zh-CN"/>
        </w:rPr>
        <w:t>open-top to minimize conductive heat transfer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lang w:eastAsia="zh-CN"/>
        </w:rPr>
        <w:t xml:space="preserve">he top opening was covered with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lang w:eastAsia="zh-CN"/>
        </w:rPr>
        <w:t>transparent polyethylene (PE) film to suppress convective heat exchange</w:t>
      </w:r>
      <w:r>
        <w:rPr>
          <w:rFonts w:hint="default" w:ascii="Times New Roman" w:hAnsi="Times New Roman" w:eastAsia="宋体" w:cs="Times New Roman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lang w:eastAsia="zh-CN"/>
        </w:rPr>
        <w:t xml:space="preserve"> Both the inner and outer walls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of the box </w:t>
      </w:r>
      <w:r>
        <w:rPr>
          <w:rFonts w:hint="default" w:ascii="Times New Roman" w:hAnsi="Times New Roman" w:eastAsia="宋体" w:cs="Times New Roman"/>
          <w:lang w:eastAsia="zh-CN"/>
        </w:rPr>
        <w:t xml:space="preserve">were wrapped with aluminum foil to shield </w:t>
      </w:r>
      <w:r>
        <w:rPr>
          <w:rFonts w:hint="default" w:ascii="Times New Roman" w:hAnsi="Times New Roman" w:eastAsia="宋体" w:cs="Times New Roman"/>
          <w:lang w:val="en-US" w:eastAsia="zh-CN"/>
        </w:rPr>
        <w:t>the system from</w:t>
      </w:r>
      <w:r>
        <w:rPr>
          <w:rFonts w:hint="default" w:ascii="Times New Roman" w:hAnsi="Times New Roman" w:eastAsia="宋体" w:cs="Times New Roman"/>
          <w:lang w:eastAsia="zh-CN"/>
        </w:rPr>
        <w:t xml:space="preserve"> environmental radiation and external thermal interference. K-type thermocouples were used to continuously monitor the surface temperature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of the </w:t>
      </w:r>
      <w:r>
        <w:rPr>
          <w:rFonts w:hint="default" w:ascii="Times New Roman" w:hAnsi="Times New Roman" w:eastAsia="宋体" w:cs="Times New Roman"/>
          <w:lang w:eastAsia="zh-CN"/>
        </w:rPr>
        <w:t xml:space="preserve">sample and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lang w:eastAsia="zh-CN"/>
        </w:rPr>
        <w:t xml:space="preserve">internal ambient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air </w:t>
      </w:r>
      <w:r>
        <w:rPr>
          <w:rFonts w:hint="default" w:ascii="Times New Roman" w:hAnsi="Times New Roman" w:eastAsia="宋体" w:cs="Times New Roman"/>
          <w:lang w:eastAsia="zh-CN"/>
        </w:rPr>
        <w:t>temperature.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The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lang w:eastAsia="zh-CN"/>
        </w:rPr>
        <w:t xml:space="preserve">adiative cooling performance was quantified </w:t>
      </w:r>
      <w:r>
        <w:rPr>
          <w:rFonts w:hint="default" w:ascii="Times New Roman" w:hAnsi="Times New Roman" w:eastAsia="宋体" w:cs="Times New Roman"/>
          <w:lang w:val="en-US" w:eastAsia="zh-CN"/>
        </w:rPr>
        <w:t>by</w:t>
      </w:r>
      <w:r>
        <w:rPr>
          <w:rFonts w:hint="default" w:ascii="Times New Roman" w:hAnsi="Times New Roman" w:eastAsia="宋体" w:cs="Times New Roman"/>
          <w:lang w:eastAsia="zh-CN"/>
        </w:rPr>
        <w:t xml:space="preserve"> the temperature difference between the sample surface and the internal ambient air.</w:t>
      </w:r>
    </w:p>
    <w:p w14:paraId="14A7310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Thermal Management Performance Testing</w:t>
      </w:r>
    </w:p>
    <w:p w14:paraId="40151109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The thermal management performance was evaluated using a method analogous to the outdoor radiative cooling test, </w:t>
      </w:r>
      <w:r>
        <w:rPr>
          <w:rFonts w:hint="default" w:ascii="Times New Roman" w:hAnsi="Times New Roman" w:eastAsia="宋体" w:cs="Times New Roman"/>
          <w:lang w:val="en-US" w:eastAsia="zh-CN"/>
        </w:rPr>
        <w:t>employing</w:t>
      </w:r>
      <w:r>
        <w:rPr>
          <w:rFonts w:hint="default" w:ascii="Times New Roman" w:hAnsi="Times New Roman" w:eastAsia="宋体" w:cs="Times New Roman"/>
          <w:lang w:eastAsia="zh-CN"/>
        </w:rPr>
        <w:t xml:space="preserve"> a modified custom-built apparatus (Fig. 5a.). In this configuration, a cavity was incorporated beneath the sample placement area, </w:t>
      </w:r>
      <w:r>
        <w:rPr>
          <w:rFonts w:hint="default" w:ascii="Times New Roman" w:hAnsi="Times New Roman" w:eastAsia="宋体" w:cs="Times New Roman"/>
          <w:lang w:val="en-US" w:eastAsia="zh-CN"/>
        </w:rPr>
        <w:t>enabl</w:t>
      </w:r>
      <w:r>
        <w:rPr>
          <w:rFonts w:hint="default" w:ascii="Times New Roman" w:hAnsi="Times New Roman" w:eastAsia="宋体" w:cs="Times New Roman"/>
          <w:lang w:eastAsia="zh-CN"/>
        </w:rPr>
        <w:t>ing simultaneous monitoring of the specimen surface temperature, bottom temperature, and internal ambient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air</w:t>
      </w:r>
      <w:r>
        <w:rPr>
          <w:rFonts w:hint="default" w:ascii="Times New Roman" w:hAnsi="Times New Roman" w:eastAsia="宋体" w:cs="Times New Roman"/>
          <w:lang w:eastAsia="zh-CN"/>
        </w:rPr>
        <w:t xml:space="preserve"> temperature using K-type thermocouples. </w:t>
      </w:r>
      <w:r>
        <w:rPr>
          <w:rFonts w:hint="default" w:ascii="Times New Roman" w:hAnsi="Times New Roman" w:eastAsia="宋体" w:cs="Times New Roman"/>
          <w:lang w:val="en-US" w:eastAsia="zh-CN"/>
        </w:rPr>
        <w:t>The t</w:t>
      </w:r>
      <w:r>
        <w:rPr>
          <w:rFonts w:hint="default" w:ascii="Times New Roman" w:hAnsi="Times New Roman" w:eastAsia="宋体" w:cs="Times New Roman"/>
          <w:lang w:eastAsia="zh-CN"/>
        </w:rPr>
        <w:t>hermal management performance was assessed based on the temperature reduction at the sample bottom relative to the internal ambient temperature.</w:t>
      </w:r>
    </w:p>
    <w:p w14:paraId="09BBD49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Sound Insulation Testing</w:t>
      </w:r>
    </w:p>
    <w:p w14:paraId="77F217F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Sound insulation performance was evaluated using a custom-designed open-top acoustic chamber (Fig. S13). A stable noise source with an average sound pressure level of approximately 100 dB was placed inside the chamber. An online digital sound level meter (AR844) was positioned 3 m away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from the chamber opening </w:t>
      </w:r>
      <w:r>
        <w:rPr>
          <w:rFonts w:hint="default" w:ascii="Times New Roman" w:hAnsi="Times New Roman" w:eastAsia="宋体" w:cs="Times New Roman"/>
          <w:lang w:eastAsia="zh-CN"/>
        </w:rPr>
        <w:t xml:space="preserve">to record sound pressure levels over a duration of 1 min. Measurements were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first </w:t>
      </w:r>
      <w:r>
        <w:rPr>
          <w:rFonts w:hint="default" w:ascii="Times New Roman" w:hAnsi="Times New Roman" w:eastAsia="宋体" w:cs="Times New Roman"/>
          <w:lang w:eastAsia="zh-CN"/>
        </w:rPr>
        <w:t xml:space="preserve">conducted with the chamber open and subsequently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repeated </w:t>
      </w:r>
      <w:r>
        <w:rPr>
          <w:rFonts w:hint="default" w:ascii="Times New Roman" w:hAnsi="Times New Roman" w:eastAsia="宋体" w:cs="Times New Roman"/>
          <w:lang w:eastAsia="zh-CN"/>
        </w:rPr>
        <w:t>with the opening sealed using different test panels.</w:t>
      </w:r>
    </w:p>
    <w:p w14:paraId="39950725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The acoustic chamber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had </w:t>
      </w:r>
      <w:r>
        <w:rPr>
          <w:rFonts w:hint="default" w:ascii="Times New Roman" w:hAnsi="Times New Roman" w:eastAsia="宋体" w:cs="Times New Roman"/>
          <w:lang w:eastAsia="zh-CN"/>
        </w:rPr>
        <w:t xml:space="preserve">dimensions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of </w:t>
      </w:r>
      <w:r>
        <w:rPr>
          <w:rFonts w:hint="default" w:ascii="Times New Roman" w:hAnsi="Times New Roman" w:eastAsia="宋体" w:cs="Times New Roman"/>
          <w:lang w:eastAsia="zh-CN"/>
        </w:rPr>
        <w:t xml:space="preserve">280 mm × 210 mm × 200 mm, with walls </w:t>
      </w:r>
      <w:r>
        <w:rPr>
          <w:rFonts w:hint="default" w:ascii="Times New Roman" w:hAnsi="Times New Roman" w:eastAsia="宋体" w:cs="Times New Roman"/>
          <w:lang w:val="en-US" w:eastAsia="zh-CN"/>
        </w:rPr>
        <w:t>constructed from</w:t>
      </w:r>
      <w:r>
        <w:rPr>
          <w:rFonts w:hint="default" w:ascii="Times New Roman" w:hAnsi="Times New Roman" w:eastAsia="宋体" w:cs="Times New Roman"/>
          <w:lang w:eastAsia="zh-CN"/>
        </w:rPr>
        <w:t xml:space="preserve"> 30 mm thick polystyrene foam. To direct sound propagation through the opening, the inner walls were lined with aluminum foil and ethylene–vinyl acetate (EVA) foam. Test materials included poplar wood board</w:t>
      </w:r>
      <w:r>
        <w:rPr>
          <w:rFonts w:hint="default" w:ascii="Times New Roman" w:hAnsi="Times New Roman" w:eastAsia="宋体" w:cs="Times New Roman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lang w:eastAsia="zh-CN"/>
        </w:rPr>
        <w:t>, PE foam, and Cork–PLA–C samples, each with dimensions of 250 mm × 200 mm × 10 mm.</w:t>
      </w:r>
    </w:p>
    <w:p w14:paraId="01A593CD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>The AR844 digital sound level meter featured a measurement range of 30–130 dBA, an accuracy of ±1.5 dB, and a frequency response of 31.5 Hz–8 kHz.</w:t>
      </w:r>
    </w:p>
    <w:p w14:paraId="4856CD17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="宋体" w:cs="Times New Roman"/>
          <w:b/>
          <w:bCs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lang w:eastAsia="zh-CN"/>
        </w:rPr>
        <w:t>Life Cycle Assessment (LCA)</w:t>
      </w:r>
    </w:p>
    <w:p w14:paraId="7EB77938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t xml:space="preserve">Following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previously </w:t>
      </w:r>
      <w:r>
        <w:rPr>
          <w:rFonts w:hint="default" w:ascii="Times New Roman" w:hAnsi="Times New Roman" w:eastAsia="宋体" w:cs="Times New Roman"/>
          <w:lang w:eastAsia="zh-CN"/>
        </w:rPr>
        <w:t>reported methods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2</w:t>
      </w:r>
      <w:r>
        <w:rPr>
          <w:rFonts w:hint="default" w:ascii="Times New Roman" w:hAnsi="Times New Roman" w:eastAsia="宋体" w:cs="Times New Roman"/>
          <w:lang w:eastAsia="zh-CN"/>
        </w:rPr>
        <w:t xml:space="preserve">,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lang w:eastAsia="zh-CN"/>
        </w:rPr>
        <w:t xml:space="preserve">life cycle assessment (LCA) was </w:t>
      </w:r>
      <w:r>
        <w:rPr>
          <w:rFonts w:hint="default" w:ascii="Times New Roman" w:hAnsi="Times New Roman" w:eastAsia="宋体" w:cs="Times New Roman"/>
          <w:lang w:val="en-US" w:eastAsia="zh-CN"/>
        </w:rPr>
        <w:t>conduct</w:t>
      </w:r>
      <w:r>
        <w:rPr>
          <w:rFonts w:hint="default" w:ascii="Times New Roman" w:hAnsi="Times New Roman" w:eastAsia="宋体" w:cs="Times New Roman"/>
          <w:lang w:eastAsia="zh-CN"/>
        </w:rPr>
        <w:t xml:space="preserve">ed using SimaPro software (version 9.0.0.48) with the ReCiPe 2016 Midpoint (H) V1.03/World (2010) H impact assessment method. Environmental impacts across 18 categories (e.g., climate change, fossil resource depletion, freshwater consumption, and terrestrial acidification) were systematically evaluated for 1 kg of B–Cork–PLA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composite </w:t>
      </w:r>
      <w:r>
        <w:rPr>
          <w:rFonts w:hint="default" w:ascii="Times New Roman" w:hAnsi="Times New Roman" w:eastAsia="宋体" w:cs="Times New Roman"/>
          <w:lang w:eastAsia="zh-CN"/>
        </w:rPr>
        <w:t xml:space="preserve">and </w:t>
      </w:r>
      <w:r>
        <w:rPr>
          <w:rFonts w:hint="default" w:ascii="Times New Roman" w:hAnsi="Times New Roman" w:eastAsia="宋体" w:cs="Times New Roman"/>
          <w:lang w:val="en-US" w:eastAsia="zh-CN"/>
        </w:rPr>
        <w:t>expanded polystyrene (</w:t>
      </w:r>
      <w:r>
        <w:rPr>
          <w:rFonts w:hint="default" w:ascii="Times New Roman" w:hAnsi="Times New Roman" w:eastAsia="宋体" w:cs="Times New Roman"/>
          <w:lang w:eastAsia="zh-CN"/>
        </w:rPr>
        <w:t>EPS</w:t>
      </w:r>
      <w:r>
        <w:rPr>
          <w:rFonts w:hint="default" w:ascii="Times New Roman" w:hAnsi="Times New Roman" w:eastAsia="宋体" w:cs="Times New Roman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lang w:eastAsia="zh-CN"/>
        </w:rPr>
        <w:t xml:space="preserve"> over their </w:t>
      </w:r>
      <w:r>
        <w:rPr>
          <w:rFonts w:hint="default" w:ascii="Times New Roman" w:hAnsi="Times New Roman" w:eastAsia="宋体" w:cs="Times New Roman"/>
          <w:lang w:val="en-US" w:eastAsia="zh-CN"/>
        </w:rPr>
        <w:t>entire</w:t>
      </w:r>
      <w:r>
        <w:rPr>
          <w:rFonts w:hint="default" w:ascii="Times New Roman" w:hAnsi="Times New Roman" w:eastAsia="宋体" w:cs="Times New Roman"/>
          <w:lang w:eastAsia="zh-CN"/>
        </w:rPr>
        <w:t xml:space="preserve"> life cycle</w:t>
      </w:r>
      <w:r>
        <w:rPr>
          <w:rFonts w:hint="default" w:ascii="Times New Roman" w:hAnsi="Times New Roman" w:eastAsia="宋体" w:cs="Times New Roman"/>
          <w:lang w:val="en-US" w:eastAsia="zh-CN"/>
        </w:rPr>
        <w:t>, including</w:t>
      </w:r>
      <w:r>
        <w:rPr>
          <w:rFonts w:hint="default" w:ascii="Times New Roman" w:hAnsi="Times New Roman" w:eastAsia="宋体" w:cs="Times New Roman"/>
          <w:lang w:eastAsia="zh-CN"/>
        </w:rPr>
        <w:t xml:space="preserve"> raw material preparation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material production</w:t>
      </w:r>
      <w:r>
        <w:rPr>
          <w:rFonts w:hint="default" w:ascii="Times New Roman" w:hAnsi="Times New Roman" w:eastAsia="宋体" w:cs="Times New Roman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lang w:eastAsia="zh-CN"/>
        </w:rPr>
        <w:t>recycling/degradation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stages</w:t>
      </w:r>
      <w:r>
        <w:rPr>
          <w:rFonts w:hint="default" w:ascii="Times New Roman" w:hAnsi="Times New Roman" w:eastAsia="宋体" w:cs="Times New Roman"/>
          <w:lang w:eastAsia="zh-CN"/>
        </w:rPr>
        <w:t>. Furthermore, following established literature procedures</w:t>
      </w:r>
      <w:r>
        <w:rPr>
          <w:rFonts w:hint="default" w:ascii="Times New Roman" w:hAnsi="Times New Roman" w:eastAsia="宋体" w:cs="Times New Roman"/>
          <w:vertAlign w:val="superscript"/>
          <w:lang w:eastAsia="zh-CN"/>
        </w:rPr>
        <w:t>3</w:t>
      </w:r>
      <w:r>
        <w:rPr>
          <w:rFonts w:hint="default" w:ascii="Times New Roman" w:hAnsi="Times New Roman" w:eastAsia="宋体" w:cs="Times New Roman"/>
          <w:lang w:eastAsia="zh-CN"/>
        </w:rPr>
        <w:t xml:space="preserve">, the environmental impact results were converted into unified monetary indicators to </w:t>
      </w:r>
      <w:r>
        <w:rPr>
          <w:rFonts w:hint="default" w:ascii="Times New Roman" w:hAnsi="Times New Roman" w:eastAsia="宋体" w:cs="Times New Roman"/>
          <w:lang w:val="en-US" w:eastAsia="zh-CN"/>
        </w:rPr>
        <w:t>enable</w:t>
      </w:r>
      <w:r>
        <w:rPr>
          <w:rFonts w:hint="default" w:ascii="Times New Roman" w:hAnsi="Times New Roman" w:eastAsia="宋体" w:cs="Times New Roman"/>
          <w:lang w:eastAsia="zh-CN"/>
        </w:rPr>
        <w:t xml:space="preserve"> quantitative comparison and comprehensive 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evaluation of the overall </w:t>
      </w:r>
      <w:r>
        <w:rPr>
          <w:rFonts w:hint="default" w:ascii="Times New Roman" w:hAnsi="Times New Roman" w:eastAsia="宋体" w:cs="Times New Roman"/>
          <w:lang w:eastAsia="zh-CN"/>
        </w:rPr>
        <w:t>environmental performance.</w:t>
      </w:r>
    </w:p>
    <w:p w14:paraId="550828C2">
      <w:pPr>
        <w:pStyle w:val="2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" w:firstLineChars="200"/>
        <w:rPr>
          <w:rFonts w:hint="default" w:ascii="Times New Roman" w:hAnsi="Times New Roman" w:eastAsia="宋体" w:cs="Times New Roman"/>
          <w:lang w:eastAsia="zh-CN"/>
        </w:rPr>
      </w:pPr>
    </w:p>
    <w:p w14:paraId="1F5D46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br w:type="page"/>
      </w:r>
    </w:p>
    <w:p w14:paraId="401F5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drawing>
          <wp:inline distT="0" distB="0" distL="114300" distR="114300">
            <wp:extent cx="3959860" cy="2595245"/>
            <wp:effectExtent l="0" t="0" r="2540" b="10795"/>
            <wp:docPr id="1" name="图片 1" descr="幻灯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幻灯片6"/>
                    <pic:cNvPicPr>
                      <a:picLocks noChangeAspect="1"/>
                    </pic:cNvPicPr>
                  </pic:nvPicPr>
                  <pic:blipFill>
                    <a:blip r:embed="rId4"/>
                    <a:srcRect l="9581" t="15839" r="12939" b="27745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B4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S1.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SEM images of natural cork and Cork-PLA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bio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composites with different cork contents (60%, 80%, and 90%) (The dashed lines indicate the PLA bonding interfaces). (a) Microstructure of cork particles, (b) 60% Cork-PLA-C, (c) 80% Cork-PLA-C, (d) 90% Cork-PLA-C.</w:t>
      </w:r>
    </w:p>
    <w:p w14:paraId="46226D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 w14:paraId="00369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  <w:drawing>
          <wp:inline distT="0" distB="0" distL="114300" distR="114300">
            <wp:extent cx="3959860" cy="1602740"/>
            <wp:effectExtent l="0" t="0" r="2540" b="12700"/>
            <wp:docPr id="2" name="图片 2" descr="幻灯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幻灯片8"/>
                    <pic:cNvPicPr>
                      <a:picLocks noChangeAspect="1"/>
                    </pic:cNvPicPr>
                  </pic:nvPicPr>
                  <pic:blipFill>
                    <a:blip r:embed="rId5"/>
                    <a:srcRect l="14172" t="26054" r="22194" b="45329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EC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S2.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Tensile strength (TS) and wear resistance (WR) of Cork-PLA-C with different cork contents. (a) Tensile strength, (b) wear resistancee.</w:t>
      </w:r>
    </w:p>
    <w:p w14:paraId="1A0C1F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</w:p>
    <w:p w14:paraId="7417F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41B93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2160270" cy="1833880"/>
            <wp:effectExtent l="0" t="0" r="3810" b="10160"/>
            <wp:docPr id="3" name="图片 3" descr="幻灯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幻灯片9"/>
                    <pic:cNvPicPr>
                      <a:picLocks noChangeAspect="1"/>
                    </pic:cNvPicPr>
                  </pic:nvPicPr>
                  <pic:blipFill>
                    <a:blip r:embed="rId6"/>
                    <a:srcRect l="30603" t="24980" r="31896" b="39652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3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S3.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 xml:space="preserve"> Surface dent on EPS material after impact by a small sphere.</w:t>
      </w:r>
    </w:p>
    <w:p w14:paraId="48855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72DD3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3959860" cy="1525270"/>
            <wp:effectExtent l="0" t="0" r="2540" b="13970"/>
            <wp:docPr id="4" name="图片 4" descr="幻灯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幻灯片10"/>
                    <pic:cNvPicPr>
                      <a:picLocks noChangeAspect="1"/>
                    </pic:cNvPicPr>
                  </pic:nvPicPr>
                  <pic:blipFill>
                    <a:blip r:embed="rId7"/>
                    <a:srcRect l="18654" t="26966" r="20551" b="47020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C13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S4.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Stress-strain curves of Cork-PLA-C with different cork contents during 50 cyclic of compression tests.</w:t>
      </w:r>
    </w:p>
    <w:p w14:paraId="279BC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4FA24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3959860" cy="1633855"/>
            <wp:effectExtent l="0" t="0" r="2540" b="12065"/>
            <wp:docPr id="5" name="图片 5" descr="幻灯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幻灯片11"/>
                    <pic:cNvPicPr>
                      <a:picLocks noChangeAspect="1"/>
                    </pic:cNvPicPr>
                  </pic:nvPicPr>
                  <pic:blipFill>
                    <a:blip r:embed="rId8"/>
                    <a:srcRect l="11429" t="33230" r="15549" b="33298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1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S5.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 xml:space="preserve"> Dimensional stability of Cork-PLA-C with different cork contents. (a) Water absorption width swelling ratio (WSR), (b) water absorption thickness swelling ratio (TSR).</w:t>
      </w:r>
    </w:p>
    <w:p w14:paraId="10B5E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</w:p>
    <w:p w14:paraId="2E8C0C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20E02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  <w:drawing>
          <wp:inline distT="0" distB="0" distL="114300" distR="114300">
            <wp:extent cx="5015865" cy="2786380"/>
            <wp:effectExtent l="0" t="0" r="13335" b="2540"/>
            <wp:docPr id="6" name="图片 6" descr="幻灯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幻灯片14"/>
                    <pic:cNvPicPr>
                      <a:picLocks noChangeAspect="1"/>
                    </pic:cNvPicPr>
                  </pic:nvPicPr>
                  <pic:blipFill>
                    <a:blip r:embed="rId9"/>
                    <a:srcRect l="2743" t="10589" r="7056" b="33754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36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S6.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Optimization of H₂O₂ spraying dosage. (a) Surface whiteness, (b) thermal images at 0 min and 30 min of real outdoor exposure, (c) corresponding temperature difference, (d) temperature-time curves, and (e) thermal conductivity (TC) of B-Cork-PLA bleached with different H₂O₂ spray dosages.</w:t>
      </w:r>
    </w:p>
    <w:p w14:paraId="448E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</w:p>
    <w:p w14:paraId="0D4B79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6BBCF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1800225" cy="1243330"/>
            <wp:effectExtent l="0" t="0" r="13335" b="6350"/>
            <wp:docPr id="7" name="图片 7" descr="幻灯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幻灯片15"/>
                    <pic:cNvPicPr>
                      <a:picLocks noChangeAspect="1"/>
                    </pic:cNvPicPr>
                  </pic:nvPicPr>
                  <pic:blipFill>
                    <a:blip r:embed="rId10"/>
                    <a:srcRect l="30881" t="24601" r="27884" b="4376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8F3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Figure S7. Surface SEM images of B-Cork-PLA-C.</w:t>
      </w:r>
    </w:p>
    <w:p w14:paraId="5CE04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75125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1800225" cy="1629410"/>
            <wp:effectExtent l="0" t="0" r="13335" b="1270"/>
            <wp:docPr id="8" name="图片 8" descr="幻灯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幻灯片16"/>
                    <pic:cNvPicPr>
                      <a:picLocks noChangeAspect="1"/>
                    </pic:cNvPicPr>
                  </pic:nvPicPr>
                  <pic:blipFill>
                    <a:blip r:embed="rId11"/>
                    <a:srcRect l="31134" t="27477" r="37683" b="4116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D5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S8.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 xml:space="preserve"> FTIR spectra of Cork and PLA before and after bleaching.</w:t>
      </w:r>
    </w:p>
    <w:p w14:paraId="75AB22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br w:type="page"/>
      </w:r>
    </w:p>
    <w:p w14:paraId="62A10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eastAsia="zh-CN"/>
        </w:rPr>
        <w:drawing>
          <wp:inline distT="0" distB="0" distL="114300" distR="114300">
            <wp:extent cx="3239770" cy="4899025"/>
            <wp:effectExtent l="0" t="0" r="6350" b="8255"/>
            <wp:docPr id="9" name="图片 9" descr="幻灯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幻灯片17"/>
                    <pic:cNvPicPr>
                      <a:picLocks noChangeAspect="1"/>
                    </pic:cNvPicPr>
                  </pic:nvPicPr>
                  <pic:blipFill>
                    <a:blip r:embed="rId12"/>
                    <a:srcRect l="13000" r="27474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89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604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</w:rPr>
        <w:t>Figure S9.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Experimental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environment for radiative cooling performance: (a) weather conditions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(b) corresponding wind speed and humidity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, and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(c) temperature difference during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radiative cooling tests from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9:00 to 21:00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>summer; (d) weather conditions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(e) corresponding wind speed and humidity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, and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(f) temperature difference during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>radiative cooling tests from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 xml:space="preserve"> 9:00 to 21:00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t>winter.</w:t>
      </w:r>
    </w:p>
    <w:p w14:paraId="1573D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eastAsia="zh-CN"/>
        </w:rPr>
        <w:br w:type="page"/>
      </w:r>
    </w:p>
    <w:p w14:paraId="28DB0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drawing>
          <wp:inline distT="0" distB="0" distL="114300" distR="114300">
            <wp:extent cx="2160270" cy="1628140"/>
            <wp:effectExtent l="0" t="0" r="3810" b="2540"/>
            <wp:docPr id="10" name="图片 10" descr="幻灯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幻灯片18"/>
                    <pic:cNvPicPr>
                      <a:picLocks noChangeAspect="1"/>
                    </pic:cNvPicPr>
                  </pic:nvPicPr>
                  <pic:blipFill>
                    <a:blip r:embed="rId13"/>
                    <a:srcRect l="24941" t="25822" r="35320" b="4090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E87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Figure S10. Thermal imaging comparison of materials before and after bleaching treatment exposed to real outdoor exposure for 0 and 30 min in summer and winter.</w:t>
      </w:r>
    </w:p>
    <w:p w14:paraId="1F7E4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br w:type="page"/>
      </w:r>
    </w:p>
    <w:p w14:paraId="1FBEAD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  <w:lang w:val="en-US" w:eastAsia="zh-CN"/>
        </w:rPr>
        <w:drawing>
          <wp:inline distT="0" distB="0" distL="114300" distR="114300">
            <wp:extent cx="3959860" cy="2923540"/>
            <wp:effectExtent l="0" t="0" r="2540" b="2540"/>
            <wp:docPr id="11" name="图片 11" descr="幻灯片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幻灯片19"/>
                    <pic:cNvPicPr>
                      <a:picLocks noChangeAspect="1"/>
                    </pic:cNvPicPr>
                  </pic:nvPicPr>
                  <pic:blipFill>
                    <a:blip r:embed="rId14"/>
                    <a:srcRect l="10528" t="21772" r="22598" b="23369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9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</w:rPr>
        <w:t>Figure S11.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 Thermal insulation performance of materials before and after bleaching. (a) Thermal conductivity, (b) thermal imag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es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 at initial and final moments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of heat/cold sources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exposure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, (c) temperature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changes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 over time,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and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 xml:space="preserve"> (d) temperature difference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</w:rPr>
        <w:t>.</w:t>
      </w:r>
    </w:p>
    <w:p w14:paraId="7546A9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1"/>
          <w:szCs w:val="21"/>
        </w:rPr>
        <w:br w:type="page"/>
      </w:r>
    </w:p>
    <w:p w14:paraId="3FB5D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4757420" cy="2325370"/>
            <wp:effectExtent l="0" t="0" r="12700" b="6350"/>
            <wp:docPr id="13" name="图片 13" descr="幻灯片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幻灯片20"/>
                    <pic:cNvPicPr>
                      <a:picLocks noChangeAspect="1"/>
                    </pic:cNvPicPr>
                  </pic:nvPicPr>
                  <pic:blipFill>
                    <a:blip r:embed="rId15"/>
                    <a:srcRect l="1203" t="17397" r="3448" b="30834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EA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val="en-US" w:eastAsia="zh-CN"/>
        </w:rPr>
        <w:t>Figure S12.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 Mechanical strength and dimensional stability of B-Cork-PLA-C. (a) Compressive strength (CS), (b) modulus of rupture (MOR) and modulus of elasticity (MOE), (c) wear resistance (WR), (d) internal bond strength (IBS), (e) volume swelling ratio after water absorption (VSR).</w:t>
      </w:r>
    </w:p>
    <w:p w14:paraId="1EFC4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黑体" w:cs="Times New Roman"/>
          <w:b w:val="0"/>
          <w:bCs w:val="0"/>
          <w:sz w:val="21"/>
          <w:szCs w:val="21"/>
        </w:rPr>
      </w:pPr>
    </w:p>
    <w:p w14:paraId="09C3F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eastAsia="zh-CN"/>
        </w:rPr>
        <w:br w:type="page"/>
      </w:r>
    </w:p>
    <w:p w14:paraId="4E417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2160270" cy="1336040"/>
            <wp:effectExtent l="0" t="0" r="3810" b="5080"/>
            <wp:docPr id="14" name="图片 14" descr="幻灯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幻灯片24"/>
                    <pic:cNvPicPr>
                      <a:picLocks noChangeAspect="1"/>
                    </pic:cNvPicPr>
                  </pic:nvPicPr>
                  <pic:blipFill>
                    <a:blip r:embed="rId16"/>
                    <a:srcRect l="18447" t="15985" r="43148" b="57623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1B3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0"/>
          <w:sz w:val="21"/>
          <w:szCs w:val="21"/>
          <w:lang w:val="en-US" w:eastAsia="zh-CN"/>
        </w:rPr>
        <w:t>Figure S13.</w:t>
      </w:r>
      <w:r>
        <w:rPr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  <w:t xml:space="preserve"> Schematic diagram of the sound insulation test setup.</w:t>
      </w:r>
    </w:p>
    <w:p w14:paraId="7B93E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p w14:paraId="19BB1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5F4A2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3959860" cy="2534920"/>
            <wp:effectExtent l="0" t="0" r="2540" b="10160"/>
            <wp:docPr id="16" name="图片 16" descr="幻灯片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幻灯片23"/>
                    <pic:cNvPicPr>
                      <a:picLocks noChangeAspect="1"/>
                    </pic:cNvPicPr>
                  </pic:nvPicPr>
                  <pic:blipFill>
                    <a:blip r:embed="rId17"/>
                    <a:srcRect l="8771" t="11743" r="14860" b="3395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28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lang w:eastAsia="zh-CN"/>
        </w:rPr>
        <w:t>Figure S14.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  <w:t xml:space="preserve"> Fabrication of BM-Cork-PLA-C. (a) SEM image of cellulose nanofibers (CNF), (b) SEM image of hydrophobic nano-SiO₂, (c) schematic illustration of surface modification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>via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  <w:t xml:space="preserve"> spraying CNF and hydrophobic nano-SiO₂,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kern w:val="0"/>
          <w:sz w:val="21"/>
          <w:szCs w:val="21"/>
          <w:lang w:eastAsia="zh-CN"/>
        </w:rPr>
        <w:t>(d) SEM image of the surface structure of BM-Cork-PLA-C after spraying CNF and hydrophobic nano-SiO₂.</w:t>
      </w:r>
    </w:p>
    <w:p w14:paraId="276C4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p w14:paraId="49148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16BF0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5255895" cy="2446020"/>
            <wp:effectExtent l="0" t="0" r="0" b="0"/>
            <wp:docPr id="19" name="图片 19" descr="幻灯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幻灯片26"/>
                    <pic:cNvPicPr>
                      <a:picLocks noChangeAspect="1"/>
                    </pic:cNvPicPr>
                  </pic:nvPicPr>
                  <pic:blipFill>
                    <a:blip r:embed="rId18"/>
                    <a:srcRect b="4829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CE0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sz w:val="21"/>
          <w:szCs w:val="21"/>
          <w:lang w:eastAsia="zh-CN"/>
        </w:rPr>
        <w:t>Figure S15.</w:t>
      </w: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eastAsia="zh-CN"/>
        </w:rPr>
        <w:t xml:space="preserve"> Comparative assessment of environmental impact between B-Cork-PLA-C and EPS.</w:t>
      </w:r>
    </w:p>
    <w:p w14:paraId="744F74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/>
        </w:rPr>
        <w:pict>
          <v:shape id="_x0000_i1025" o:spt="201" type="#_x0000_t201" style="height:0pt;width:0.05pt;" filled="f" coordsize="21600,21600">
            <v:path/>
            <v:fill on="f" focussize="0,0"/>
            <v:stroke/>
            <v:imagedata o:title=""/>
            <o:lock v:ext="edit" aspectratio="t"/>
            <w10:wrap type="none"/>
            <w10:anchorlock/>
          </v:shape>
        </w:pict>
      </w:r>
    </w:p>
    <w:p w14:paraId="0BC4C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p w14:paraId="2BBE2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01C66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5255895" cy="1455420"/>
            <wp:effectExtent l="0" t="0" r="0" b="0"/>
            <wp:docPr id="20" name="图片 20" descr="幻灯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幻灯片27"/>
                    <pic:cNvPicPr>
                      <a:picLocks noChangeAspect="1"/>
                    </pic:cNvPicPr>
                  </pic:nvPicPr>
                  <pic:blipFill>
                    <a:blip r:embed="rId19"/>
                    <a:srcRect t="19101" b="5013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00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1"/>
          <w:szCs w:val="21"/>
          <w:lang w:val="en-US" w:eastAsia="zh-CN"/>
        </w:rPr>
        <w:t>Figure S16.</w:t>
      </w: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/>
        </w:rPr>
        <w:t xml:space="preserve"> Monetization of the environmental impacts of B-Cork-PLA-C and EPS.</w:t>
      </w:r>
    </w:p>
    <w:p w14:paraId="6C134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13C31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5234305" cy="2265680"/>
            <wp:effectExtent l="0" t="0" r="0" b="0"/>
            <wp:docPr id="22" name="图片 22" descr="幻灯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幻灯片26"/>
                    <pic:cNvPicPr>
                      <a:picLocks noChangeAspect="1"/>
                    </pic:cNvPicPr>
                  </pic:nvPicPr>
                  <pic:blipFill>
                    <a:blip r:embed="rId18"/>
                    <a:srcRect l="411" t="51624" b="483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A66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黑体" w:cs="Times New Roman"/>
          <w:sz w:val="21"/>
          <w:szCs w:val="21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sz w:val="21"/>
          <w:szCs w:val="21"/>
          <w:lang w:eastAsia="zh-CN"/>
        </w:rPr>
        <w:t>Figure S17.</w:t>
      </w:r>
      <w:r>
        <w:rPr>
          <w:rFonts w:hint="default" w:ascii="Times New Roman" w:hAnsi="Times New Roman" w:eastAsia="黑体" w:cs="Times New Roman"/>
          <w:sz w:val="21"/>
          <w:szCs w:val="21"/>
          <w:lang w:eastAsia="zh-CN"/>
        </w:rPr>
        <w:t xml:space="preserve"> Environmental impact of B-Cork-PLA-C components.</w:t>
      </w:r>
    </w:p>
    <w:p w14:paraId="3EEA0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p w14:paraId="3178F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1E578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21"/>
          <w:szCs w:val="21"/>
          <w:lang w:val="en-US" w:eastAsia="zh-CN"/>
        </w:rPr>
        <w:t>Table S1</w:t>
      </w: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/>
        </w:rPr>
        <w:t xml:space="preserve"> Monetization factors for 18 LCA midpoint impact indicators</w:t>
      </w:r>
    </w:p>
    <w:tbl>
      <w:tblPr>
        <w:tblStyle w:val="7"/>
        <w:tblpPr w:leftFromText="180" w:rightFromText="180" w:vertAnchor="text" w:horzAnchor="page" w:tblpX="2034" w:tblpY="36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1744"/>
        <w:gridCol w:w="2000"/>
      </w:tblGrid>
      <w:tr w14:paraId="4A2B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7D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LCA midpoint indicators of ReCiPe 2016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7ED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Unit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73D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Monetization factors</w:t>
            </w:r>
          </w:p>
        </w:tc>
      </w:tr>
      <w:tr w14:paraId="55C9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B5F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Global warming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8A1F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CO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eq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80F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0.0521498</w:t>
            </w:r>
          </w:p>
        </w:tc>
      </w:tr>
      <w:tr w14:paraId="0AC2E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AC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Stratospheric ozone depletion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CFC-11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D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2325311</w:t>
            </w:r>
          </w:p>
        </w:tc>
      </w:tr>
      <w:tr w14:paraId="3D88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A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Ionizing radiation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3A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€/kBq Co-60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E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0.0012067</w:t>
            </w:r>
          </w:p>
        </w:tc>
      </w:tr>
      <w:tr w14:paraId="5717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1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Ozone formation, Human health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A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NOx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9F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0.5031554</w:t>
            </w:r>
          </w:p>
        </w:tc>
      </w:tr>
      <w:tr w14:paraId="271B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9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Fine particulate matter formation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5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PM2.5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0.4676641</w:t>
            </w:r>
          </w:p>
        </w:tc>
      </w:tr>
      <w:tr w14:paraId="0E87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F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Ozone formation, Terrestrial ecosystems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D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NOx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D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0.3072659</w:t>
            </w:r>
          </w:p>
        </w:tc>
      </w:tr>
      <w:tr w14:paraId="42606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Terrestrial acidification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9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SO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F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0.5331038</w:t>
            </w:r>
          </w:p>
        </w:tc>
      </w:tr>
      <w:tr w14:paraId="7A1E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1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Freshwater eutrophication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4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P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D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0.9843395</w:t>
            </w:r>
          </w:p>
        </w:tc>
      </w:tr>
      <w:tr w14:paraId="243E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Marine eutrophication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4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N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1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0.1520894</w:t>
            </w:r>
          </w:p>
        </w:tc>
      </w:tr>
      <w:tr w14:paraId="7BA1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Terrestrial ecotoxicity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1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1,4-DCB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96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0.4691846</w:t>
            </w:r>
          </w:p>
        </w:tc>
      </w:tr>
      <w:tr w14:paraId="7AD0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ED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Freshwater ecotoxicity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86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1,4-DCB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F7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25.575497</w:t>
            </w:r>
          </w:p>
        </w:tc>
      </w:tr>
      <w:tr w14:paraId="0778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Marine ecotoxicity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5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1,4-DCB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9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0.0169445</w:t>
            </w:r>
          </w:p>
        </w:tc>
      </w:tr>
      <w:tr w14:paraId="3B6D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Human carcinogenic toxicity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8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1,4-DCB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1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0.1840862</w:t>
            </w:r>
          </w:p>
        </w:tc>
      </w:tr>
      <w:tr w14:paraId="11C9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7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Human non-carcinogenic toxicity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02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1,4-DCB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7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0.0126421</w:t>
            </w:r>
          </w:p>
        </w:tc>
      </w:tr>
      <w:tr w14:paraId="3EDC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9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Land use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4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 crop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1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0.1131409</w:t>
            </w:r>
          </w:p>
        </w:tc>
      </w:tr>
      <w:tr w14:paraId="1001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0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Mineral resource scarcity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7E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Cu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0.506521</w:t>
            </w:r>
          </w:p>
        </w:tc>
      </w:tr>
      <w:tr w14:paraId="3B5E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5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Fossil resource scarcity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2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€/kg oil eq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2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</w:rPr>
              <w:t>0.0269353</w:t>
            </w:r>
          </w:p>
        </w:tc>
      </w:tr>
      <w:tr w14:paraId="71466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A4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Water consumption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BFB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€/m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76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0.0484697</w:t>
            </w:r>
          </w:p>
        </w:tc>
      </w:tr>
    </w:tbl>
    <w:p w14:paraId="3B8120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br w:type="page"/>
      </w:r>
    </w:p>
    <w:p w14:paraId="7CD12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[1] X. Gao, R. Gong, X. Hu, Y. Gu, V. Srinivasan, X. Dong, Y. Li, Highly strong, fire-retardant and water-resistant wooden structural material enabled by organic-inorganic nanohybridization in-situ coupled with cell densification, Chem. Eng. J. 515 (2025) 163527. https://doi.org/10.1016/j.cej.2025.163527.</w:t>
      </w:r>
    </w:p>
    <w:p w14:paraId="7B5E7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[2] C. Ruini, P. Neri, G. Cavalaglio, V. Coccia, F. Cotana, A. Galletti, D. Morselli, P. Fabbri, A. Ferrari, R. Rosa, Innovative bioplasticizers from residual Cynara cardunculus L. biomass-derived levulinic acid and their environmental impact assessment by LCA methodology, ACS Sustain. Chem. Eng. 11 (32) (2023) 12014–12026. https://doi.org/10.1021/acssuschemeng.3c02269.</w:t>
      </w:r>
    </w:p>
    <w:p w14:paraId="453A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[3] H. Gao, Y. Huang, Y. Wang, J. Xiao, Y. Yu, Q. Liu, J. Zhang, Z. Wang, Q. Luo, Scalable and sustainable biorefinery development: coupling green chemistry with life cycle thinking, ACS Sustain. Chem. Eng. 13 (43) (2025) 18514–18523. https://doi.org/10.1021/acssuschemeng.5c05904.</w:t>
      </w:r>
    </w:p>
    <w:p w14:paraId="7F9F3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533DB"/>
    <w:rsid w:val="0140301A"/>
    <w:rsid w:val="01AF3BBF"/>
    <w:rsid w:val="02847868"/>
    <w:rsid w:val="036572E9"/>
    <w:rsid w:val="04037EEA"/>
    <w:rsid w:val="045A6C2B"/>
    <w:rsid w:val="046B19E4"/>
    <w:rsid w:val="048D195A"/>
    <w:rsid w:val="05E83AAC"/>
    <w:rsid w:val="0620594B"/>
    <w:rsid w:val="06A91D9D"/>
    <w:rsid w:val="07115CA7"/>
    <w:rsid w:val="0808055A"/>
    <w:rsid w:val="08237A27"/>
    <w:rsid w:val="08BB636A"/>
    <w:rsid w:val="096B7D90"/>
    <w:rsid w:val="0A0B0881"/>
    <w:rsid w:val="0B7D678D"/>
    <w:rsid w:val="0B8F2FA5"/>
    <w:rsid w:val="0C1B5A9E"/>
    <w:rsid w:val="0C62191E"/>
    <w:rsid w:val="0C8221A1"/>
    <w:rsid w:val="0D334D3D"/>
    <w:rsid w:val="0DB55A7E"/>
    <w:rsid w:val="0DFA60F6"/>
    <w:rsid w:val="0E1F30F2"/>
    <w:rsid w:val="0E400FF7"/>
    <w:rsid w:val="0F0C223F"/>
    <w:rsid w:val="107D6D99"/>
    <w:rsid w:val="11431C87"/>
    <w:rsid w:val="118B6EFE"/>
    <w:rsid w:val="11D5049D"/>
    <w:rsid w:val="11DD0071"/>
    <w:rsid w:val="12217B86"/>
    <w:rsid w:val="12E50BB3"/>
    <w:rsid w:val="134909F2"/>
    <w:rsid w:val="137B21E9"/>
    <w:rsid w:val="13B82628"/>
    <w:rsid w:val="14E82BDD"/>
    <w:rsid w:val="1551201B"/>
    <w:rsid w:val="157C427B"/>
    <w:rsid w:val="158177D9"/>
    <w:rsid w:val="15C03357"/>
    <w:rsid w:val="15C56A7A"/>
    <w:rsid w:val="18BB7484"/>
    <w:rsid w:val="198B4651"/>
    <w:rsid w:val="19BC3D6B"/>
    <w:rsid w:val="1AD93DF9"/>
    <w:rsid w:val="1B444BA5"/>
    <w:rsid w:val="1CA00948"/>
    <w:rsid w:val="1CF13DBB"/>
    <w:rsid w:val="1D1F3AD3"/>
    <w:rsid w:val="1DE3561A"/>
    <w:rsid w:val="1E656462"/>
    <w:rsid w:val="1F83778A"/>
    <w:rsid w:val="1F9C4179"/>
    <w:rsid w:val="200160D0"/>
    <w:rsid w:val="204B6FF0"/>
    <w:rsid w:val="207E6E54"/>
    <w:rsid w:val="210C6647"/>
    <w:rsid w:val="21124835"/>
    <w:rsid w:val="214D41CF"/>
    <w:rsid w:val="22AF6AE8"/>
    <w:rsid w:val="230B3779"/>
    <w:rsid w:val="240B6EA0"/>
    <w:rsid w:val="24CF2437"/>
    <w:rsid w:val="24F72435"/>
    <w:rsid w:val="25585215"/>
    <w:rsid w:val="25A66580"/>
    <w:rsid w:val="25C51DDA"/>
    <w:rsid w:val="28FA0C57"/>
    <w:rsid w:val="2903193C"/>
    <w:rsid w:val="293C3203"/>
    <w:rsid w:val="29E84505"/>
    <w:rsid w:val="2A7C3754"/>
    <w:rsid w:val="2A8D3BB3"/>
    <w:rsid w:val="2E0F48DF"/>
    <w:rsid w:val="2E3507E9"/>
    <w:rsid w:val="2EF97A69"/>
    <w:rsid w:val="2F1624F9"/>
    <w:rsid w:val="2FA12DB4"/>
    <w:rsid w:val="30BD31F2"/>
    <w:rsid w:val="30CC6AB7"/>
    <w:rsid w:val="312A5F00"/>
    <w:rsid w:val="31770A9A"/>
    <w:rsid w:val="31DC4453"/>
    <w:rsid w:val="321B7C44"/>
    <w:rsid w:val="33BA3F4B"/>
    <w:rsid w:val="34373437"/>
    <w:rsid w:val="34650ED0"/>
    <w:rsid w:val="347F67AC"/>
    <w:rsid w:val="35903522"/>
    <w:rsid w:val="35AC539D"/>
    <w:rsid w:val="36BD312A"/>
    <w:rsid w:val="36E01197"/>
    <w:rsid w:val="37082694"/>
    <w:rsid w:val="380D6333"/>
    <w:rsid w:val="38CA1425"/>
    <w:rsid w:val="3B496EDF"/>
    <w:rsid w:val="3B8941BE"/>
    <w:rsid w:val="3BD901ED"/>
    <w:rsid w:val="3BDA6645"/>
    <w:rsid w:val="3D49758E"/>
    <w:rsid w:val="3D97095D"/>
    <w:rsid w:val="3E0F3F51"/>
    <w:rsid w:val="3E104487"/>
    <w:rsid w:val="3E6B7013"/>
    <w:rsid w:val="3F0A35CC"/>
    <w:rsid w:val="3F2934D6"/>
    <w:rsid w:val="3F88629F"/>
    <w:rsid w:val="400B72C4"/>
    <w:rsid w:val="403A461C"/>
    <w:rsid w:val="407E72D1"/>
    <w:rsid w:val="4230625D"/>
    <w:rsid w:val="42B72FBE"/>
    <w:rsid w:val="42B9463D"/>
    <w:rsid w:val="42BD5EF2"/>
    <w:rsid w:val="42FB5FA4"/>
    <w:rsid w:val="43623A12"/>
    <w:rsid w:val="443641FE"/>
    <w:rsid w:val="446F7A2D"/>
    <w:rsid w:val="44FA7252"/>
    <w:rsid w:val="45350125"/>
    <w:rsid w:val="45887DA0"/>
    <w:rsid w:val="45BE164F"/>
    <w:rsid w:val="45FE16CD"/>
    <w:rsid w:val="465D5D64"/>
    <w:rsid w:val="46937F77"/>
    <w:rsid w:val="46AD68F5"/>
    <w:rsid w:val="46D0453B"/>
    <w:rsid w:val="47193E5A"/>
    <w:rsid w:val="477342B7"/>
    <w:rsid w:val="47F71D9F"/>
    <w:rsid w:val="48D43A0A"/>
    <w:rsid w:val="49CA0FAD"/>
    <w:rsid w:val="4AD0742B"/>
    <w:rsid w:val="4ADA02F6"/>
    <w:rsid w:val="4B0E369D"/>
    <w:rsid w:val="4B1F1850"/>
    <w:rsid w:val="4B387517"/>
    <w:rsid w:val="4BF82249"/>
    <w:rsid w:val="4CB16E35"/>
    <w:rsid w:val="4DCF4F9C"/>
    <w:rsid w:val="4E6D653B"/>
    <w:rsid w:val="4EA31B7A"/>
    <w:rsid w:val="4EB76867"/>
    <w:rsid w:val="4EC05A55"/>
    <w:rsid w:val="4F017C92"/>
    <w:rsid w:val="4F5A1A06"/>
    <w:rsid w:val="4F9C315B"/>
    <w:rsid w:val="500718C4"/>
    <w:rsid w:val="514E07A1"/>
    <w:rsid w:val="54105F89"/>
    <w:rsid w:val="54836DC2"/>
    <w:rsid w:val="54D51B2F"/>
    <w:rsid w:val="55BD6102"/>
    <w:rsid w:val="560143A9"/>
    <w:rsid w:val="56FA4AC0"/>
    <w:rsid w:val="57EA3B43"/>
    <w:rsid w:val="584418B4"/>
    <w:rsid w:val="585B7BCD"/>
    <w:rsid w:val="5BA4622E"/>
    <w:rsid w:val="5C4F0418"/>
    <w:rsid w:val="5DAB6A1E"/>
    <w:rsid w:val="5DF50B4C"/>
    <w:rsid w:val="5E5D76E0"/>
    <w:rsid w:val="5EC73BE1"/>
    <w:rsid w:val="5F24004D"/>
    <w:rsid w:val="6008513B"/>
    <w:rsid w:val="603943F8"/>
    <w:rsid w:val="60433DF0"/>
    <w:rsid w:val="61865D42"/>
    <w:rsid w:val="61973491"/>
    <w:rsid w:val="621903DF"/>
    <w:rsid w:val="642B09B7"/>
    <w:rsid w:val="64355278"/>
    <w:rsid w:val="649966D5"/>
    <w:rsid w:val="64C179D9"/>
    <w:rsid w:val="64D515D8"/>
    <w:rsid w:val="65262602"/>
    <w:rsid w:val="653F675B"/>
    <w:rsid w:val="65FA13F5"/>
    <w:rsid w:val="66F44096"/>
    <w:rsid w:val="6734681F"/>
    <w:rsid w:val="67381BDA"/>
    <w:rsid w:val="67407959"/>
    <w:rsid w:val="676549FF"/>
    <w:rsid w:val="67993512"/>
    <w:rsid w:val="697A5BAD"/>
    <w:rsid w:val="6BEE7306"/>
    <w:rsid w:val="6C366551"/>
    <w:rsid w:val="6C6A1DEC"/>
    <w:rsid w:val="6D785A21"/>
    <w:rsid w:val="6FA81EC2"/>
    <w:rsid w:val="6FC1500B"/>
    <w:rsid w:val="6FC9132E"/>
    <w:rsid w:val="704F65DD"/>
    <w:rsid w:val="72F07E08"/>
    <w:rsid w:val="74484343"/>
    <w:rsid w:val="74A67028"/>
    <w:rsid w:val="754555EF"/>
    <w:rsid w:val="75742F72"/>
    <w:rsid w:val="773A3D47"/>
    <w:rsid w:val="774943AC"/>
    <w:rsid w:val="77882D05"/>
    <w:rsid w:val="78FA25D6"/>
    <w:rsid w:val="79004B1D"/>
    <w:rsid w:val="791C66E5"/>
    <w:rsid w:val="7AF2618A"/>
    <w:rsid w:val="7B324450"/>
    <w:rsid w:val="7BCD518A"/>
    <w:rsid w:val="7C143EC4"/>
    <w:rsid w:val="7C8415C1"/>
    <w:rsid w:val="7CB238BA"/>
    <w:rsid w:val="7CB2612E"/>
    <w:rsid w:val="7D3924E1"/>
    <w:rsid w:val="7D974D3C"/>
    <w:rsid w:val="7D9F1546"/>
    <w:rsid w:val="7E97006E"/>
    <w:rsid w:val="7EC127A7"/>
    <w:rsid w:val="7EFF7A60"/>
    <w:rsid w:val="7FFC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40" w:lineRule="exact"/>
      <w:ind w:firstLine="1124" w:firstLineChars="200"/>
      <w:outlineLvl w:val="0"/>
    </w:pPr>
    <w:rPr>
      <w:rFonts w:ascii="Times New Roman" w:hAnsi="Times New Roman" w:eastAsia="黑体" w:cs="Times New Roman"/>
      <w:b/>
      <w:kern w:val="44"/>
      <w:sz w:val="28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ind w:firstLine="1124" w:firstLineChars="200"/>
      <w:outlineLvl w:val="1"/>
    </w:pPr>
    <w:rPr>
      <w:rFonts w:ascii="Times New Roman" w:hAnsi="Times New Roman" w:eastAsia="楷体" w:cs="Times New Roman"/>
      <w:b/>
      <w:sz w:val="24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line="440" w:lineRule="exact"/>
      <w:ind w:firstLine="1124" w:firstLineChars="200"/>
      <w:outlineLvl w:val="2"/>
    </w:pPr>
    <w:rPr>
      <w:rFonts w:ascii="Times New Roman" w:hAnsi="Times New Roman" w:eastAsia="楷体" w:cs="Times New Roman"/>
      <w:b/>
      <w:bCs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Times New Roman" w:hAnsi="Times New Roman" w:eastAsia="楷体" w:cs="Times New Roman"/>
      <w:b/>
      <w:sz w:val="24"/>
    </w:rPr>
  </w:style>
  <w:style w:type="character" w:customStyle="1" w:styleId="14">
    <w:name w:val="标题 3 Char"/>
    <w:link w:val="4"/>
    <w:qFormat/>
    <w:uiPriority w:val="0"/>
    <w:rPr>
      <w:rFonts w:ascii="Times New Roman" w:hAnsi="Times New Roman" w:eastAsia="楷体" w:cs="Times New Roman"/>
      <w:b/>
      <w:bCs/>
      <w:sz w:val="24"/>
      <w:szCs w:val="32"/>
    </w:rPr>
  </w:style>
  <w:style w:type="paragraph" w:customStyle="1" w:styleId="15">
    <w:name w:val="BB_Author_Name"/>
    <w:basedOn w:val="1"/>
    <w:next w:val="16"/>
    <w:qFormat/>
    <w:uiPriority w:val="0"/>
    <w:pPr>
      <w:spacing w:after="240" w:line="480" w:lineRule="auto"/>
      <w:jc w:val="center"/>
    </w:pPr>
    <w:rPr>
      <w:i/>
    </w:rPr>
  </w:style>
  <w:style w:type="paragraph" w:customStyle="1" w:styleId="16">
    <w:name w:val="BC_Author_Address"/>
    <w:basedOn w:val="1"/>
    <w:next w:val="17"/>
    <w:qFormat/>
    <w:uiPriority w:val="0"/>
    <w:pPr>
      <w:spacing w:after="240" w:line="480" w:lineRule="auto"/>
      <w:jc w:val="center"/>
    </w:pPr>
  </w:style>
  <w:style w:type="paragraph" w:customStyle="1" w:styleId="17">
    <w:name w:val="BI_Email_Address"/>
    <w:basedOn w:val="1"/>
    <w:next w:val="18"/>
    <w:qFormat/>
    <w:uiPriority w:val="0"/>
    <w:pPr>
      <w:spacing w:line="480" w:lineRule="auto"/>
    </w:pPr>
  </w:style>
  <w:style w:type="paragraph" w:customStyle="1" w:styleId="18">
    <w:name w:val="AI_Received_Date"/>
    <w:basedOn w:val="1"/>
    <w:next w:val="19"/>
    <w:qFormat/>
    <w:uiPriority w:val="0"/>
    <w:pPr>
      <w:spacing w:after="240" w:line="480" w:lineRule="auto"/>
    </w:pPr>
    <w:rPr>
      <w:b/>
    </w:rPr>
  </w:style>
  <w:style w:type="paragraph" w:customStyle="1" w:styleId="19">
    <w:name w:val="BD_Abstract"/>
    <w:basedOn w:val="1"/>
    <w:next w:val="20"/>
    <w:qFormat/>
    <w:uiPriority w:val="0"/>
    <w:pPr>
      <w:spacing w:before="360" w:after="360" w:line="480" w:lineRule="auto"/>
    </w:pPr>
  </w:style>
  <w:style w:type="paragraph" w:customStyle="1" w:styleId="20">
    <w:name w:val="TA_Main_Text"/>
    <w:basedOn w:val="1"/>
    <w:qFormat/>
    <w:uiPriority w:val="0"/>
    <w:pPr>
      <w:spacing w:after="0" w:line="480" w:lineRule="auto"/>
      <w:ind w:firstLine="202"/>
    </w:pPr>
  </w:style>
  <w:style w:type="paragraph" w:customStyle="1" w:styleId="21">
    <w:name w:val="FA_Author_Info_Subtitle"/>
    <w:basedOn w:val="1"/>
    <w:autoRedefine/>
    <w:qFormat/>
    <w:uiPriority w:val="0"/>
    <w:pPr>
      <w:spacing w:before="120" w:after="60" w:line="480" w:lineRule="auto"/>
      <w:jc w:val="left"/>
    </w:pPr>
    <w:rPr>
      <w:b/>
    </w:rPr>
  </w:style>
  <w:style w:type="paragraph" w:customStyle="1" w:styleId="22">
    <w:name w:val="FA_Corresponding_Author_Footnote"/>
    <w:basedOn w:val="1"/>
    <w:next w:val="20"/>
    <w:qFormat/>
    <w:uiPriority w:val="0"/>
    <w:pPr>
      <w:spacing w:line="480" w:lineRule="auto"/>
    </w:pPr>
  </w:style>
  <w:style w:type="paragraph" w:customStyle="1" w:styleId="23">
    <w:name w:val="MTDisplayEquation"/>
    <w:basedOn w:val="1"/>
    <w:next w:val="1"/>
    <w:qFormat/>
    <w:uiPriority w:val="0"/>
    <w:pPr>
      <w:widowControl w:val="0"/>
      <w:tabs>
        <w:tab w:val="center" w:pos="4160"/>
        <w:tab w:val="right" w:pos="8300"/>
      </w:tabs>
      <w:spacing w:after="0" w:line="360" w:lineRule="auto"/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1018</Words>
  <Characters>5898</Characters>
  <Lines>0</Lines>
  <Paragraphs>0</Paragraphs>
  <TotalTime>0</TotalTime>
  <ScaleCrop>false</ScaleCrop>
  <LinksUpToDate>false</LinksUpToDate>
  <CharactersWithSpaces>7276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2023-05-19T02:14:00Z</dcterms:created>
  <dc:creator>23137</dc:creator>
  <cp:lastModifiedBy>刘家晨</cp:lastModifiedBy>
  <dcterms:modified xsi:type="dcterms:W3CDTF">2026-02-04T01:19:37Z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2CAC0D4FC5114C82AD1C6E7449CA8791_13</vt:lpwstr>
  </property>
  <property fmtid="{D5CDD505-2E9C-101B-9397-08002B2CF9AE}" pid="4" name="KSOTemplateDocerSaveRecord">
    <vt:lpwstr>eyJoZGlkIjoiN2JiODBlZDM2MWYyNjU0ZmFjMTk1ZjFkZDRkYTM5NTQiLCJ1c2VySWQiOiI2ODE5NzIyMjcifQ==</vt:lpwstr>
  </property>
</Properties>
</file>