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66F5" w14:textId="77777777" w:rsidR="000B4D4D" w:rsidRPr="00E42E64" w:rsidRDefault="000B4D4D" w:rsidP="000B4D4D">
      <w:pPr>
        <w:spacing w:after="0" w:line="360" w:lineRule="auto"/>
        <w:jc w:val="both"/>
        <w:rPr>
          <w:rFonts w:ascii="Times New Roman" w:eastAsia="Times New Roman" w:hAnsi="Times New Roman" w:cs="Times New Roman"/>
          <w:b/>
          <w:bCs/>
          <w:lang w:val="en-US"/>
        </w:rPr>
      </w:pPr>
      <w:r w:rsidRPr="00E42E64">
        <w:rPr>
          <w:rFonts w:ascii="Times New Roman" w:eastAsia="Times New Roman" w:hAnsi="Times New Roman" w:cs="Times New Roman"/>
          <w:b/>
          <w:bCs/>
          <w:lang w:val="en-US"/>
        </w:rPr>
        <w:t>Abstract</w:t>
      </w:r>
    </w:p>
    <w:p w14:paraId="1D996D42" w14:textId="61515ECA" w:rsidR="00C17ED9" w:rsidRPr="00C17ED9" w:rsidRDefault="00C17ED9" w:rsidP="00C17ED9">
      <w:pPr>
        <w:spacing w:after="0" w:line="360" w:lineRule="auto"/>
        <w:jc w:val="both"/>
        <w:rPr>
          <w:rFonts w:ascii="Times New Roman" w:eastAsia="Times New Roman" w:hAnsi="Times New Roman" w:cs="Times New Roman"/>
          <w:sz w:val="20"/>
          <w:szCs w:val="20"/>
          <w:lang w:val="en-US"/>
        </w:rPr>
      </w:pPr>
      <w:r w:rsidRPr="00C17ED9">
        <w:rPr>
          <w:rFonts w:ascii="Times New Roman" w:eastAsia="Times New Roman" w:hAnsi="Times New Roman" w:cs="Times New Roman"/>
          <w:b/>
          <w:bCs/>
          <w:sz w:val="20"/>
          <w:szCs w:val="20"/>
          <w:lang w:val="en-US"/>
        </w:rPr>
        <w:t>Background:</w:t>
      </w:r>
      <w:r w:rsidRPr="00C17ED9">
        <w:rPr>
          <w:rFonts w:ascii="Times New Roman" w:eastAsia="Times New Roman" w:hAnsi="Times New Roman" w:cs="Times New Roman"/>
          <w:sz w:val="20"/>
          <w:szCs w:val="20"/>
          <w:lang w:val="en-US"/>
        </w:rPr>
        <w:t xml:space="preserve"> Digital health literacy is essential for effectively leveraging digital health technologies. However, empirical evidence among primary health care professionals in low- and middle-income countries remains scarce.</w:t>
      </w:r>
      <w:r>
        <w:rPr>
          <w:rFonts w:ascii="Times New Roman" w:eastAsia="Times New Roman" w:hAnsi="Times New Roman" w:cs="Times New Roman"/>
          <w:sz w:val="20"/>
          <w:szCs w:val="20"/>
          <w:lang w:val="en-US"/>
        </w:rPr>
        <w:t xml:space="preserve"> </w:t>
      </w:r>
      <w:r w:rsidRPr="00C17ED9">
        <w:rPr>
          <w:rFonts w:ascii="Times New Roman" w:eastAsia="Times New Roman" w:hAnsi="Times New Roman" w:cs="Times New Roman"/>
          <w:b/>
          <w:bCs/>
          <w:sz w:val="20"/>
          <w:szCs w:val="20"/>
          <w:lang w:val="en-US"/>
        </w:rPr>
        <w:t xml:space="preserve">Objective: </w:t>
      </w:r>
      <w:r w:rsidRPr="00C17ED9">
        <w:rPr>
          <w:rFonts w:ascii="Times New Roman" w:eastAsia="Times New Roman" w:hAnsi="Times New Roman" w:cs="Times New Roman"/>
          <w:sz w:val="20"/>
          <w:szCs w:val="20"/>
          <w:lang w:val="en-US"/>
        </w:rPr>
        <w:t>To evaluate digital health literacy levels and associated factors among primary health care professionals in the Federal District, Brazil.</w:t>
      </w:r>
      <w:r>
        <w:rPr>
          <w:rFonts w:ascii="Times New Roman" w:eastAsia="Times New Roman" w:hAnsi="Times New Roman" w:cs="Times New Roman"/>
          <w:sz w:val="20"/>
          <w:szCs w:val="20"/>
          <w:lang w:val="en-US"/>
        </w:rPr>
        <w:t xml:space="preserve"> </w:t>
      </w:r>
      <w:r w:rsidRPr="00C17ED9">
        <w:rPr>
          <w:rFonts w:ascii="Times New Roman" w:eastAsia="Times New Roman" w:hAnsi="Times New Roman" w:cs="Times New Roman"/>
          <w:b/>
          <w:bCs/>
          <w:sz w:val="20"/>
          <w:szCs w:val="20"/>
          <w:lang w:val="en-US"/>
        </w:rPr>
        <w:t>Methods:</w:t>
      </w:r>
      <w:r w:rsidRPr="00C17ED9">
        <w:rPr>
          <w:rFonts w:ascii="Times New Roman" w:eastAsia="Times New Roman" w:hAnsi="Times New Roman" w:cs="Times New Roman"/>
          <w:sz w:val="20"/>
          <w:szCs w:val="20"/>
          <w:lang w:val="en-US"/>
        </w:rPr>
        <w:t xml:space="preserve"> This analytical cross-sectional study evaluated 123 professionals across eight primary health care units. Digital health literacy was measured using the Brazilian version of the eHealth Literacy Scale. Sociodemographic, professional, and digital inclusion data were gathered through structured interviews. Statistical analyses incorporated nonparametric tests and multivariable linear regression utilizing robust HC3 standard errors and bootstrap resampling.</w:t>
      </w:r>
      <w:r>
        <w:rPr>
          <w:rFonts w:ascii="Times New Roman" w:eastAsia="Times New Roman" w:hAnsi="Times New Roman" w:cs="Times New Roman"/>
          <w:sz w:val="20"/>
          <w:szCs w:val="20"/>
          <w:lang w:val="en-US"/>
        </w:rPr>
        <w:t xml:space="preserve"> </w:t>
      </w:r>
      <w:r w:rsidRPr="00C17ED9">
        <w:rPr>
          <w:rFonts w:ascii="Times New Roman" w:eastAsia="Times New Roman" w:hAnsi="Times New Roman" w:cs="Times New Roman"/>
          <w:b/>
          <w:bCs/>
          <w:sz w:val="20"/>
          <w:szCs w:val="20"/>
          <w:lang w:val="en-US"/>
        </w:rPr>
        <w:t>Results:</w:t>
      </w:r>
      <w:r w:rsidRPr="00C17ED9">
        <w:rPr>
          <w:rFonts w:ascii="Times New Roman" w:eastAsia="Times New Roman" w:hAnsi="Times New Roman" w:cs="Times New Roman"/>
          <w:sz w:val="20"/>
          <w:szCs w:val="20"/>
          <w:lang w:val="en-US"/>
        </w:rPr>
        <w:t xml:space="preserve"> Participants demonstrated widespread digital inclusion, marked by universal internet access and smartphone utilization. The mean eHealth Literacy Scale score reached 34.5 ± 4.3, reflecting robust self-perceived proficiency. While instrumental information-seeking skills scored highest, confidence in critically appraising digital health information for clinical decision-making was notably lower. Higher educational attainment strongly correlated with increased literacy</w:t>
      </w:r>
      <w:r w:rsidR="00BD0F98">
        <w:rPr>
          <w:rFonts w:ascii="Times New Roman" w:eastAsia="Times New Roman" w:hAnsi="Times New Roman" w:cs="Times New Roman"/>
          <w:sz w:val="20"/>
          <w:szCs w:val="20"/>
          <w:lang w:val="en-US"/>
        </w:rPr>
        <w:t xml:space="preserve"> </w:t>
      </w:r>
      <w:r w:rsidR="00BD0F98" w:rsidRPr="00E70C60">
        <w:rPr>
          <w:rFonts w:ascii="Times New Roman" w:hAnsi="Times New Roman" w:cs="Times New Roman"/>
          <w:sz w:val="20"/>
          <w:szCs w:val="20"/>
          <w:lang w:val="en-US"/>
        </w:rPr>
        <w:t>(</w:t>
      </w:r>
      <w:r w:rsidR="00BD0F98" w:rsidRPr="00E70C60">
        <w:rPr>
          <w:rFonts w:ascii="Times New Roman" w:hAnsi="Times New Roman" w:cs="Times New Roman"/>
          <w:sz w:val="20"/>
          <w:szCs w:val="20"/>
        </w:rPr>
        <w:t>β</w:t>
      </w:r>
      <w:r w:rsidR="00BD0F98" w:rsidRPr="00E70C60">
        <w:rPr>
          <w:rFonts w:ascii="Times New Roman" w:hAnsi="Times New Roman" w:cs="Times New Roman"/>
          <w:sz w:val="20"/>
          <w:szCs w:val="20"/>
          <w:lang w:val="en-US"/>
        </w:rPr>
        <w:t xml:space="preserve"> = 1.28; p = 0.025),</w:t>
      </w:r>
      <w:r w:rsidRPr="00C17ED9">
        <w:rPr>
          <w:rFonts w:ascii="Times New Roman" w:eastAsia="Times New Roman" w:hAnsi="Times New Roman" w:cs="Times New Roman"/>
          <w:sz w:val="20"/>
          <w:szCs w:val="20"/>
          <w:lang w:val="en-US"/>
        </w:rPr>
        <w:t xml:space="preserve"> whereas community health workers scored significantly lower than nurses and physicians </w:t>
      </w:r>
      <w:r w:rsidR="00D7546B" w:rsidRPr="00E70C60">
        <w:rPr>
          <w:rFonts w:ascii="Times New Roman" w:hAnsi="Times New Roman" w:cs="Times New Roman"/>
          <w:sz w:val="20"/>
          <w:szCs w:val="20"/>
          <w:lang w:val="en-US"/>
        </w:rPr>
        <w:t>(</w:t>
      </w:r>
      <w:r w:rsidR="00D7546B" w:rsidRPr="00E70C60">
        <w:rPr>
          <w:rFonts w:ascii="Times New Roman" w:hAnsi="Times New Roman" w:cs="Times New Roman"/>
          <w:sz w:val="20"/>
          <w:szCs w:val="20"/>
        </w:rPr>
        <w:t>β</w:t>
      </w:r>
      <w:r w:rsidR="00D7546B" w:rsidRPr="00E70C60">
        <w:rPr>
          <w:rFonts w:ascii="Times New Roman" w:hAnsi="Times New Roman" w:cs="Times New Roman"/>
          <w:sz w:val="20"/>
          <w:szCs w:val="20"/>
          <w:lang w:val="en-US"/>
        </w:rPr>
        <w:t xml:space="preserve"> = −2.22; p = 0.019</w:t>
      </w:r>
      <w:r w:rsidRPr="00C17ED9">
        <w:rPr>
          <w:rFonts w:ascii="Times New Roman" w:eastAsia="Times New Roman" w:hAnsi="Times New Roman" w:cs="Times New Roman"/>
          <w:sz w:val="20"/>
          <w:szCs w:val="20"/>
          <w:lang w:val="en-US"/>
        </w:rPr>
        <w:t>. Age and professional tenure showed no significant associations.</w:t>
      </w:r>
      <w:r w:rsidR="00D7546B">
        <w:rPr>
          <w:rFonts w:ascii="Times New Roman" w:eastAsia="Times New Roman" w:hAnsi="Times New Roman" w:cs="Times New Roman"/>
          <w:sz w:val="20"/>
          <w:szCs w:val="20"/>
          <w:lang w:val="en-US"/>
        </w:rPr>
        <w:t xml:space="preserve"> </w:t>
      </w:r>
      <w:r w:rsidRPr="00D7546B">
        <w:rPr>
          <w:rFonts w:ascii="Times New Roman" w:eastAsia="Times New Roman" w:hAnsi="Times New Roman" w:cs="Times New Roman"/>
          <w:b/>
          <w:bCs/>
          <w:sz w:val="20"/>
          <w:szCs w:val="20"/>
          <w:lang w:val="en-US"/>
        </w:rPr>
        <w:t>Conclusions:</w:t>
      </w:r>
      <w:r w:rsidRPr="00C17ED9">
        <w:rPr>
          <w:rFonts w:ascii="Times New Roman" w:eastAsia="Times New Roman" w:hAnsi="Times New Roman" w:cs="Times New Roman"/>
          <w:sz w:val="20"/>
          <w:szCs w:val="20"/>
          <w:lang w:val="en-US"/>
        </w:rPr>
        <w:t xml:space="preserve"> Primary health care professionals in this setting exhibit strong instrumental competencies paired with epistemic caution regarding critical appraisal. This pattern suggests an adaptive buffer against digital ecosystem noise rather than a mere skill deficit. Health systems must bridge infrastructural readiness with Organizational Health Literacy initiatives, prioritizing continuous critical-appraisal training across all professional tiers to safeguard clinical decision-making and patient safety.</w:t>
      </w:r>
    </w:p>
    <w:p w14:paraId="401842F1" w14:textId="77777777" w:rsidR="003223A2" w:rsidRDefault="003223A2" w:rsidP="003223A2">
      <w:pPr>
        <w:spacing w:after="0" w:line="360" w:lineRule="auto"/>
        <w:jc w:val="both"/>
        <w:rPr>
          <w:rFonts w:ascii="Times New Roman" w:eastAsia="Times New Roman" w:hAnsi="Times New Roman" w:cs="Times New Roman"/>
          <w:sz w:val="20"/>
          <w:szCs w:val="20"/>
          <w:lang w:val="en-US"/>
        </w:rPr>
      </w:pPr>
      <w:r w:rsidRPr="00E70C60">
        <w:rPr>
          <w:rFonts w:ascii="Times New Roman" w:eastAsia="Times New Roman" w:hAnsi="Times New Roman" w:cs="Times New Roman"/>
          <w:b/>
          <w:bCs/>
          <w:sz w:val="20"/>
          <w:szCs w:val="20"/>
          <w:lang w:val="en-US"/>
        </w:rPr>
        <w:t>Keywords:</w:t>
      </w:r>
      <w:r w:rsidRPr="00E70C60">
        <w:rPr>
          <w:rFonts w:ascii="Times New Roman" w:eastAsia="Times New Roman" w:hAnsi="Times New Roman" w:cs="Times New Roman"/>
          <w:sz w:val="20"/>
          <w:szCs w:val="20"/>
          <w:lang w:val="en-US"/>
        </w:rPr>
        <w:t xml:space="preserve"> Digital health literacy; Primary health care; Health workforce; Digital inclusion; eHealth; Health information systems; Brazil</w:t>
      </w:r>
    </w:p>
    <w:p w14:paraId="47265BD1" w14:textId="77777777" w:rsidR="008F1DA8" w:rsidRDefault="008F1DA8" w:rsidP="000B4D4D">
      <w:pPr>
        <w:spacing w:after="0" w:line="360" w:lineRule="auto"/>
        <w:jc w:val="both"/>
        <w:rPr>
          <w:rFonts w:ascii="Times New Roman" w:eastAsia="Times New Roman" w:hAnsi="Times New Roman" w:cs="Times New Roman"/>
          <w:lang w:val="en-US"/>
        </w:rPr>
      </w:pPr>
    </w:p>
    <w:sectPr w:rsidR="008F1D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4D"/>
    <w:rsid w:val="000B4D4D"/>
    <w:rsid w:val="001454F1"/>
    <w:rsid w:val="00266937"/>
    <w:rsid w:val="003223A2"/>
    <w:rsid w:val="00394FA9"/>
    <w:rsid w:val="00411B28"/>
    <w:rsid w:val="00526E61"/>
    <w:rsid w:val="00563F49"/>
    <w:rsid w:val="00591664"/>
    <w:rsid w:val="00601C49"/>
    <w:rsid w:val="007573CD"/>
    <w:rsid w:val="008F1DA8"/>
    <w:rsid w:val="00A01B00"/>
    <w:rsid w:val="00A67198"/>
    <w:rsid w:val="00AA1182"/>
    <w:rsid w:val="00B86108"/>
    <w:rsid w:val="00BD0F98"/>
    <w:rsid w:val="00C17ED9"/>
    <w:rsid w:val="00D47604"/>
    <w:rsid w:val="00D7546B"/>
    <w:rsid w:val="00E15EED"/>
    <w:rsid w:val="00E26F91"/>
    <w:rsid w:val="00E75302"/>
    <w:rsid w:val="00EE210A"/>
    <w:rsid w:val="00EE3810"/>
    <w:rsid w:val="00FB01FC"/>
    <w:rsid w:val="00FB3E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A219C"/>
  <w15:chartTrackingRefBased/>
  <w15:docId w15:val="{328EE0D4-85E1-4E20-876B-2C61BC13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D4D"/>
    <w:rPr>
      <w:rFonts w:ascii="Aptos" w:eastAsia="Aptos" w:hAnsi="Aptos" w:cs="Aptos"/>
      <w:kern w:val="0"/>
      <w:lang w:eastAsia="pt-BR"/>
      <w14:ligatures w14:val="none"/>
    </w:rPr>
  </w:style>
  <w:style w:type="paragraph" w:styleId="Ttulo1">
    <w:name w:val="heading 1"/>
    <w:basedOn w:val="Normal"/>
    <w:next w:val="Normal"/>
    <w:link w:val="Ttulo1Char"/>
    <w:uiPriority w:val="9"/>
    <w:qFormat/>
    <w:rsid w:val="000B4D4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0B4D4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0B4D4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0B4D4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0B4D4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0B4D4D"/>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0B4D4D"/>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0B4D4D"/>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har"/>
    <w:uiPriority w:val="9"/>
    <w:semiHidden/>
    <w:unhideWhenUsed/>
    <w:qFormat/>
    <w:rsid w:val="000B4D4D"/>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4D4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4D4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4D4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4D4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4D4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4D4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4D4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4D4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4D4D"/>
    <w:rPr>
      <w:rFonts w:eastAsiaTheme="majorEastAsia" w:cstheme="majorBidi"/>
      <w:color w:val="272727" w:themeColor="text1" w:themeTint="D8"/>
    </w:rPr>
  </w:style>
  <w:style w:type="paragraph" w:styleId="Ttulo">
    <w:name w:val="Title"/>
    <w:basedOn w:val="Normal"/>
    <w:next w:val="Normal"/>
    <w:link w:val="TtuloChar"/>
    <w:uiPriority w:val="10"/>
    <w:qFormat/>
    <w:rsid w:val="000B4D4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0B4D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4D4D"/>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0B4D4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4D4D"/>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0B4D4D"/>
    <w:rPr>
      <w:i/>
      <w:iCs/>
      <w:color w:val="404040" w:themeColor="text1" w:themeTint="BF"/>
    </w:rPr>
  </w:style>
  <w:style w:type="paragraph" w:styleId="PargrafodaLista">
    <w:name w:val="List Paragraph"/>
    <w:basedOn w:val="Normal"/>
    <w:uiPriority w:val="34"/>
    <w:qFormat/>
    <w:rsid w:val="000B4D4D"/>
    <w:pPr>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Fontepargpadro"/>
    <w:uiPriority w:val="21"/>
    <w:qFormat/>
    <w:rsid w:val="000B4D4D"/>
    <w:rPr>
      <w:i/>
      <w:iCs/>
      <w:color w:val="0F4761" w:themeColor="accent1" w:themeShade="BF"/>
    </w:rPr>
  </w:style>
  <w:style w:type="paragraph" w:styleId="CitaoIntensa">
    <w:name w:val="Intense Quote"/>
    <w:basedOn w:val="Normal"/>
    <w:next w:val="Normal"/>
    <w:link w:val="CitaoIntensaChar"/>
    <w:uiPriority w:val="30"/>
    <w:qFormat/>
    <w:rsid w:val="000B4D4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0B4D4D"/>
    <w:rPr>
      <w:i/>
      <w:iCs/>
      <w:color w:val="0F4761" w:themeColor="accent1" w:themeShade="BF"/>
    </w:rPr>
  </w:style>
  <w:style w:type="character" w:styleId="RefernciaIntensa">
    <w:name w:val="Intense Reference"/>
    <w:basedOn w:val="Fontepargpadro"/>
    <w:uiPriority w:val="32"/>
    <w:qFormat/>
    <w:rsid w:val="000B4D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340</Words>
  <Characters>1840</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Katarinne Lima Moraes</dc:creator>
  <cp:keywords/>
  <dc:description/>
  <cp:lastModifiedBy>Katarinne Lima Moraes</cp:lastModifiedBy>
  <cp:revision>22</cp:revision>
  <dcterms:created xsi:type="dcterms:W3CDTF">2026-05-25T15:27:00Z</dcterms:created>
  <dcterms:modified xsi:type="dcterms:W3CDTF">2026-07-27T12:04:00Z</dcterms:modified>
</cp:coreProperties>
</file>