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E13CF" w:rsidRPr="009E3226" w:rsidRDefault="003E13CF" w:rsidP="003E13CF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S1.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Effect of genotype, soil and plant compartment on community composition of strawberry microbiome based on relative abundance data and Bray-Curtis distance measure. Nd = not determined; Significant</w:t>
      </w:r>
      <w:r w:rsidRPr="009E3226">
        <w:rPr>
          <w:rFonts w:ascii="Times New Roman" w:eastAsia="Times New Roman" w:hAnsi="Times New Roman" w:cs="Times New Roman"/>
          <w:bCs/>
          <w:i/>
          <w:iCs/>
          <w:color w:val="000000" w:themeColor="text1"/>
          <w:lang w:val="en-GB" w:eastAsia="de-DE"/>
        </w:rPr>
        <w:t xml:space="preserve"> P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 xml:space="preserve"> values are highlighted in bold. </w:t>
      </w:r>
    </w:p>
    <w:tbl>
      <w:tblPr>
        <w:tblW w:w="8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2"/>
        <w:gridCol w:w="931"/>
        <w:gridCol w:w="1962"/>
        <w:gridCol w:w="1820"/>
        <w:gridCol w:w="1330"/>
      </w:tblGrid>
      <w:tr w:rsidR="003E13CF" w:rsidRPr="009E3226" w:rsidTr="0071670C">
        <w:trPr>
          <w:trHeight w:val="288"/>
          <w:jc w:val="center"/>
        </w:trPr>
        <w:tc>
          <w:tcPr>
            <w:tcW w:w="2772" w:type="dxa"/>
            <w:vMerge w:val="restart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Microorganisms/Factors</w:t>
            </w:r>
          </w:p>
        </w:tc>
        <w:tc>
          <w:tcPr>
            <w:tcW w:w="2893" w:type="dxa"/>
            <w:gridSpan w:val="2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Community composition</w:t>
            </w:r>
          </w:p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(Two-way ANOSIM)</w:t>
            </w:r>
          </w:p>
        </w:tc>
        <w:tc>
          <w:tcPr>
            <w:tcW w:w="3150" w:type="dxa"/>
            <w:gridSpan w:val="2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Community composition </w:t>
            </w:r>
          </w:p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(Two-way PERMANOVA)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vMerge/>
            <w:vAlign w:val="center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  <w:t>R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  <w:t>P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Pseudo</w:t>
            </w:r>
            <w:r w:rsidRPr="009E322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  <w:t>F</w:t>
            </w:r>
            <w:proofErr w:type="spellEnd"/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lang w:val="en-US"/>
              </w:rPr>
              <w:t>P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Total bacteria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0.3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3.19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0.003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0.54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10.43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x 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1.97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0.005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3703" w:type="dxa"/>
            <w:gridSpan w:val="2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Potential beneficial bacteria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0.30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2.05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0.48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5.69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x 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1.47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0.002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Fungi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0.45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4.14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0.65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7.77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x 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1.92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0.002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3703" w:type="dxa"/>
            <w:gridSpan w:val="2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Potential beneficial fungi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0.2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2.4926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0.53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9.8272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x 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1.8785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0.005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Plant pathogenic fungi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0.36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3.6854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0.45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5.2552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  <w:tr w:rsidR="003E13CF" w:rsidRPr="009E3226" w:rsidTr="0071670C">
        <w:trPr>
          <w:trHeight w:val="288"/>
          <w:jc w:val="center"/>
        </w:trPr>
        <w:tc>
          <w:tcPr>
            <w:tcW w:w="277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Genotype x compartment </w:t>
            </w:r>
          </w:p>
        </w:tc>
        <w:tc>
          <w:tcPr>
            <w:tcW w:w="931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1.9834</w:t>
            </w:r>
          </w:p>
        </w:tc>
        <w:tc>
          <w:tcPr>
            <w:tcW w:w="1330" w:type="dxa"/>
            <w:shd w:val="clear" w:color="auto" w:fill="auto"/>
            <w:noWrap/>
            <w:vAlign w:val="bottom"/>
            <w:hideMark/>
          </w:tcPr>
          <w:p w:rsidR="003E13CF" w:rsidRPr="009E3226" w:rsidRDefault="003E13CF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0.001</w:t>
            </w:r>
          </w:p>
        </w:tc>
      </w:tr>
    </w:tbl>
    <w:p w:rsidR="003E13CF" w:rsidRPr="009E3226" w:rsidRDefault="003E13CF" w:rsidP="003E13CF">
      <w:pPr>
        <w:rPr>
          <w:rFonts w:ascii="Times New Roman" w:eastAsia="Times New Roman" w:hAnsi="Times New Roman" w:cs="Times New Roman"/>
          <w:color w:val="000000" w:themeColor="text1"/>
          <w:lang w:val="en-GB" w:eastAsia="de-DE"/>
        </w:rPr>
      </w:pPr>
    </w:p>
    <w:p w:rsidR="003E13CF" w:rsidRDefault="003E13CF" w:rsidP="003E13CF"/>
    <w:sectPr w:rsidR="003E13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CF"/>
    <w:rsid w:val="003E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B53522"/>
  <w15:chartTrackingRefBased/>
  <w15:docId w15:val="{ED8EA37F-DA2F-5B4D-BFDF-159ED3A7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13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13CF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13C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914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2020-11-04T14:27:00Z</dcterms:created>
  <dcterms:modified xsi:type="dcterms:W3CDTF">2020-11-04T14:39:00Z</dcterms:modified>
</cp:coreProperties>
</file>