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FACC4">
      <w:pPr>
        <w:keepNext/>
        <w:keepLines/>
        <w:widowControl/>
        <w:spacing w:before="60" w:after="60" w:line="480" w:lineRule="auto"/>
        <w:outlineLvl w:val="0"/>
        <w:rPr>
          <w:rFonts w:ascii="Times New Roman" w:hAnsi="Times New Roman" w:eastAsia="等线" w:cs="Times New Roman"/>
          <w:b/>
          <w:bCs/>
          <w:kern w:val="44"/>
          <w:sz w:val="32"/>
          <w:szCs w:val="32"/>
        </w:rPr>
      </w:pPr>
      <w:bookmarkStart w:id="0" w:name="_Ref193116058"/>
      <w:bookmarkEnd w:id="0"/>
      <w:bookmarkStart w:id="1" w:name="_Hlk177942804"/>
      <w:bookmarkEnd w:id="1"/>
      <w:r>
        <w:rPr>
          <w:rFonts w:ascii="Times New Roman" w:hAnsi="Times New Roman" w:eastAsia="等线" w:cs="Times New Roman"/>
          <w:b/>
          <w:bCs/>
          <w:kern w:val="44"/>
          <w:sz w:val="32"/>
          <w:szCs w:val="32"/>
        </w:rPr>
        <w:t>Global non-cropland soil organic carbon loss risk under multi-level warming scenarios</w:t>
      </w:r>
    </w:p>
    <w:p w14:paraId="5C706CEB">
      <w:pPr>
        <w:spacing w:line="360" w:lineRule="auto"/>
        <w:rPr>
          <w:rFonts w:ascii="Times New Roman" w:hAnsi="Times New Roman" w:eastAsia="等线" w:cs="Times New Roman"/>
          <w:b/>
          <w:bCs/>
          <w:kern w:val="0"/>
          <w:sz w:val="24"/>
          <w:szCs w:val="24"/>
          <w:vertAlign w:val="superscript"/>
          <w14:ligatures w14:val="none"/>
        </w:rPr>
      </w:pPr>
      <w:r>
        <w:rPr>
          <w:rFonts w:ascii="Times New Roman" w:hAnsi="Times New Roman" w:eastAsia="等线" w:cs="Times New Roman"/>
          <w:b/>
          <w:bCs/>
          <w:kern w:val="0"/>
          <w:sz w:val="24"/>
          <w:szCs w:val="24"/>
          <w14:ligatures w14:val="none"/>
        </w:rPr>
        <w:t>Keqiang Wang</w:t>
      </w:r>
      <w:r>
        <w:rPr>
          <w:rFonts w:ascii="Times New Roman" w:hAnsi="Times New Roman" w:eastAsia="等线" w:cs="Times New Roman"/>
          <w:b/>
          <w:bCs/>
          <w:kern w:val="0"/>
          <w:sz w:val="24"/>
          <w:szCs w:val="24"/>
          <w:vertAlign w:val="superscript"/>
          <w14:ligatures w14:val="none"/>
        </w:rPr>
        <w:t>a</w:t>
      </w:r>
      <w:r>
        <w:rPr>
          <w:rFonts w:hint="eastAsia" w:ascii="Times New Roman" w:hAnsi="Times New Roman" w:eastAsia="等线" w:cs="Times New Roman"/>
          <w:b/>
          <w:bCs/>
          <w:kern w:val="0"/>
          <w:sz w:val="24"/>
          <w:szCs w:val="24"/>
          <w:vertAlign w:val="superscript"/>
          <w:lang w:val="en-US" w:eastAsia="zh-CN"/>
          <w14:ligatures w14:val="none"/>
        </w:rPr>
        <w:t>,b</w:t>
      </w:r>
      <w:r>
        <w:rPr>
          <w:rFonts w:ascii="Times New Roman" w:hAnsi="Times New Roman" w:eastAsia="等线" w:cs="Times New Roman"/>
          <w:b/>
          <w:bCs/>
          <w:kern w:val="0"/>
          <w:sz w:val="24"/>
          <w:szCs w:val="24"/>
          <w14:ligatures w14:val="none"/>
        </w:rPr>
        <w:t>, Zipeng Zhang</w:t>
      </w:r>
      <w:r>
        <w:rPr>
          <w:rFonts w:ascii="Times New Roman" w:hAnsi="Times New Roman" w:eastAsia="等线" w:cs="Times New Roman"/>
          <w:b/>
          <w:bCs/>
          <w:kern w:val="0"/>
          <w:sz w:val="24"/>
          <w:szCs w:val="24"/>
          <w:vertAlign w:val="superscript"/>
          <w14:ligatures w14:val="none"/>
        </w:rPr>
        <w:t xml:space="preserve">a </w:t>
      </w:r>
      <w:r>
        <w:rPr>
          <w:rFonts w:ascii="Wingdings" w:hAnsi="Wingdings" w:eastAsia="等线" w:cs="Times New Roman"/>
          <w:b/>
          <w:bCs/>
          <w:kern w:val="0"/>
          <w:sz w:val="24"/>
          <w:szCs w:val="24"/>
          <w:vertAlign w:val="superscript"/>
          <w14:ligatures w14:val="none"/>
        </w:rPr>
        <w:sym w:font="Wingdings" w:char="F02A"/>
      </w:r>
      <w:r>
        <w:rPr>
          <w:rFonts w:ascii="Times New Roman" w:hAnsi="Times New Roman" w:eastAsia="等线" w:cs="Times New Roman"/>
          <w:b/>
          <w:bCs/>
          <w:kern w:val="0"/>
          <w:sz w:val="24"/>
          <w:szCs w:val="24"/>
          <w14:ligatures w14:val="none"/>
        </w:rPr>
        <w:t>, Xiangyu Ge</w:t>
      </w:r>
      <w:r>
        <w:rPr>
          <w:rFonts w:ascii="Times New Roman" w:hAnsi="Times New Roman" w:eastAsia="等线" w:cs="Times New Roman"/>
          <w:b/>
          <w:bCs/>
          <w:kern w:val="0"/>
          <w:sz w:val="24"/>
          <w:szCs w:val="24"/>
          <w:vertAlign w:val="superscript"/>
          <w14:ligatures w14:val="none"/>
        </w:rPr>
        <w:t>a</w:t>
      </w:r>
      <w:r>
        <w:rPr>
          <w:rFonts w:ascii="Times New Roman" w:hAnsi="Times New Roman" w:eastAsia="等线" w:cs="Times New Roman"/>
          <w:b/>
          <w:bCs/>
          <w:kern w:val="0"/>
          <w:sz w:val="24"/>
          <w:szCs w:val="24"/>
          <w14:ligatures w14:val="none"/>
        </w:rPr>
        <w:t>,</w:t>
      </w:r>
      <w:r>
        <w:rPr>
          <w:rFonts w:hint="eastAsia" w:ascii="Times New Roman" w:hAnsi="Times New Roman" w:eastAsia="等线" w:cs="Times New Roman"/>
          <w:b/>
          <w:bCs/>
          <w:kern w:val="0"/>
          <w:sz w:val="24"/>
          <w:szCs w:val="24"/>
          <w14:ligatures w14:val="none"/>
        </w:rPr>
        <w:t xml:space="preserve"> Lijing Han</w:t>
      </w:r>
      <w:r>
        <w:rPr>
          <w:rFonts w:hint="eastAsia" w:ascii="Times New Roman" w:hAnsi="Times New Roman" w:eastAsia="等线" w:cs="Times New Roman"/>
          <w:b/>
          <w:bCs/>
          <w:kern w:val="0"/>
          <w:sz w:val="24"/>
          <w:szCs w:val="24"/>
          <w:vertAlign w:val="superscript"/>
          <w:lang w:val="en-US" w:eastAsia="zh-CN"/>
          <w14:ligatures w14:val="none"/>
        </w:rPr>
        <w:t>c</w:t>
      </w:r>
      <w:r>
        <w:rPr>
          <w:rFonts w:hint="eastAsia" w:ascii="Times New Roman" w:hAnsi="Times New Roman" w:eastAsia="等线" w:cs="Times New Roman"/>
          <w:b/>
          <w:bCs/>
          <w:kern w:val="0"/>
          <w:sz w:val="24"/>
          <w:szCs w:val="24"/>
          <w14:ligatures w14:val="none"/>
        </w:rPr>
        <w:t xml:space="preserve">, </w:t>
      </w:r>
      <w:r>
        <w:rPr>
          <w:rFonts w:ascii="Times New Roman" w:hAnsi="Times New Roman" w:eastAsia="等线" w:cs="Times New Roman"/>
          <w:b/>
          <w:bCs/>
          <w:kern w:val="0"/>
          <w:sz w:val="24"/>
          <w:szCs w:val="24"/>
          <w14:ligatures w14:val="none"/>
        </w:rPr>
        <w:t>Jingzhe Wang</w:t>
      </w:r>
      <w:r>
        <w:rPr>
          <w:rFonts w:hint="eastAsia" w:ascii="Times New Roman" w:hAnsi="Times New Roman" w:eastAsia="等线" w:cs="Times New Roman"/>
          <w:b/>
          <w:bCs/>
          <w:kern w:val="0"/>
          <w:sz w:val="24"/>
          <w:szCs w:val="24"/>
          <w:vertAlign w:val="superscript"/>
          <w:lang w:val="en-US" w:eastAsia="zh-CN"/>
          <w14:ligatures w14:val="none"/>
        </w:rPr>
        <w:t>d</w:t>
      </w:r>
      <w:r>
        <w:rPr>
          <w:rFonts w:ascii="Times New Roman" w:hAnsi="Times New Roman" w:eastAsia="等线" w:cs="Times New Roman"/>
          <w:b/>
          <w:bCs/>
          <w:kern w:val="0"/>
          <w:sz w:val="24"/>
          <w:szCs w:val="24"/>
          <w14:ligatures w14:val="none"/>
        </w:rPr>
        <w:t>,</w:t>
      </w:r>
      <w:r>
        <w:rPr>
          <w:rFonts w:hint="eastAsia" w:ascii="Times New Roman" w:hAnsi="Times New Roman" w:eastAsia="等线" w:cs="Times New Roman"/>
          <w:b/>
          <w:bCs/>
          <w:kern w:val="0"/>
          <w:sz w:val="24"/>
          <w:szCs w:val="24"/>
          <w14:ligatures w14:val="none"/>
        </w:rPr>
        <w:t xml:space="preserve"> </w:t>
      </w:r>
      <w:r>
        <w:rPr>
          <w:rFonts w:ascii="Times New Roman" w:hAnsi="Times New Roman" w:eastAsia="等线" w:cs="Times New Roman"/>
          <w:b/>
          <w:bCs/>
          <w:kern w:val="0"/>
          <w:sz w:val="24"/>
          <w:szCs w:val="24"/>
          <w14:ligatures w14:val="none"/>
        </w:rPr>
        <w:t>Jianli Ding</w:t>
      </w:r>
      <w:r>
        <w:rPr>
          <w:rFonts w:hint="eastAsia" w:ascii="Times New Roman" w:hAnsi="Times New Roman" w:eastAsia="等线" w:cs="Times New Roman"/>
          <w:b/>
          <w:bCs/>
          <w:kern w:val="0"/>
          <w:sz w:val="24"/>
          <w:szCs w:val="24"/>
          <w:vertAlign w:val="superscript"/>
          <w:lang w:val="en-US" w:eastAsia="zh-CN"/>
          <w14:ligatures w14:val="none"/>
        </w:rPr>
        <w:t>e</w:t>
      </w:r>
      <w:r>
        <w:rPr>
          <w:rFonts w:ascii="Times New Roman" w:hAnsi="Times New Roman" w:eastAsia="等线" w:cs="Times New Roman"/>
          <w:b/>
          <w:bCs/>
          <w:kern w:val="0"/>
          <w:sz w:val="24"/>
          <w:szCs w:val="24"/>
          <w:vertAlign w:val="superscript"/>
          <w14:ligatures w14:val="none"/>
        </w:rPr>
        <w:t>,</w:t>
      </w:r>
      <w:r>
        <w:rPr>
          <w:rFonts w:hint="eastAsia" w:ascii="Times New Roman" w:hAnsi="Times New Roman" w:eastAsia="等线" w:cs="Times New Roman"/>
          <w:b/>
          <w:bCs/>
          <w:kern w:val="0"/>
          <w:sz w:val="24"/>
          <w:szCs w:val="24"/>
          <w:vertAlign w:val="superscript"/>
          <w:lang w:val="en-US" w:eastAsia="zh-CN"/>
          <w14:ligatures w14:val="none"/>
        </w:rPr>
        <w:t>f</w:t>
      </w:r>
      <w:r>
        <w:rPr>
          <w:rFonts w:ascii="Times New Roman" w:hAnsi="Times New Roman" w:eastAsia="等线" w:cs="Times New Roman"/>
          <w:b/>
          <w:bCs/>
          <w:kern w:val="0"/>
          <w:sz w:val="24"/>
          <w:szCs w:val="24"/>
          <w14:ligatures w14:val="none"/>
        </w:rPr>
        <w:t>,</w:t>
      </w:r>
      <w:r>
        <w:rPr>
          <w:rFonts w:hint="eastAsia" w:ascii="Times New Roman" w:hAnsi="Times New Roman" w:eastAsia="等线" w:cs="Times New Roman"/>
          <w:b/>
          <w:bCs/>
          <w:kern w:val="0"/>
          <w:sz w:val="24"/>
          <w:szCs w:val="24"/>
          <w14:ligatures w14:val="none"/>
        </w:rPr>
        <w:t xml:space="preserve"> Lei Zhang</w:t>
      </w:r>
      <w:r>
        <w:rPr>
          <w:rFonts w:hint="eastAsia" w:ascii="Times New Roman" w:hAnsi="Times New Roman" w:eastAsia="等线" w:cs="Times New Roman"/>
          <w:b/>
          <w:bCs/>
          <w:kern w:val="0"/>
          <w:sz w:val="24"/>
          <w:szCs w:val="24"/>
          <w:vertAlign w:val="superscript"/>
          <w:lang w:val="en-US" w:eastAsia="zh-CN"/>
          <w14:ligatures w14:val="none"/>
        </w:rPr>
        <w:t>g</w:t>
      </w:r>
      <w:r>
        <w:rPr>
          <w:rFonts w:ascii="Times New Roman" w:hAnsi="Times New Roman" w:eastAsia="等线" w:cs="Times New Roman"/>
          <w:b/>
          <w:bCs/>
          <w:kern w:val="0"/>
          <w:sz w:val="24"/>
          <w:szCs w:val="24"/>
          <w:vertAlign w:val="superscript"/>
          <w14:ligatures w14:val="none"/>
        </w:rPr>
        <w:t xml:space="preserve"> </w:t>
      </w:r>
      <w:r>
        <w:rPr>
          <w:rFonts w:ascii="Wingdings" w:hAnsi="Wingdings" w:eastAsia="等线" w:cs="Times New Roman"/>
          <w:b/>
          <w:bCs/>
          <w:kern w:val="0"/>
          <w:sz w:val="24"/>
          <w:szCs w:val="24"/>
          <w:vertAlign w:val="superscript"/>
          <w14:ligatures w14:val="none"/>
        </w:rPr>
        <w:sym w:font="Wingdings" w:char="F02A"/>
      </w:r>
    </w:p>
    <w:p w14:paraId="600F50F4">
      <w:pPr>
        <w:spacing w:line="480" w:lineRule="auto"/>
        <w:rPr>
          <w:rFonts w:ascii="Times New Roman" w:hAnsi="Times New Roman" w:eastAsia="等线" w:cs="Times New Roman"/>
          <w:i/>
          <w:iCs/>
          <w:kern w:val="0"/>
          <w:sz w:val="24"/>
          <w:szCs w:val="24"/>
          <w14:ligatures w14:val="none"/>
        </w:rPr>
      </w:pPr>
      <w:bookmarkStart w:id="2" w:name="_GoBack"/>
      <w:bookmarkEnd w:id="2"/>
      <w:r>
        <w:rPr>
          <w:rFonts w:ascii="Times New Roman" w:hAnsi="Times New Roman" w:eastAsia="等线" w:cs="Times New Roman"/>
          <w:b/>
          <w:bCs/>
          <w:i/>
          <w:iCs/>
          <w:kern w:val="0"/>
          <w:sz w:val="24"/>
          <w:szCs w:val="24"/>
          <w:vertAlign w:val="superscript"/>
          <w14:ligatures w14:val="none"/>
        </w:rPr>
        <w:t>a</w:t>
      </w:r>
      <w:r>
        <w:rPr>
          <w:rFonts w:ascii="Times New Roman" w:hAnsi="Times New Roman" w:eastAsia="等线" w:cs="Times New Roman"/>
          <w:i/>
          <w:iCs/>
          <w:kern w:val="0"/>
          <w:sz w:val="24"/>
          <w:szCs w:val="24"/>
          <w14:ligatures w14:val="none"/>
        </w:rPr>
        <w:t xml:space="preserve"> College of Geographical and Remote Sciences, Xinjiang University, Urumqi, 830017, China</w:t>
      </w:r>
    </w:p>
    <w:p w14:paraId="4E7C2D4F">
      <w:pPr>
        <w:spacing w:line="480" w:lineRule="auto"/>
        <w:rPr>
          <w:rFonts w:ascii="Times New Roman" w:hAnsi="Times New Roman" w:eastAsia="等线" w:cs="Times New Roman"/>
          <w:i/>
          <w:iCs/>
          <w:kern w:val="0"/>
          <w:sz w:val="24"/>
          <w:szCs w:val="24"/>
          <w14:ligatures w14:val="none"/>
        </w:rPr>
      </w:pPr>
      <w:r>
        <w:rPr>
          <w:rFonts w:hint="eastAsia" w:ascii="Times New Roman" w:hAnsi="Times New Roman" w:eastAsia="等线" w:cs="Times New Roman"/>
          <w:i/>
          <w:iCs/>
          <w:kern w:val="0"/>
          <w:sz w:val="24"/>
          <w:szCs w:val="24"/>
          <w:vertAlign w:val="superscript"/>
          <w:lang w:val="en-US" w:eastAsia="zh-CN"/>
          <w14:ligatures w14:val="none"/>
        </w:rPr>
        <w:t>b</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14:ligatures w14:val="none"/>
        </w:rPr>
        <w:t>College</w:t>
      </w:r>
      <w:r>
        <w:rPr>
          <w:rFonts w:ascii="Times New Roman" w:hAnsi="Times New Roman" w:eastAsia="等线" w:cs="Times New Roman"/>
          <w:i/>
          <w:iCs/>
          <w:kern w:val="0"/>
          <w:sz w:val="24"/>
          <w:szCs w:val="24"/>
          <w14:ligatures w14:val="none"/>
        </w:rPr>
        <w:t xml:space="preserve"> of </w:t>
      </w:r>
      <w:r>
        <w:rPr>
          <w:rFonts w:hint="eastAsia" w:ascii="Times New Roman" w:hAnsi="Times New Roman" w:eastAsia="等线" w:cs="Times New Roman"/>
          <w:i/>
          <w:iCs/>
          <w:kern w:val="0"/>
          <w:sz w:val="24"/>
          <w:szCs w:val="24"/>
          <w:lang w:val="en-US" w:eastAsia="zh-CN"/>
          <w14:ligatures w14:val="none"/>
        </w:rPr>
        <w:t>Earth</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14:ligatures w14:val="none"/>
        </w:rPr>
        <w:t xml:space="preserve">and </w:t>
      </w:r>
      <w:r>
        <w:rPr>
          <w:rFonts w:hint="eastAsia" w:ascii="Times New Roman" w:hAnsi="Times New Roman" w:eastAsia="等线" w:cs="Times New Roman"/>
          <w:i/>
          <w:iCs/>
          <w:kern w:val="0"/>
          <w:sz w:val="24"/>
          <w:szCs w:val="24"/>
          <w:lang w:val="en-US" w:eastAsia="zh-CN"/>
          <w14:ligatures w14:val="none"/>
        </w:rPr>
        <w:t>Environmental Sciences</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lang w:val="en-US" w:eastAsia="zh-CN"/>
          <w14:ligatures w14:val="none"/>
        </w:rPr>
        <w:t>Lanzhou</w:t>
      </w:r>
      <w:r>
        <w:rPr>
          <w:rFonts w:ascii="Times New Roman" w:hAnsi="Times New Roman" w:eastAsia="等线" w:cs="Times New Roman"/>
          <w:i/>
          <w:iCs/>
          <w:kern w:val="0"/>
          <w:sz w:val="24"/>
          <w:szCs w:val="24"/>
          <w14:ligatures w14:val="none"/>
        </w:rPr>
        <w:t xml:space="preserve"> University, </w:t>
      </w:r>
      <w:r>
        <w:rPr>
          <w:rFonts w:hint="eastAsia" w:ascii="Times New Roman" w:hAnsi="Times New Roman" w:eastAsia="等线" w:cs="Times New Roman"/>
          <w:i/>
          <w:iCs/>
          <w:kern w:val="0"/>
          <w:sz w:val="24"/>
          <w:szCs w:val="24"/>
          <w:lang w:val="en-US" w:eastAsia="zh-CN"/>
          <w14:ligatures w14:val="none"/>
        </w:rPr>
        <w:t>Lanzhou</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14:ligatures w14:val="none"/>
        </w:rPr>
        <w:t>266590</w:t>
      </w:r>
      <w:r>
        <w:rPr>
          <w:rFonts w:ascii="Times New Roman" w:hAnsi="Times New Roman" w:eastAsia="等线" w:cs="Times New Roman"/>
          <w:i/>
          <w:iCs/>
          <w:kern w:val="0"/>
          <w:sz w:val="24"/>
          <w:szCs w:val="24"/>
          <w14:ligatures w14:val="none"/>
        </w:rPr>
        <w:t>, China</w:t>
      </w:r>
    </w:p>
    <w:p w14:paraId="46A19BD3">
      <w:pPr>
        <w:spacing w:line="480" w:lineRule="auto"/>
        <w:rPr>
          <w:rFonts w:ascii="Times New Roman" w:hAnsi="Times New Roman" w:eastAsia="等线" w:cs="Times New Roman"/>
          <w:i/>
          <w:iCs/>
          <w:kern w:val="0"/>
          <w:sz w:val="24"/>
          <w:szCs w:val="24"/>
          <w14:ligatures w14:val="none"/>
        </w:rPr>
      </w:pPr>
      <w:r>
        <w:rPr>
          <w:rFonts w:hint="eastAsia" w:ascii="Times New Roman" w:hAnsi="Times New Roman" w:eastAsia="等线" w:cs="Times New Roman"/>
          <w:i/>
          <w:iCs/>
          <w:kern w:val="0"/>
          <w:sz w:val="24"/>
          <w:szCs w:val="24"/>
          <w:vertAlign w:val="superscript"/>
          <w:lang w:val="en-US" w:eastAsia="zh-CN"/>
          <w14:ligatures w14:val="none"/>
        </w:rPr>
        <w:t>c</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14:ligatures w14:val="none"/>
        </w:rPr>
        <w:t>College</w:t>
      </w:r>
      <w:r>
        <w:rPr>
          <w:rFonts w:ascii="Times New Roman" w:hAnsi="Times New Roman" w:eastAsia="等线" w:cs="Times New Roman"/>
          <w:i/>
          <w:iCs/>
          <w:kern w:val="0"/>
          <w:sz w:val="24"/>
          <w:szCs w:val="24"/>
          <w14:ligatures w14:val="none"/>
        </w:rPr>
        <w:t xml:space="preserve"> of Geo</w:t>
      </w:r>
      <w:r>
        <w:rPr>
          <w:rFonts w:hint="eastAsia" w:ascii="Times New Roman" w:hAnsi="Times New Roman" w:eastAsia="等线" w:cs="Times New Roman"/>
          <w:i/>
          <w:iCs/>
          <w:kern w:val="0"/>
          <w:sz w:val="24"/>
          <w:szCs w:val="24"/>
          <w14:ligatures w14:val="none"/>
        </w:rPr>
        <w:t>desy</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14:ligatures w14:val="none"/>
        </w:rPr>
        <w:t>and Geomatics</w:t>
      </w:r>
      <w:r>
        <w:rPr>
          <w:rFonts w:ascii="Times New Roman" w:hAnsi="Times New Roman" w:eastAsia="等线" w:cs="Times New Roman"/>
          <w:i/>
          <w:iCs/>
          <w:kern w:val="0"/>
          <w:sz w:val="24"/>
          <w:szCs w:val="24"/>
          <w14:ligatures w14:val="none"/>
        </w:rPr>
        <w:t>, Sh</w:t>
      </w:r>
      <w:r>
        <w:rPr>
          <w:rFonts w:hint="eastAsia" w:ascii="Times New Roman" w:hAnsi="Times New Roman" w:eastAsia="等线" w:cs="Times New Roman"/>
          <w:i/>
          <w:iCs/>
          <w:kern w:val="0"/>
          <w:sz w:val="24"/>
          <w:szCs w:val="24"/>
          <w14:ligatures w14:val="none"/>
        </w:rPr>
        <w:t>andong</w:t>
      </w:r>
      <w:r>
        <w:rPr>
          <w:rFonts w:ascii="Times New Roman" w:hAnsi="Times New Roman" w:eastAsia="等线" w:cs="Times New Roman"/>
          <w:i/>
          <w:iCs/>
          <w:kern w:val="0"/>
          <w:sz w:val="24"/>
          <w:szCs w:val="24"/>
          <w14:ligatures w14:val="none"/>
        </w:rPr>
        <w:t xml:space="preserve"> University</w:t>
      </w:r>
      <w:r>
        <w:rPr>
          <w:rFonts w:hint="eastAsia" w:ascii="Times New Roman" w:hAnsi="Times New Roman" w:eastAsia="等线" w:cs="Times New Roman"/>
          <w:i/>
          <w:iCs/>
          <w:kern w:val="0"/>
          <w:sz w:val="24"/>
          <w:szCs w:val="24"/>
          <w14:ligatures w14:val="none"/>
        </w:rPr>
        <w:t xml:space="preserve"> of Science and Technology</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14:ligatures w14:val="none"/>
        </w:rPr>
        <w:t>Qingdao</w:t>
      </w:r>
      <w:r>
        <w:rPr>
          <w:rFonts w:ascii="Times New Roman" w:hAnsi="Times New Roman" w:eastAsia="等线" w:cs="Times New Roman"/>
          <w:i/>
          <w:iCs/>
          <w:kern w:val="0"/>
          <w:sz w:val="24"/>
          <w:szCs w:val="24"/>
          <w14:ligatures w14:val="none"/>
        </w:rPr>
        <w:t xml:space="preserve">, </w:t>
      </w:r>
      <w:r>
        <w:rPr>
          <w:rFonts w:hint="eastAsia" w:ascii="Times New Roman" w:hAnsi="Times New Roman" w:eastAsia="等线" w:cs="Times New Roman"/>
          <w:i/>
          <w:iCs/>
          <w:kern w:val="0"/>
          <w:sz w:val="24"/>
          <w:szCs w:val="24"/>
          <w14:ligatures w14:val="none"/>
        </w:rPr>
        <w:t>266590</w:t>
      </w:r>
      <w:r>
        <w:rPr>
          <w:rFonts w:ascii="Times New Roman" w:hAnsi="Times New Roman" w:eastAsia="等线" w:cs="Times New Roman"/>
          <w:i/>
          <w:iCs/>
          <w:kern w:val="0"/>
          <w:sz w:val="24"/>
          <w:szCs w:val="24"/>
          <w14:ligatures w14:val="none"/>
        </w:rPr>
        <w:t>, China</w:t>
      </w:r>
    </w:p>
    <w:p w14:paraId="40E3B8CE">
      <w:pPr>
        <w:spacing w:line="480" w:lineRule="auto"/>
        <w:rPr>
          <w:rFonts w:ascii="Times New Roman" w:hAnsi="Times New Roman" w:eastAsia="等线" w:cs="Times New Roman"/>
          <w:i/>
          <w:iCs/>
          <w:kern w:val="0"/>
          <w:sz w:val="24"/>
          <w:szCs w:val="24"/>
          <w14:ligatures w14:val="none"/>
        </w:rPr>
      </w:pPr>
      <w:r>
        <w:rPr>
          <w:rFonts w:hint="eastAsia" w:ascii="Times New Roman" w:hAnsi="Times New Roman" w:eastAsia="等线" w:cs="Times New Roman"/>
          <w:i/>
          <w:iCs/>
          <w:kern w:val="0"/>
          <w:sz w:val="24"/>
          <w:szCs w:val="24"/>
          <w:vertAlign w:val="superscript"/>
          <w:lang w:val="en-US" w:eastAsia="zh-CN"/>
          <w14:ligatures w14:val="none"/>
        </w:rPr>
        <w:t>d</w:t>
      </w:r>
      <w:r>
        <w:rPr>
          <w:rFonts w:ascii="Times New Roman" w:hAnsi="Times New Roman" w:eastAsia="等线" w:cs="Times New Roman"/>
          <w:i/>
          <w:iCs/>
          <w:kern w:val="0"/>
          <w:sz w:val="24"/>
          <w:szCs w:val="24"/>
          <w14:ligatures w14:val="none"/>
        </w:rPr>
        <w:t xml:space="preserve"> School of Artificial Intelligence, Shenzhen Polytechnic University, Shenzhen, 518055, China</w:t>
      </w:r>
    </w:p>
    <w:p w14:paraId="7B3597CA">
      <w:pPr>
        <w:spacing w:line="480" w:lineRule="auto"/>
        <w:rPr>
          <w:rFonts w:ascii="Times New Roman" w:hAnsi="Times New Roman" w:eastAsia="等线" w:cs="Times New Roman"/>
          <w:i/>
          <w:iCs/>
          <w:kern w:val="0"/>
          <w:sz w:val="24"/>
          <w:szCs w:val="24"/>
          <w14:ligatures w14:val="none"/>
        </w:rPr>
      </w:pPr>
      <w:r>
        <w:rPr>
          <w:rFonts w:hint="eastAsia" w:ascii="Times New Roman" w:hAnsi="Times New Roman" w:eastAsia="等线" w:cs="Times New Roman"/>
          <w:i/>
          <w:iCs/>
          <w:kern w:val="0"/>
          <w:sz w:val="24"/>
          <w:szCs w:val="24"/>
          <w:vertAlign w:val="superscript"/>
          <w:lang w:val="en-US" w:eastAsia="zh-CN"/>
          <w14:ligatures w14:val="none"/>
        </w:rPr>
        <w:t>e</w:t>
      </w:r>
      <w:r>
        <w:rPr>
          <w:rFonts w:ascii="Times New Roman" w:hAnsi="Times New Roman" w:eastAsia="等线" w:cs="Times New Roman"/>
          <w:i/>
          <w:iCs/>
          <w:kern w:val="0"/>
          <w:sz w:val="24"/>
          <w:szCs w:val="24"/>
          <w14:ligatures w14:val="none"/>
        </w:rPr>
        <w:t xml:space="preserve"> Xinjiang Institute of Technology, Aksu, 843099, China</w:t>
      </w:r>
    </w:p>
    <w:p w14:paraId="520D223C">
      <w:pPr>
        <w:spacing w:line="480" w:lineRule="auto"/>
        <w:rPr>
          <w:rFonts w:ascii="Times New Roman" w:hAnsi="Times New Roman" w:eastAsia="等线" w:cs="Times New Roman"/>
          <w:i/>
          <w:iCs/>
          <w:kern w:val="0"/>
          <w:sz w:val="24"/>
          <w:szCs w:val="24"/>
          <w14:ligatures w14:val="none"/>
        </w:rPr>
      </w:pPr>
      <w:r>
        <w:rPr>
          <w:rFonts w:hint="eastAsia" w:ascii="Times New Roman" w:hAnsi="Times New Roman" w:eastAsia="等线" w:cs="Times New Roman"/>
          <w:i/>
          <w:iCs/>
          <w:kern w:val="0"/>
          <w:sz w:val="24"/>
          <w:szCs w:val="24"/>
          <w:vertAlign w:val="superscript"/>
          <w:lang w:val="en-US" w:eastAsia="zh-CN"/>
          <w14:ligatures w14:val="none"/>
        </w:rPr>
        <w:t>f</w:t>
      </w:r>
      <w:r>
        <w:rPr>
          <w:rFonts w:hint="eastAsia" w:ascii="Times New Roman" w:hAnsi="Times New Roman" w:eastAsia="等线" w:cs="Times New Roman"/>
          <w:i/>
          <w:iCs/>
          <w:kern w:val="0"/>
          <w:sz w:val="24"/>
          <w:szCs w:val="24"/>
          <w:vertAlign w:val="superscript"/>
          <w14:ligatures w14:val="none"/>
        </w:rPr>
        <w:t xml:space="preserve"> </w:t>
      </w:r>
      <w:r>
        <w:rPr>
          <w:rFonts w:ascii="Times New Roman" w:hAnsi="Times New Roman" w:eastAsia="等线" w:cs="Times New Roman"/>
          <w:i/>
          <w:iCs/>
          <w:kern w:val="0"/>
          <w:sz w:val="24"/>
          <w:szCs w:val="24"/>
          <w14:ligatures w14:val="none"/>
        </w:rPr>
        <w:t>Institute for Beautiful China, Xinjiang University, Urumqi, 830017, China</w:t>
      </w:r>
    </w:p>
    <w:p w14:paraId="5CE72964">
      <w:pPr>
        <w:spacing w:line="480" w:lineRule="auto"/>
        <w:rPr>
          <w:rFonts w:ascii="Times New Roman" w:hAnsi="Times New Roman" w:eastAsia="等线" w:cs="Times New Roman"/>
          <w:i/>
          <w:iCs/>
          <w:kern w:val="0"/>
          <w:sz w:val="24"/>
          <w:szCs w:val="24"/>
          <w14:ligatures w14:val="none"/>
        </w:rPr>
      </w:pPr>
      <w:r>
        <w:rPr>
          <w:rFonts w:hint="eastAsia" w:ascii="Times New Roman" w:hAnsi="Times New Roman" w:eastAsia="等线" w:cs="Times New Roman"/>
          <w:i/>
          <w:iCs/>
          <w:kern w:val="0"/>
          <w:sz w:val="24"/>
          <w:szCs w:val="24"/>
          <w:vertAlign w:val="superscript"/>
          <w:lang w:val="en-US" w:eastAsia="zh-CN"/>
          <w14:ligatures w14:val="none"/>
        </w:rPr>
        <w:t>g</w:t>
      </w:r>
      <w:r>
        <w:rPr>
          <w:rFonts w:hint="eastAsia" w:ascii="Times New Roman" w:hAnsi="Times New Roman" w:eastAsia="等线" w:cs="Times New Roman"/>
          <w:i/>
          <w:iCs/>
          <w:kern w:val="0"/>
          <w:sz w:val="24"/>
          <w:szCs w:val="24"/>
          <w14:ligatures w14:val="none"/>
        </w:rPr>
        <w:t>Climate and Ecosystem Science Division, Lawrence Berkeley National Laboratory, Berkeley, CA, USA</w:t>
      </w:r>
    </w:p>
    <w:p w14:paraId="3A35266E">
      <w:pPr>
        <w:spacing w:line="480" w:lineRule="auto"/>
        <w:rPr>
          <w:rFonts w:ascii="Times New Roman" w:hAnsi="Times New Roman" w:eastAsia="等线" w:cs="Times New Roman"/>
          <w:b/>
          <w:bCs/>
          <w:i/>
          <w:iCs/>
          <w:color w:val="0563C1"/>
          <w:kern w:val="0"/>
          <w:sz w:val="24"/>
        </w:rPr>
      </w:pPr>
      <w:r>
        <w:rPr>
          <w:rFonts w:ascii="Wingdings" w:hAnsi="Wingdings" w:eastAsia="等线" w:cs="Times New Roman"/>
          <w:b/>
          <w:bCs/>
          <w:kern w:val="0"/>
          <w:sz w:val="24"/>
        </w:rPr>
        <w:t>*</w:t>
      </w:r>
      <w:r>
        <w:rPr>
          <w:rFonts w:ascii="Times New Roman" w:hAnsi="Times New Roman" w:eastAsia="等线" w:cs="Times New Roman"/>
          <w:b/>
          <w:bCs/>
          <w:kern w:val="0"/>
          <w:sz w:val="24"/>
        </w:rPr>
        <w:t xml:space="preserve"> </w:t>
      </w:r>
      <w:r>
        <w:rPr>
          <w:rFonts w:ascii="Times New Roman" w:hAnsi="Times New Roman" w:eastAsia="等线" w:cs="Times New Roman"/>
          <w:b/>
          <w:bCs/>
          <w:i/>
          <w:iCs/>
          <w:kern w:val="0"/>
          <w:sz w:val="24"/>
        </w:rPr>
        <w:t xml:space="preserve">Corresponding author: </w:t>
      </w:r>
      <w:r>
        <w:rPr>
          <w:rFonts w:ascii="Times New Roman" w:hAnsi="Times New Roman" w:eastAsia="等线" w:cs="Times New Roman"/>
          <w:i/>
          <w:iCs/>
          <w:kern w:val="0"/>
          <w:sz w:val="24"/>
        </w:rPr>
        <w:t>College of Geographical and Remote</w:t>
      </w:r>
      <w:r>
        <w:rPr>
          <w:rFonts w:ascii="Times New Roman" w:hAnsi="Times New Roman" w:eastAsia="等线" w:cs="Times New Roman"/>
          <w:kern w:val="0"/>
          <w:sz w:val="24"/>
        </w:rPr>
        <w:t xml:space="preserve"> </w:t>
      </w:r>
      <w:r>
        <w:rPr>
          <w:rFonts w:ascii="Times New Roman" w:hAnsi="Times New Roman" w:eastAsia="等线" w:cs="Times New Roman"/>
          <w:i/>
          <w:iCs/>
          <w:kern w:val="0"/>
          <w:sz w:val="24"/>
        </w:rPr>
        <w:t>Sciences, Xinjiang University, Urumqi, 830017, China;</w:t>
      </w:r>
      <w:r>
        <w:rPr>
          <w:rFonts w:ascii="Times New Roman" w:hAnsi="Times New Roman" w:eastAsia="等线" w:cs="Times New Roman"/>
          <w:b/>
          <w:bCs/>
          <w:i/>
          <w:iCs/>
          <w:kern w:val="0"/>
          <w:sz w:val="24"/>
        </w:rPr>
        <w:t xml:space="preserve"> </w:t>
      </w:r>
      <w:r>
        <w:fldChar w:fldCharType="begin"/>
      </w:r>
      <w:r>
        <w:instrText xml:space="preserve"> HYPERLINK "mailto:zp_zhang@xju.edu.cn" </w:instrText>
      </w:r>
      <w:r>
        <w:fldChar w:fldCharType="separate"/>
      </w:r>
      <w:r>
        <w:rPr>
          <w:rFonts w:ascii="Times New Roman" w:hAnsi="Times New Roman" w:eastAsia="等线" w:cs="Times New Roman"/>
          <w:b/>
          <w:bCs/>
          <w:i/>
          <w:iCs/>
          <w:color w:val="0563C1"/>
          <w:kern w:val="0"/>
          <w:sz w:val="24"/>
          <w:u w:val="single"/>
        </w:rPr>
        <w:t>zp_zhang@xju.edu.cn</w:t>
      </w:r>
      <w:r>
        <w:rPr>
          <w:rFonts w:ascii="Times New Roman" w:hAnsi="Times New Roman" w:eastAsia="等线" w:cs="Times New Roman"/>
          <w:b/>
          <w:bCs/>
          <w:i/>
          <w:iCs/>
          <w:color w:val="0563C1"/>
          <w:kern w:val="0"/>
          <w:sz w:val="24"/>
          <w:u w:val="single"/>
        </w:rPr>
        <w:fldChar w:fldCharType="end"/>
      </w:r>
    </w:p>
    <w:p w14:paraId="7782BE04">
      <w:pPr>
        <w:spacing w:line="480" w:lineRule="auto"/>
        <w:rPr>
          <w:rFonts w:hint="eastAsia" w:ascii="Times New Roman" w:hAnsi="Times New Roman" w:eastAsia="等线" w:cs="Times New Roman"/>
          <w:b/>
          <w:bCs/>
          <w:i/>
          <w:iCs/>
          <w:color w:val="4472C4"/>
          <w:kern w:val="0"/>
          <w:sz w:val="24"/>
        </w:rPr>
      </w:pPr>
      <w:r>
        <w:rPr>
          <w:rFonts w:ascii="Times New Roman" w:hAnsi="Times New Roman" w:eastAsia="等线" w:cs="Times New Roman"/>
          <w:i/>
          <w:iCs/>
          <w:kern w:val="0"/>
          <w:sz w:val="24"/>
        </w:rPr>
        <w:t xml:space="preserve">Climate and Ecosystem Science Division, Lawrence Berkeley National Laboratory, Berkeley, CA, USA; </w:t>
      </w:r>
      <w:r>
        <w:rPr>
          <w:rFonts w:ascii="Times New Roman" w:hAnsi="Times New Roman" w:eastAsia="等线" w:cs="Times New Roman"/>
          <w:b/>
          <w:bCs/>
          <w:i/>
          <w:iCs/>
          <w:color w:val="4472C4"/>
          <w:kern w:val="0"/>
          <w:sz w:val="24"/>
        </w:rPr>
        <w:t>lei.zhang@lbl.gov</w:t>
      </w:r>
    </w:p>
    <w:p w14:paraId="6DC0A340">
      <w:pPr>
        <w:keepNext/>
        <w:keepLines/>
        <w:jc w:val="left"/>
        <w:outlineLvl w:val="0"/>
        <w:rPr>
          <w:rFonts w:hint="eastAsia" w:ascii="Times New Romans" w:hAnsi="Times New Romans" w:cs="Times New Roman"/>
          <w:b/>
          <w:bCs/>
          <w:kern w:val="44"/>
          <w:sz w:val="32"/>
          <w:szCs w:val="44"/>
        </w:rPr>
      </w:pPr>
      <w:r>
        <w:rPr>
          <w:rFonts w:ascii="Times New Romans" w:hAnsi="Times New Romans" w:eastAsia="AdvGulliv-R" w:cs="Times New Roman"/>
          <w:b/>
          <w:bCs/>
          <w:kern w:val="44"/>
          <w:sz w:val="32"/>
          <w:szCs w:val="44"/>
        </w:rPr>
        <w:t>Supplementary</w:t>
      </w:r>
      <w:r>
        <w:rPr>
          <w:rFonts w:ascii="Times New Romans" w:hAnsi="Times New Romans" w:cs="Times New Roman"/>
          <w:b/>
          <w:bCs/>
          <w:kern w:val="44"/>
          <w:sz w:val="32"/>
          <w:szCs w:val="44"/>
        </w:rPr>
        <w:t xml:space="preserve"> caption:</w:t>
      </w:r>
    </w:p>
    <w:p w14:paraId="1243BB93">
      <w:pPr>
        <w:wordWrap w:val="0"/>
        <w:spacing w:before="240" w:line="360" w:lineRule="auto"/>
        <w:rPr>
          <w:rFonts w:ascii="Times New Roman" w:hAnsi="Times New Roman" w:eastAsia="宋体" w:cs="Times New Roman"/>
          <w:sz w:val="24"/>
        </w:rPr>
      </w:pPr>
      <w:r>
        <w:rPr>
          <w:rFonts w:ascii="Times New Roman" w:hAnsi="Times New Roman" w:eastAsia="宋体" w:cs="Times New Roman"/>
          <w:b/>
          <w:bCs/>
          <w:sz w:val="24"/>
        </w:rPr>
        <w:t>Fig</w:t>
      </w:r>
      <w:r>
        <w:rPr>
          <w:rFonts w:hint="eastAsia" w:ascii="Times New Roman" w:hAnsi="Times New Roman" w:eastAsia="宋体" w:cs="Times New Roman"/>
          <w:b/>
          <w:bCs/>
          <w:sz w:val="24"/>
        </w:rPr>
        <w:t>.</w:t>
      </w:r>
      <w:r>
        <w:rPr>
          <w:rFonts w:ascii="Times New Roman" w:hAnsi="Times New Roman" w:eastAsia="宋体" w:cs="Times New Roman"/>
          <w:b/>
          <w:bCs/>
          <w:sz w:val="24"/>
        </w:rPr>
        <w:t xml:space="preserve"> S1.</w:t>
      </w:r>
      <w:r>
        <w:rPr>
          <w:rFonts w:ascii="Times New Roman" w:hAnsi="Times New Roman" w:eastAsia="宋体" w:cs="Times New Roman"/>
          <w:sz w:val="24"/>
        </w:rPr>
        <w:t xml:space="preserve"> Spatial patterns of temperature changes in global terrestrial non-cropland areas at the 0–20 cm soil depth under six warming scenarios. Panels (a)–(f) correspond to the T5, T10, T15, T20, T25, and T30 scenarios, respectively.</w:t>
      </w:r>
    </w:p>
    <w:p w14:paraId="4B7FAA7A">
      <w:pPr>
        <w:wordWrap w:val="0"/>
        <w:spacing w:line="360" w:lineRule="auto"/>
        <w:rPr>
          <w:rFonts w:ascii="Times New Roman" w:hAnsi="Times New Roman" w:eastAsia="宋体" w:cs="Times New Roman"/>
          <w:sz w:val="24"/>
        </w:rPr>
      </w:pPr>
      <w:r>
        <w:rPr>
          <w:rFonts w:ascii="Times New Roman" w:hAnsi="Times New Roman" w:eastAsia="宋体" w:cs="Times New Roman"/>
          <w:b/>
          <w:bCs/>
          <w:sz w:val="24"/>
        </w:rPr>
        <w:t>Fig</w:t>
      </w:r>
      <w:r>
        <w:rPr>
          <w:rFonts w:hint="eastAsia" w:ascii="Times New Roman" w:hAnsi="Times New Roman" w:eastAsia="宋体" w:cs="Times New Roman"/>
          <w:b/>
          <w:bCs/>
          <w:sz w:val="24"/>
        </w:rPr>
        <w:t>.</w:t>
      </w:r>
      <w:r>
        <w:rPr>
          <w:rFonts w:ascii="Times New Roman" w:hAnsi="Times New Roman" w:eastAsia="宋体" w:cs="Times New Roman"/>
          <w:b/>
          <w:bCs/>
          <w:sz w:val="24"/>
        </w:rPr>
        <w:t xml:space="preserve"> S2.</w:t>
      </w:r>
      <w:r>
        <w:rPr>
          <w:rFonts w:ascii="Times New Roman" w:hAnsi="Times New Roman" w:eastAsia="宋体" w:cs="Times New Roman"/>
          <w:sz w:val="24"/>
        </w:rPr>
        <w:t xml:space="preserve"> SHAP-based interpretation of key covariate effects on ΔSOC predictions under six warming scenarios (T5–T30). Each row corresponds to one warming scenario. The left, middle, and right columns show the </w:t>
      </w:r>
      <w:r>
        <w:rPr>
          <w:rFonts w:ascii="Times New Roman" w:hAnsi="Times New Roman" w:eastAsia="宋体" w:cs="Times New Roman"/>
          <w:sz w:val="22"/>
          <w:szCs w:val="22"/>
        </w:rPr>
        <w:t>SHAP beeswarm plot</w:t>
      </w:r>
      <w:r>
        <w:rPr>
          <w:rFonts w:ascii="Times New Roman" w:hAnsi="Times New Roman" w:eastAsia="宋体" w:cs="Times New Roman"/>
          <w:sz w:val="24"/>
        </w:rPr>
        <w:t>, variable importance ranking based on mean absolute SHAP values, and partial dependence plots for the top five important variables, respectively. These plots illustrate the contribution direction and dispersion of feature values, the relative importance of covariates, and the nonlinear responses of ΔSOC along environmental gradients.</w:t>
      </w:r>
    </w:p>
    <w:p w14:paraId="7BBBED5F">
      <w:pPr>
        <w:pStyle w:val="9"/>
        <w:spacing w:before="0" w:after="0" w:line="360" w:lineRule="auto"/>
        <w:jc w:val="both"/>
        <w:rPr>
          <w:sz w:val="24"/>
          <w:szCs w:val="24"/>
        </w:rPr>
      </w:pPr>
      <w:r>
        <w:rPr>
          <w:b/>
          <w:bCs/>
          <w:sz w:val="24"/>
          <w:szCs w:val="24"/>
        </w:rPr>
        <w:t>Fig</w:t>
      </w:r>
      <w:r>
        <w:rPr>
          <w:rFonts w:hint="eastAsia"/>
          <w:b/>
          <w:bCs/>
          <w:sz w:val="24"/>
          <w:szCs w:val="24"/>
        </w:rPr>
        <w:t>.</w:t>
      </w:r>
      <w:r>
        <w:rPr>
          <w:b/>
          <w:bCs/>
          <w:sz w:val="24"/>
          <w:szCs w:val="24"/>
        </w:rPr>
        <w:t xml:space="preserve"> S3.</w:t>
      </w:r>
      <w:r>
        <w:rPr>
          <w:sz w:val="24"/>
          <w:szCs w:val="24"/>
        </w:rPr>
        <w:t xml:space="preserve"> Model accuracy scatter plot under the temperature-unchanged scenario. Accuracy metrics are shown in the lower-right corner. The black dashed line indicates the 1:1 line, and the red dashed line indicates the fitted regression line.</w:t>
      </w:r>
    </w:p>
    <w:p w14:paraId="738E5AA8">
      <w:pPr>
        <w:pStyle w:val="9"/>
        <w:spacing w:before="0" w:after="0" w:line="360" w:lineRule="auto"/>
        <w:jc w:val="both"/>
        <w:rPr>
          <w:sz w:val="24"/>
          <w:szCs w:val="24"/>
        </w:rPr>
      </w:pPr>
      <w:r>
        <w:rPr>
          <w:b/>
          <w:bCs/>
          <w:sz w:val="24"/>
          <w:szCs w:val="24"/>
        </w:rPr>
        <w:t>Fig</w:t>
      </w:r>
      <w:r>
        <w:rPr>
          <w:rFonts w:hint="eastAsia"/>
          <w:b/>
          <w:bCs/>
          <w:sz w:val="24"/>
          <w:szCs w:val="24"/>
        </w:rPr>
        <w:t>.</w:t>
      </w:r>
      <w:r>
        <w:rPr>
          <w:b/>
          <w:bCs/>
          <w:sz w:val="24"/>
          <w:szCs w:val="24"/>
        </w:rPr>
        <w:t xml:space="preserve"> S4.</w:t>
      </w:r>
      <w:r>
        <w:rPr>
          <w:sz w:val="24"/>
          <w:szCs w:val="24"/>
        </w:rPr>
        <w:t xml:space="preserve"> Spatial distribution of predicted SOC and its uncertainty under the temperature-unchanged scenario. Panel (a) shows the predicted mean SOC stock (kg C m⁻²) in global terrestrial non-cropland areas at the 0–20 cm soil depth, with the lower-left inset showing the area proportions of different SOC levels. Panel (b) shows the mean prediction uncertainty of SOC, </w:t>
      </w:r>
      <w:r>
        <w:rPr>
          <w:rFonts w:hint="eastAsia"/>
          <w:sz w:val="24"/>
          <w:szCs w:val="24"/>
        </w:rPr>
        <w:t>quantified using the prediction interval ratio derived from quantile regression forest</w:t>
      </w:r>
      <w:r>
        <w:rPr>
          <w:sz w:val="24"/>
          <w:szCs w:val="24"/>
        </w:rPr>
        <w:t>, with the lower-left inset showing the area proportions of different uncertainty levels.</w:t>
      </w:r>
    </w:p>
    <w:p w14:paraId="3738D6B1">
      <w:pPr>
        <w:pStyle w:val="9"/>
        <w:spacing w:before="0" w:after="0" w:line="360" w:lineRule="auto"/>
        <w:jc w:val="both"/>
        <w:rPr>
          <w:sz w:val="24"/>
          <w:szCs w:val="24"/>
        </w:rPr>
      </w:pPr>
      <w:r>
        <w:rPr>
          <w:b/>
          <w:bCs/>
          <w:sz w:val="24"/>
          <w:szCs w:val="24"/>
        </w:rPr>
        <w:t>Fig</w:t>
      </w:r>
      <w:r>
        <w:rPr>
          <w:rFonts w:hint="eastAsia"/>
          <w:b/>
          <w:bCs/>
          <w:sz w:val="24"/>
          <w:szCs w:val="24"/>
        </w:rPr>
        <w:t>.</w:t>
      </w:r>
      <w:r>
        <w:rPr>
          <w:b/>
          <w:bCs/>
          <w:sz w:val="24"/>
          <w:szCs w:val="24"/>
        </w:rPr>
        <w:t xml:space="preserve"> S5.</w:t>
      </w:r>
      <w:r>
        <w:rPr>
          <w:sz w:val="24"/>
          <w:szCs w:val="24"/>
        </w:rPr>
        <w:t xml:space="preserve"> SOC stock changes in global terrestrial non-cropland areas at the 0–20 cm soil depth under six warming scenarios. Bars indicate SOC stock changes under each scenario, blue numbers denote the corresponding SOC losses, and black numbers above the bars represent standard deviations.</w:t>
      </w:r>
    </w:p>
    <w:p w14:paraId="1A91214A">
      <w:pPr>
        <w:pStyle w:val="9"/>
        <w:spacing w:before="0" w:after="0" w:line="360" w:lineRule="auto"/>
        <w:jc w:val="both"/>
        <w:rPr>
          <w:sz w:val="24"/>
          <w:szCs w:val="24"/>
        </w:rPr>
      </w:pPr>
    </w:p>
    <w:p w14:paraId="4CB6D751">
      <w:pPr>
        <w:pStyle w:val="9"/>
        <w:spacing w:before="0" w:after="0" w:line="360" w:lineRule="auto"/>
        <w:jc w:val="both"/>
        <w:rPr>
          <w:sz w:val="24"/>
          <w:szCs w:val="24"/>
        </w:rPr>
      </w:pPr>
    </w:p>
    <w:p w14:paraId="1D6F2A8D">
      <w:pPr>
        <w:pStyle w:val="9"/>
        <w:spacing w:before="0" w:after="0" w:line="360" w:lineRule="auto"/>
        <w:jc w:val="both"/>
        <w:rPr>
          <w:sz w:val="24"/>
          <w:szCs w:val="24"/>
        </w:rPr>
      </w:pPr>
    </w:p>
    <w:p w14:paraId="4CC01AD2">
      <w:pPr>
        <w:pStyle w:val="9"/>
        <w:spacing w:before="0" w:after="0" w:line="360" w:lineRule="auto"/>
        <w:jc w:val="both"/>
        <w:rPr>
          <w:sz w:val="24"/>
          <w:szCs w:val="24"/>
        </w:rPr>
      </w:pPr>
    </w:p>
    <w:p w14:paraId="00D1BB97">
      <w:pPr>
        <w:pStyle w:val="9"/>
        <w:spacing w:before="0" w:after="0" w:line="360" w:lineRule="auto"/>
        <w:jc w:val="both"/>
        <w:rPr>
          <w:sz w:val="24"/>
          <w:szCs w:val="24"/>
        </w:rPr>
      </w:pPr>
    </w:p>
    <w:p w14:paraId="09164668">
      <w:pPr>
        <w:pStyle w:val="9"/>
        <w:spacing w:before="0" w:after="0" w:line="360" w:lineRule="auto"/>
        <w:jc w:val="both"/>
        <w:rPr>
          <w:sz w:val="24"/>
          <w:szCs w:val="24"/>
        </w:rPr>
      </w:pPr>
    </w:p>
    <w:p w14:paraId="3697C040">
      <w:pPr>
        <w:pStyle w:val="9"/>
        <w:spacing w:before="0" w:after="0" w:line="360" w:lineRule="auto"/>
        <w:jc w:val="both"/>
        <w:rPr>
          <w:sz w:val="24"/>
          <w:szCs w:val="24"/>
        </w:rPr>
      </w:pPr>
    </w:p>
    <w:p w14:paraId="76B72CA1">
      <w:pPr>
        <w:pStyle w:val="9"/>
        <w:spacing w:before="0" w:after="0" w:line="360" w:lineRule="auto"/>
        <w:jc w:val="both"/>
        <w:rPr>
          <w:sz w:val="24"/>
          <w:szCs w:val="24"/>
        </w:rPr>
      </w:pPr>
    </w:p>
    <w:p w14:paraId="6C3808AF">
      <w:pPr>
        <w:pStyle w:val="9"/>
        <w:spacing w:before="0" w:after="0" w:line="360" w:lineRule="auto"/>
        <w:jc w:val="both"/>
        <w:rPr>
          <w:sz w:val="24"/>
          <w:szCs w:val="24"/>
        </w:rPr>
      </w:pPr>
    </w:p>
    <w:p w14:paraId="3CB20681">
      <w:pPr>
        <w:wordWrap w:val="0"/>
        <w:spacing w:before="240" w:after="120"/>
        <w:rPr>
          <w:rFonts w:ascii="Times New Roman" w:hAnsi="Times New Roman" w:eastAsia="宋体" w:cs="Times New Roman"/>
          <w:sz w:val="22"/>
          <w:szCs w:val="22"/>
        </w:rPr>
      </w:pPr>
      <w:r>
        <w:rPr>
          <w:rFonts w:hint="eastAsia" w:ascii="Times New Roman" w:hAnsi="Times New Roman" w:eastAsia="宋体" w:cs="Times New Roman"/>
          <w:sz w:val="22"/>
          <w:szCs w:val="22"/>
        </w:rPr>
        <w:drawing>
          <wp:inline distT="0" distB="0" distL="114300" distR="114300">
            <wp:extent cx="5270500" cy="5270500"/>
            <wp:effectExtent l="0" t="0" r="0" b="0"/>
            <wp:docPr id="3" name="图片 3" descr="温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温度1"/>
                    <pic:cNvPicPr>
                      <a:picLocks noChangeAspect="1"/>
                    </pic:cNvPicPr>
                  </pic:nvPicPr>
                  <pic:blipFill>
                    <a:blip r:embed="rId4"/>
                    <a:stretch>
                      <a:fillRect/>
                    </a:stretch>
                  </pic:blipFill>
                  <pic:spPr>
                    <a:xfrm>
                      <a:off x="0" y="0"/>
                      <a:ext cx="5270500" cy="5270500"/>
                    </a:xfrm>
                    <a:prstGeom prst="rect">
                      <a:avLst/>
                    </a:prstGeom>
                  </pic:spPr>
                </pic:pic>
              </a:graphicData>
            </a:graphic>
          </wp:inline>
        </w:drawing>
      </w:r>
    </w:p>
    <w:p w14:paraId="14B0501E">
      <w:pPr>
        <w:spacing w:before="240" w:after="120"/>
        <w:jc w:val="center"/>
        <w:rPr>
          <w:rFonts w:ascii="Times New Roman" w:hAnsi="Times New Roman" w:eastAsia="宋体" w:cs="Times New Roman"/>
          <w:sz w:val="22"/>
          <w:szCs w:val="22"/>
        </w:rPr>
      </w:pPr>
      <w:r>
        <w:rPr>
          <w:rFonts w:ascii="Times New Roman" w:hAnsi="Times New Roman" w:eastAsia="宋体" w:cs="Times New Roman"/>
          <w:b/>
          <w:bCs/>
          <w:sz w:val="22"/>
          <w:szCs w:val="22"/>
        </w:rPr>
        <w:t>Fig</w:t>
      </w:r>
      <w:r>
        <w:rPr>
          <w:rFonts w:hint="eastAsia" w:ascii="Times New Roman" w:hAnsi="Times New Roman" w:eastAsia="宋体" w:cs="Times New Roman"/>
          <w:b/>
          <w:bCs/>
          <w:sz w:val="22"/>
          <w:szCs w:val="22"/>
        </w:rPr>
        <w:t>.</w:t>
      </w:r>
      <w:r>
        <w:rPr>
          <w:rFonts w:ascii="Times New Roman" w:hAnsi="Times New Roman" w:eastAsia="宋体" w:cs="Times New Roman"/>
          <w:b/>
          <w:bCs/>
          <w:sz w:val="22"/>
          <w:szCs w:val="22"/>
        </w:rPr>
        <w:t xml:space="preserve"> S1</w:t>
      </w:r>
      <w:r>
        <w:rPr>
          <w:rFonts w:ascii="Times New Roman" w:hAnsi="Times New Roman" w:eastAsia="宋体" w:cs="Times New Roman"/>
          <w:sz w:val="22"/>
          <w:szCs w:val="22"/>
        </w:rPr>
        <w:t>. Spatial patterns of temperature changes in global terrestrial non-cropland areas at the 0–20 cm soil depth under six warming scenarios. Panels (a)–(f) correspond to the T5, T10, T15, T20, T25, and T30 scenarios, respectively.</w:t>
      </w:r>
    </w:p>
    <w:p w14:paraId="4AFE4CCA">
      <w:pPr>
        <w:rPr>
          <w:rFonts w:ascii="Times New Roman" w:hAnsi="Times New Roman" w:cs="Times New Roman"/>
          <w:b/>
          <w:bCs/>
          <w:sz w:val="28"/>
          <w:szCs w:val="28"/>
        </w:rPr>
      </w:pPr>
      <w:r>
        <w:rPr>
          <w:rFonts w:ascii="Times New Roman" w:hAnsi="Times New Roman" w:cs="Times New Roman"/>
          <w:b/>
          <w:bCs/>
          <w:sz w:val="28"/>
          <w:szCs w:val="28"/>
        </w:rPr>
        <w:drawing>
          <wp:inline distT="0" distB="0" distL="0" distR="0">
            <wp:extent cx="5156200" cy="8863330"/>
            <wp:effectExtent l="0" t="0" r="6350" b="0"/>
            <wp:docPr id="181798770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7709" name="图片 2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56200" cy="8863330"/>
                    </a:xfrm>
                    <a:prstGeom prst="rect">
                      <a:avLst/>
                    </a:prstGeom>
                  </pic:spPr>
                </pic:pic>
              </a:graphicData>
            </a:graphic>
          </wp:inline>
        </w:drawing>
      </w:r>
    </w:p>
    <w:p w14:paraId="18D4BC93">
      <w:pPr>
        <w:autoSpaceDE w:val="0"/>
        <w:spacing w:line="400" w:lineRule="exact"/>
        <w:jc w:val="center"/>
        <w:rPr>
          <w:rFonts w:ascii="Times New Roman" w:hAnsi="Times New Roman" w:eastAsia="宋体" w:cs="Times New Roman"/>
          <w:sz w:val="22"/>
          <w:szCs w:val="22"/>
        </w:rPr>
      </w:pPr>
      <w:r>
        <w:rPr>
          <w:rFonts w:ascii="Times New Roman" w:hAnsi="Times New Roman" w:eastAsia="宋体" w:cs="Times New Roman"/>
          <w:b/>
          <w:bCs/>
          <w:sz w:val="22"/>
          <w:szCs w:val="22"/>
        </w:rPr>
        <w:t>Fig</w:t>
      </w:r>
      <w:r>
        <w:rPr>
          <w:rFonts w:hint="eastAsia" w:ascii="Times New Roman" w:hAnsi="Times New Roman" w:eastAsia="宋体" w:cs="Times New Roman"/>
          <w:b/>
          <w:bCs/>
          <w:sz w:val="22"/>
          <w:szCs w:val="22"/>
        </w:rPr>
        <w:t xml:space="preserve">. </w:t>
      </w:r>
      <w:r>
        <w:rPr>
          <w:rFonts w:ascii="Times New Roman" w:hAnsi="Times New Roman" w:eastAsia="宋体" w:cs="Times New Roman"/>
          <w:b/>
          <w:bCs/>
          <w:sz w:val="22"/>
          <w:szCs w:val="22"/>
        </w:rPr>
        <w:t>S2.</w:t>
      </w:r>
      <w:r>
        <w:rPr>
          <w:rFonts w:ascii="Times New Roman" w:hAnsi="Times New Roman" w:eastAsia="宋体" w:cs="Times New Roman"/>
          <w:sz w:val="22"/>
          <w:szCs w:val="22"/>
        </w:rPr>
        <w:t xml:space="preserve"> SHAP-based interpretation of key covariate effects on ΔSOC predictions under six warming scenarios (T5–T30). Each row corresponds to one warming scenario. The left, middle, and right columns show the SHAP beeswarm plot, variable importance ranking based on mean absolute SHAP values, and partial dependence plots for the top five important variables, respectively. These plots illustrate the contribution direction and dispersion of feature values, the relative importance of covariates, and the nonlinear responses of ΔSOC along environmental gradients.</w:t>
      </w:r>
    </w:p>
    <w:p w14:paraId="3453090D">
      <w:pPr>
        <w:rPr>
          <w:rFonts w:ascii="Times New Roman" w:hAnsi="Times New Roman" w:cs="Times New Roman"/>
          <w:b/>
          <w:bCs/>
          <w:sz w:val="28"/>
          <w:szCs w:val="28"/>
        </w:rPr>
      </w:pPr>
      <w:r>
        <w:rPr>
          <w:rFonts w:ascii="Times New Roman" w:hAnsi="Times New Roman" w:cs="Times New Roman"/>
          <w:b/>
          <w:bCs/>
          <w:sz w:val="28"/>
          <w:szCs w:val="28"/>
        </w:rPr>
        <w:drawing>
          <wp:inline distT="0" distB="0" distL="0" distR="0">
            <wp:extent cx="5274310" cy="3931920"/>
            <wp:effectExtent l="0" t="0" r="2540" b="0"/>
            <wp:docPr id="15226969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96944"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31920"/>
                    </a:xfrm>
                    <a:prstGeom prst="rect">
                      <a:avLst/>
                    </a:prstGeom>
                  </pic:spPr>
                </pic:pic>
              </a:graphicData>
            </a:graphic>
          </wp:inline>
        </w:drawing>
      </w:r>
    </w:p>
    <w:p w14:paraId="708F13A8">
      <w:pPr>
        <w:pStyle w:val="9"/>
      </w:pPr>
      <w:r>
        <w:rPr>
          <w:b/>
          <w:bCs/>
        </w:rPr>
        <w:t>Fig</w:t>
      </w:r>
      <w:r>
        <w:rPr>
          <w:rFonts w:hint="eastAsia"/>
          <w:b/>
          <w:bCs/>
        </w:rPr>
        <w:t>.</w:t>
      </w:r>
      <w:r>
        <w:rPr>
          <w:b/>
          <w:bCs/>
        </w:rPr>
        <w:t xml:space="preserve"> S3.</w:t>
      </w:r>
      <w:r>
        <w:t xml:space="preserve"> Model accuracy scatter plot under the temperature-unchanged scenario. Accuracy metrics are shown in the lower-right corner. The black dashed line indicates the 1:1 line, and the red dashed line indicates the fitted regression line.</w:t>
      </w:r>
    </w:p>
    <w:p w14:paraId="3BF20F5D">
      <w:pPr>
        <w:pStyle w:val="9"/>
      </w:pPr>
    </w:p>
    <w:p w14:paraId="50443C06">
      <w:pPr>
        <w:rPr>
          <w:rFonts w:ascii="Times New Roman" w:hAnsi="Times New Roman" w:cs="Times New Roman"/>
          <w:b/>
          <w:bCs/>
          <w:sz w:val="28"/>
          <w:szCs w:val="28"/>
        </w:rPr>
      </w:pPr>
      <w:r>
        <w:rPr>
          <w:rFonts w:hint="eastAsia" w:ascii="Times New Roman" w:hAnsi="Times New Roman" w:cs="Times New Roman"/>
          <w:b/>
          <w:bCs/>
          <w:sz w:val="28"/>
          <w:szCs w:val="28"/>
        </w:rPr>
        <w:drawing>
          <wp:inline distT="0" distB="0" distL="114300" distR="114300">
            <wp:extent cx="5271135" cy="1746250"/>
            <wp:effectExtent l="0" t="0" r="12065" b="6350"/>
            <wp:docPr id="2" name="图片 2" descr="基准空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基准空间"/>
                    <pic:cNvPicPr>
                      <a:picLocks noChangeAspect="1"/>
                    </pic:cNvPicPr>
                  </pic:nvPicPr>
                  <pic:blipFill>
                    <a:blip r:embed="rId7"/>
                    <a:stretch>
                      <a:fillRect/>
                    </a:stretch>
                  </pic:blipFill>
                  <pic:spPr>
                    <a:xfrm>
                      <a:off x="0" y="0"/>
                      <a:ext cx="5271135" cy="1746250"/>
                    </a:xfrm>
                    <a:prstGeom prst="rect">
                      <a:avLst/>
                    </a:prstGeom>
                  </pic:spPr>
                </pic:pic>
              </a:graphicData>
            </a:graphic>
          </wp:inline>
        </w:drawing>
      </w:r>
    </w:p>
    <w:p w14:paraId="64BF98D4">
      <w:pPr>
        <w:pStyle w:val="9"/>
      </w:pPr>
      <w:r>
        <w:rPr>
          <w:b/>
          <w:bCs/>
        </w:rPr>
        <w:t>Fig</w:t>
      </w:r>
      <w:r>
        <w:rPr>
          <w:rFonts w:hint="eastAsia"/>
          <w:b/>
          <w:bCs/>
        </w:rPr>
        <w:t>.</w:t>
      </w:r>
      <w:r>
        <w:rPr>
          <w:b/>
          <w:bCs/>
        </w:rPr>
        <w:t xml:space="preserve"> S4.</w:t>
      </w:r>
      <w:r>
        <w:t xml:space="preserve"> Spatial distribution of predicted SOC and its uncertainty under the temperature-unchanged scenario. Panel (a) shows the predicted mean SOC stock (kg C m⁻²) in global terrestrial non-cropland areas at the 0–20 cm soil depth, with the lower-left inset showing the area proportions of different SOC levels. Panel (b) shows the mean prediction uncertainty of SOC, </w:t>
      </w:r>
      <w:r>
        <w:rPr>
          <w:rFonts w:hint="eastAsia"/>
        </w:rPr>
        <w:t>quantified using the prediction interval ratio derived from quantile regression forest,</w:t>
      </w:r>
      <w:r>
        <w:t xml:space="preserve"> with the lower-left inset showing the area proportions of different uncertainty levels.</w:t>
      </w:r>
    </w:p>
    <w:p w14:paraId="2556F760">
      <w:pPr>
        <w:rPr>
          <w:rFonts w:ascii="Times New Roman" w:hAnsi="Times New Roman" w:cs="Times New Roman"/>
          <w:b/>
          <w:bCs/>
          <w:sz w:val="28"/>
          <w:szCs w:val="28"/>
        </w:rPr>
      </w:pPr>
      <w:r>
        <w:rPr>
          <w:rFonts w:hint="eastAsia" w:ascii="Times New Roman" w:hAnsi="Times New Roman" w:cs="Times New Roman"/>
          <w:b/>
          <w:bCs/>
          <w:sz w:val="28"/>
          <w:szCs w:val="28"/>
        </w:rPr>
        <w:drawing>
          <wp:inline distT="0" distB="0" distL="114300" distR="114300">
            <wp:extent cx="5268595" cy="4382770"/>
            <wp:effectExtent l="0" t="0" r="1905" b="11430"/>
            <wp:docPr id="1" name="图片 1" descr="减少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减少量"/>
                    <pic:cNvPicPr>
                      <a:picLocks noChangeAspect="1"/>
                    </pic:cNvPicPr>
                  </pic:nvPicPr>
                  <pic:blipFill>
                    <a:blip r:embed="rId8"/>
                    <a:stretch>
                      <a:fillRect/>
                    </a:stretch>
                  </pic:blipFill>
                  <pic:spPr>
                    <a:xfrm>
                      <a:off x="0" y="0"/>
                      <a:ext cx="5268595" cy="4382770"/>
                    </a:xfrm>
                    <a:prstGeom prst="rect">
                      <a:avLst/>
                    </a:prstGeom>
                  </pic:spPr>
                </pic:pic>
              </a:graphicData>
            </a:graphic>
          </wp:inline>
        </w:drawing>
      </w:r>
    </w:p>
    <w:p w14:paraId="145CE91B">
      <w:pPr>
        <w:pStyle w:val="9"/>
      </w:pPr>
      <w:r>
        <w:rPr>
          <w:b/>
          <w:bCs/>
        </w:rPr>
        <w:t>Fig</w:t>
      </w:r>
      <w:r>
        <w:rPr>
          <w:rFonts w:hint="eastAsia"/>
          <w:b/>
          <w:bCs/>
        </w:rPr>
        <w:t>.</w:t>
      </w:r>
      <w:r>
        <w:rPr>
          <w:b/>
          <w:bCs/>
        </w:rPr>
        <w:t xml:space="preserve"> S5.</w:t>
      </w:r>
      <w:r>
        <w:t xml:space="preserve"> SOC stock changes in global terrestrial non-cropland areas at the 0–20 cm soil depth under six warming scenarios. Bars indicate SOC stock changes under each scenario, blue numbers denote the corresponding SOC losses, and black numbers above the bars represent standard deviations.</w:t>
      </w:r>
    </w:p>
    <w:p w14:paraId="4B67725F">
      <w:pPr>
        <w:rPr>
          <w:rFonts w:ascii="Times New Roman" w:hAnsi="Times New Roman" w:cs="Times New Roman"/>
          <w:b/>
          <w:bCs/>
          <w:sz w:val="28"/>
          <w:szCs w:val="28"/>
        </w:rPr>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New Romans">
    <w:altName w:val="Times New Roman"/>
    <w:panose1 w:val="00000000000000000000"/>
    <w:charset w:val="00"/>
    <w:family w:val="roman"/>
    <w:pitch w:val="default"/>
    <w:sig w:usb0="00000000" w:usb1="00000000" w:usb2="00000000" w:usb3="00000000" w:csb0="00000000" w:csb1="00000000"/>
  </w:font>
  <w:font w:name="AdvGulliv-R">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38"/>
    <w:rsid w:val="00017F29"/>
    <w:rsid w:val="00021CDE"/>
    <w:rsid w:val="000B161C"/>
    <w:rsid w:val="0020781B"/>
    <w:rsid w:val="002B2334"/>
    <w:rsid w:val="002C0A8B"/>
    <w:rsid w:val="003502FA"/>
    <w:rsid w:val="00351CC6"/>
    <w:rsid w:val="00393883"/>
    <w:rsid w:val="003E6F38"/>
    <w:rsid w:val="0045024F"/>
    <w:rsid w:val="00493CAA"/>
    <w:rsid w:val="004F5DC4"/>
    <w:rsid w:val="00533E55"/>
    <w:rsid w:val="00541371"/>
    <w:rsid w:val="00671964"/>
    <w:rsid w:val="006B4668"/>
    <w:rsid w:val="007211C5"/>
    <w:rsid w:val="00837303"/>
    <w:rsid w:val="008B5266"/>
    <w:rsid w:val="008C3E95"/>
    <w:rsid w:val="0092203B"/>
    <w:rsid w:val="00965906"/>
    <w:rsid w:val="00A35BD2"/>
    <w:rsid w:val="00AA5450"/>
    <w:rsid w:val="00B255B9"/>
    <w:rsid w:val="00B26B4F"/>
    <w:rsid w:val="00BE70C9"/>
    <w:rsid w:val="00C175D1"/>
    <w:rsid w:val="00C22B7F"/>
    <w:rsid w:val="00C34DCE"/>
    <w:rsid w:val="00C512C8"/>
    <w:rsid w:val="00C9695D"/>
    <w:rsid w:val="00CD07A6"/>
    <w:rsid w:val="00CD3E24"/>
    <w:rsid w:val="00CF070F"/>
    <w:rsid w:val="00D07DCB"/>
    <w:rsid w:val="00D519B9"/>
    <w:rsid w:val="00DB795D"/>
    <w:rsid w:val="00E133B0"/>
    <w:rsid w:val="00E13580"/>
    <w:rsid w:val="00E32B25"/>
    <w:rsid w:val="00EA480B"/>
    <w:rsid w:val="00F1407E"/>
    <w:rsid w:val="00F85FE7"/>
    <w:rsid w:val="00FD139A"/>
    <w:rsid w:val="00FD74C7"/>
    <w:rsid w:val="00FF3158"/>
    <w:rsid w:val="0156177E"/>
    <w:rsid w:val="123850DA"/>
    <w:rsid w:val="2B9F185B"/>
    <w:rsid w:val="34A3564B"/>
    <w:rsid w:val="3BC1546A"/>
    <w:rsid w:val="47775577"/>
    <w:rsid w:val="66C75C40"/>
    <w:rsid w:val="70A94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character" w:styleId="6">
    <w:name w:val="line number"/>
    <w:basedOn w:val="5"/>
    <w:qFormat/>
    <w:uiPriority w:val="0"/>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 w:type="paragraph" w:customStyle="1" w:styleId="9">
    <w:name w:val="图"/>
    <w:basedOn w:val="1"/>
    <w:qFormat/>
    <w:uiPriority w:val="0"/>
    <w:pPr>
      <w:wordWrap w:val="0"/>
      <w:spacing w:before="240" w:after="120"/>
      <w:jc w:val="center"/>
    </w:pPr>
    <w:rPr>
      <w:rFonts w:ascii="Times New Roman" w:hAnsi="Times New Roman" w:eastAsia="宋体" w:cs="Times New Roman"/>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676</Words>
  <Characters>4055</Characters>
  <Lines>85</Lines>
  <Paragraphs>23</Paragraphs>
  <TotalTime>0</TotalTime>
  <ScaleCrop>false</ScaleCrop>
  <LinksUpToDate>false</LinksUpToDate>
  <CharactersWithSpaces>4710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2025-12-12T05:21:00Z</dcterms:created>
  <dc:creator>wkq</dc:creator>
  <cp:lastModifiedBy>强</cp:lastModifiedBy>
  <dcterms:modified xsi:type="dcterms:W3CDTF">2026-06-13T05:21:13Z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eyJoZGlkIjoiMGM5YzFkZDdjZjExNDU1YWUyNmNhNDM5NjliYzZiYzciLCJ1c2VySWQiOiI0NTMzODI4MTAifQ==</vt:lpwstr>
  </property>
  <property fmtid="{D5CDD505-2E9C-101B-9397-08002B2CF9AE}" pid="4" name="ICV">
    <vt:lpwstr>B191634C8B8B4CC682B354CA0A080F05_12</vt:lpwstr>
  </property>
</Properties>
</file>