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supplementary-material"/>
    <w:p>
      <w:pPr>
        <w:pStyle w:val="Heading1"/>
      </w:pPr>
      <w:r>
        <w:t xml:space="preserve">Supplementary Material</w:t>
      </w:r>
    </w:p>
    <w:p>
      <w:pPr>
        <w:pStyle w:val="FirstParagraph"/>
      </w:pPr>
      <w:r>
        <w:t xml:space="preserve">How common is ureteral stricture after laser ureteroscopy, and what drives it? A systematic review and meta-analysis</w:t>
      </w:r>
    </w:p>
    <w:p>
      <w:pPr>
        <w:pStyle w:val="BodyText"/>
      </w:pPr>
      <w:r>
        <w:rPr>
          <w:bCs/>
          <w:b/>
        </w:rPr>
        <w:t xml:space="preserve">Supplementary File 1.</w:t>
      </w:r>
      <w:r>
        <w:t xml:space="preserve"> </w:t>
      </w:r>
      <w:r>
        <w:t xml:space="preserve">Search strategy for each database.</w:t>
      </w:r>
    </w:p>
    <w:p>
      <w:pPr>
        <w:pStyle w:val="BodyText"/>
      </w:pPr>
      <w:r>
        <w:rPr>
          <w:bCs/>
          <w:b/>
        </w:rPr>
        <w:t xml:space="preserve">Section A. PRISMA-S reporting checklist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089"/>
        <w:gridCol w:w="1683"/>
        <w:gridCol w:w="49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PRISMA-S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Reported for this 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Database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PubMed (National Library of Medicine); Wiley</w:t>
            </w:r>
            <w:r>
              <w:t xml:space="preserve"> </w:t>
            </w:r>
            <w:r>
              <w:t xml:space="preserve">Online Library; Cochrane Library (Wiley); Google</w:t>
            </w:r>
            <w:r>
              <w:t xml:space="preserve"> </w:t>
            </w:r>
            <w:r>
              <w:t xml:space="preserve">Scholar.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Multi-database</w:t>
            </w:r>
            <w:r>
              <w:t xml:space="preserve"> </w:t>
            </w:r>
            <w:r>
              <w:t xml:space="preserve">searching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Four sources were searched. The strategy was</w:t>
            </w:r>
            <w:r>
              <w:t xml:space="preserve"> </w:t>
            </w:r>
            <w:r>
              <w:t xml:space="preserve">developed in PubMed and adapted to the syntax of</w:t>
            </w:r>
            <w:r>
              <w:t xml:space="preserve"> </w:t>
            </w:r>
            <w:r>
              <w:t xml:space="preserve">each platform. Line-by-line strings with per-line</w:t>
            </w:r>
            <w:r>
              <w:t xml:space="preserve"> </w:t>
            </w:r>
            <w:r>
              <w:t xml:space="preserve">result counts are given in Section B.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Study registries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trial registry was searched as a separate</w:t>
            </w:r>
            <w:r>
              <w:t xml:space="preserve"> </w:t>
            </w:r>
            <w:r>
              <w:t xml:space="preserve">source. Records from ClinicalTrials.gov and the</w:t>
            </w:r>
            <w:r>
              <w:t xml:space="preserve"> </w:t>
            </w:r>
            <w:r>
              <w:t xml:space="preserve">WHO International Clinical Trials Registry</w:t>
            </w:r>
            <w:r>
              <w:t xml:space="preserve"> </w:t>
            </w:r>
            <w:r>
              <w:t xml:space="preserve">Platform were covered through the Cochrane</w:t>
            </w:r>
            <w:r>
              <w:t xml:space="preserve"> </w:t>
            </w:r>
            <w:r>
              <w:t xml:space="preserve">Central Register of Controlled Trials (CENTRAL)</w:t>
            </w:r>
            <w:r>
              <w:t xml:space="preserve"> </w:t>
            </w:r>
            <w:r>
              <w:t xml:space="preserve">within the Cochrane Library search reported in</w:t>
            </w:r>
            <w:r>
              <w:t xml:space="preserve"> </w:t>
            </w:r>
            <w:r>
              <w:t xml:space="preserve">Section B.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Online resources</w:t>
            </w:r>
            <w:r>
              <w:t xml:space="preserve"> </w:t>
            </w:r>
            <w:r>
              <w:t xml:space="preserve">and browsing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Google Scholar was searched as a web search</w:t>
            </w:r>
            <w:r>
              <w:t xml:space="preserve"> </w:t>
            </w:r>
            <w:r>
              <w:t xml:space="preserve">engine using the phrase-based string in Section</w:t>
            </w:r>
            <w:r>
              <w:t xml:space="preserve"> </w:t>
            </w:r>
            <w:r>
              <w:t xml:space="preserve">B. No other websites were browsed and no</w:t>
            </w:r>
            <w:r>
              <w:t xml:space="preserve"> </w:t>
            </w:r>
            <w:r>
              <w:t xml:space="preserve">grey-literature sources were searched.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Citation</w:t>
            </w:r>
            <w:r>
              <w:t xml:space="preserve"> </w:t>
            </w:r>
            <w:r>
              <w:t xml:space="preserve">searching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Reference lists of the included studies and of</w:t>
            </w:r>
            <w:r>
              <w:t xml:space="preserve"> </w:t>
            </w:r>
            <w:r>
              <w:t xml:space="preserve">the prior reviews by Moretto et al. and Tonyali</w:t>
            </w:r>
            <w:r>
              <w:t xml:space="preserve"> </w:t>
            </w:r>
            <w:r>
              <w:t xml:space="preserve">et al. were screened. No additional eligible</w:t>
            </w:r>
            <w:r>
              <w:t xml:space="preserve"> </w:t>
            </w:r>
            <w:r>
              <w:t xml:space="preserve">studies were identified beyond those retrieved by</w:t>
            </w:r>
            <w:r>
              <w:t xml:space="preserve"> </w:t>
            </w:r>
            <w:r>
              <w:t xml:space="preserve">the database searches, so citation searching</w:t>
            </w:r>
            <w:r>
              <w:t xml:space="preserve"> </w:t>
            </w:r>
            <w:r>
              <w:t xml:space="preserve">contributed no records to the study flow.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study authors were contacted. All data</w:t>
            </w:r>
            <w:r>
              <w:t xml:space="preserve"> </w:t>
            </w:r>
            <w:r>
              <w:t xml:space="preserve">required for extraction were reported in the</w:t>
            </w:r>
            <w:r>
              <w:t xml:space="preserve"> </w:t>
            </w:r>
            <w:r>
              <w:t xml:space="preserve">source publications.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methods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hand-searching of journals or conference</w:t>
            </w:r>
            <w:r>
              <w:t xml:space="preserve"> </w:t>
            </w:r>
            <w:r>
              <w:t xml:space="preserve">abstracts was performed.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search</w:t>
            </w:r>
            <w:r>
              <w:t xml:space="preserve"> </w:t>
            </w:r>
            <w:r>
              <w:t xml:space="preserve">strategies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 strategies for all four sources, with</w:t>
            </w:r>
            <w:r>
              <w:t xml:space="preserve"> </w:t>
            </w:r>
            <w:r>
              <w:t xml:space="preserve">result counts for every line, are reported in</w:t>
            </w:r>
            <w:r>
              <w:t xml:space="preserve"> </w:t>
            </w:r>
            <w:r>
              <w:t xml:space="preserve">Section B.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Limits and</w:t>
            </w:r>
            <w:r>
              <w:t xml:space="preserve"> </w:t>
            </w:r>
            <w:r>
              <w:t xml:space="preserve">restrictions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language restriction was applied. No date</w:t>
            </w:r>
            <w:r>
              <w:t xml:space="preserve"> </w:t>
            </w:r>
            <w:r>
              <w:t xml:space="preserve">restriction was applied; coverage ran from</w:t>
            </w:r>
            <w:r>
              <w:t xml:space="preserve"> </w:t>
            </w:r>
            <w:r>
              <w:t xml:space="preserve">database inception to 5 July 2026. No</w:t>
            </w:r>
            <w:r>
              <w:t xml:space="preserve"> </w:t>
            </w:r>
            <w:r>
              <w:t xml:space="preserve">publication-type, species, or age filter was</w:t>
            </w:r>
            <w:r>
              <w:t xml:space="preserve"> </w:t>
            </w:r>
            <w:r>
              <w:t xml:space="preserve">applied at the search stage. Restriction to adult</w:t>
            </w:r>
            <w:r>
              <w:t xml:space="preserve"> </w:t>
            </w:r>
            <w:r>
              <w:t xml:space="preserve">populations was applied at screening, not in the</w:t>
            </w:r>
            <w:r>
              <w:t xml:space="preserve"> </w:t>
            </w:r>
            <w:r>
              <w:t xml:space="preserve">search.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Search filters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published or validated methodological search</w:t>
            </w:r>
            <w:r>
              <w:t xml:space="preserve"> </w:t>
            </w:r>
            <w:r>
              <w:t xml:space="preserve">filter, such as a randomised-trial or</w:t>
            </w:r>
            <w:r>
              <w:t xml:space="preserve"> </w:t>
            </w:r>
            <w:r>
              <w:t xml:space="preserve">observational-study filter, was applied.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strategy was not developed de novo. It was</w:t>
            </w:r>
            <w:r>
              <w:t xml:space="preserve"> </w:t>
            </w:r>
            <w:r>
              <w:t xml:space="preserve">adapted from the search strategies of two prior</w:t>
            </w:r>
            <w:r>
              <w:t xml:space="preserve"> </w:t>
            </w:r>
            <w:r>
              <w:t xml:space="preserve">reviews of ureteral stricture after endoscopic</w:t>
            </w:r>
            <w:r>
              <w:t xml:space="preserve"> </w:t>
            </w:r>
            <w:r>
              <w:t xml:space="preserve">stone treatment, by Moretto et al. and Tonyali et</w:t>
            </w:r>
            <w:r>
              <w:t xml:space="preserve"> </w:t>
            </w:r>
            <w:r>
              <w:t xml:space="preserve">al., and was then extended to require</w:t>
            </w:r>
            <w:r>
              <w:t xml:space="preserve"> </w:t>
            </w:r>
            <w:r>
              <w:t xml:space="preserve">confirmation of the laser as the energy source.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search was run once and was not updated after</w:t>
            </w:r>
            <w:r>
              <w:t xml:space="preserve"> </w:t>
            </w:r>
            <w:r>
              <w:t xml:space="preserve">5 July 2026.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Dates of</w:t>
            </w:r>
            <w:r>
              <w:t xml:space="preserve"> </w:t>
            </w:r>
            <w:r>
              <w:t xml:space="preserve">searches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Searches were run between 1 and 5 July 2026. The</w:t>
            </w:r>
            <w:r>
              <w:t xml:space="preserve"> </w:t>
            </w:r>
            <w:r>
              <w:t xml:space="preserve">last search was performed on 5 July 2026.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Peer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 peer review of the search strategy</w:t>
            </w:r>
            <w:r>
              <w:t xml:space="preserve"> </w:t>
            </w:r>
            <w:r>
              <w:t xml:space="preserve">using a validated instrument, such as the Peer</w:t>
            </w:r>
            <w:r>
              <w:t xml:space="preserve"> </w:t>
            </w:r>
            <w:r>
              <w:t xml:space="preserve">Review of Electronic Search Strategies (PRESS)</w:t>
            </w:r>
            <w:r>
              <w:t xml:space="preserve"> </w:t>
            </w:r>
            <w:r>
              <w:t xml:space="preserve">checklist, was undertaken. The strategy was</w:t>
            </w:r>
            <w:r>
              <w:t xml:space="preserve"> </w:t>
            </w:r>
            <w:r>
              <w:t xml:space="preserve">developed and cross-checked by two review authors</w:t>
            </w:r>
            <w:r>
              <w:t xml:space="preserve"> </w:t>
            </w:r>
            <w:r>
              <w:t xml:space="preserve">(A.A.S. and S.K.L.).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693 records were identified: PubMed 212, Wiley</w:t>
            </w:r>
            <w:r>
              <w:t xml:space="preserve"> </w:t>
            </w:r>
            <w:r>
              <w:t xml:space="preserve">Online Library 143, Google Scholar 335, and</w:t>
            </w:r>
            <w:r>
              <w:t xml:space="preserve"> </w:t>
            </w:r>
            <w:r>
              <w:t xml:space="preserve">Cochrane Library 3.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Deduplication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Records were imported into Zotero and duplicates</w:t>
            </w:r>
            <w:r>
              <w:t xml:space="preserve"> </w:t>
            </w:r>
            <w:r>
              <w:t xml:space="preserve">were removed using its duplicate-detection</w:t>
            </w:r>
            <w:r>
              <w:t xml:space="preserve"> </w:t>
            </w:r>
            <w:r>
              <w:t xml:space="preserve">function. 320 duplicate records were removed</w:t>
            </w:r>
            <w:r>
              <w:t xml:space="preserve"> </w:t>
            </w:r>
            <w:r>
              <w:t xml:space="preserve">before screening. Titles, abstracts, and full</w:t>
            </w:r>
            <w:r>
              <w:t xml:space="preserve"> </w:t>
            </w:r>
            <w:r>
              <w:t xml:space="preserve">texts were subsequently screened in Microsoft</w:t>
            </w:r>
            <w:r>
              <w:t xml:space="preserve"> </w:t>
            </w:r>
            <w:r>
              <w:t xml:space="preserve">Excel.</w:t>
            </w:r>
          </w:p>
        </w:tc>
      </w:tr>
    </w:tbl>
    <w:p>
      <w:pPr>
        <w:pStyle w:val="BodyText"/>
      </w:pPr>
      <w:r>
        <w:rPr>
          <w:bCs/>
          <w:b/>
        </w:rPr>
        <w:t xml:space="preserve">Section B. Full search strategies</w:t>
      </w:r>
    </w:p>
    <w:p>
      <w:pPr>
        <w:pStyle w:val="BodyText"/>
      </w:pPr>
      <w:r>
        <w:rPr>
          <w:bCs/>
          <w:b/>
        </w:rPr>
        <w:t xml:space="preserve">PubMed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049"/>
        <w:gridCol w:w="5343"/>
        <w:gridCol w:w="133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Query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Results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("Ureteroscopy"[Mesh] OR ureteroscop*[tiab] OR</w:t>
            </w:r>
            <w:r>
              <w:t xml:space="preserve"> </w:t>
            </w:r>
            <w:r>
              <w:t xml:space="preserve">ureterorenoscop*[tiab] OR "retrograde intrarenal</w:t>
            </w:r>
            <w:r>
              <w:t xml:space="preserve"> </w:t>
            </w:r>
            <w:r>
              <w:t xml:space="preserve">surgery"[tiab] OR RIRS[tiab] OR URS[tiab] OR</w:t>
            </w:r>
            <w:r>
              <w:t xml:space="preserve"> </w:t>
            </w:r>
            <w:r>
              <w:t xml:space="preserve">URSL[tiab])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("Urinary Calculi"[Mesh] OR stone*[tiab] OR</w:t>
            </w:r>
            <w:r>
              <w:t xml:space="preserve"> </w:t>
            </w:r>
            <w:r>
              <w:t xml:space="preserve">calcul*[tiab] OR urolithiasis[tiab] OR</w:t>
            </w:r>
            <w:r>
              <w:t xml:space="preserve"> </w:t>
            </w:r>
            <w:r>
              <w:t xml:space="preserve">ureterolithiasis[tiab] OR nephrolithiasis[tiab] OR</w:t>
            </w:r>
            <w:r>
              <w:t xml:space="preserve"> </w:t>
            </w:r>
            <w:r>
              <w:t xml:space="preserve">renal calcul*[tiab] OR ureteral calcul*[tiab])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130,748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("Ureteral Obstruction"[Mesh] OR</w:t>
            </w:r>
            <w:r>
              <w:t xml:space="preserve"> </w:t>
            </w:r>
            <w:r>
              <w:t xml:space="preserve">stricture*[tiab] OR stenosis[tiab] OR</w:t>
            </w:r>
            <w:r>
              <w:t xml:space="preserve"> </w:t>
            </w:r>
            <w:r>
              <w:t xml:space="preserve">obstruction[tiab] OR narrowing[tiab])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67,980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#1 AND #2 AND #3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212</w:t>
            </w:r>
          </w:p>
        </w:tc>
      </w:tr>
    </w:tbl>
    <w:p>
      <w:pPr>
        <w:pStyle w:val="BodyText"/>
      </w:pPr>
      <w:r>
        <w:rPr>
          <w:bCs/>
          <w:b/>
        </w:rPr>
        <w:t xml:space="preserve">Wiley Online Library</w:t>
      </w:r>
      <w:r>
        <w:rPr>
          <w:iCs/>
          <w:i/>
        </w:rPr>
        <w:t xml:space="preserve">.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049"/>
        <w:gridCol w:w="5343"/>
        <w:gridCol w:w="133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Query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Results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(ureteroscopy OR ureteroscopic OR ureterorenoscopy OR</w:t>
            </w:r>
            <w:r>
              <w:t xml:space="preserve"> </w:t>
            </w:r>
            <w:r>
              <w:t xml:space="preserve">"retrograde intrarenal surgery" OR RIRS OR URS OR</w:t>
            </w:r>
            <w:r>
              <w:t xml:space="preserve"> </w:t>
            </w:r>
            <w:r>
              <w:t xml:space="preserve">URSL)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(stone OR stones OR calculi OR urolithiasis OR</w:t>
            </w:r>
            <w:r>
              <w:t xml:space="preserve"> </w:t>
            </w:r>
            <w:r>
              <w:t xml:space="preserve">ureterolithiasis OR nephrolithiasis)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(stricture OR strictures OR stenosis OR obstruction OR</w:t>
            </w:r>
            <w:r>
              <w:t xml:space="preserve"> </w:t>
            </w:r>
            <w:r>
              <w:t xml:space="preserve">narrowing)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#1 AND #2 AND #3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143</w:t>
            </w:r>
          </w:p>
        </w:tc>
      </w:tr>
    </w:tbl>
    <w:p>
      <w:pPr>
        <w:pStyle w:val="BodyText"/>
      </w:pPr>
      <w:r>
        <w:rPr>
          <w:bCs/>
          <w:b/>
        </w:rPr>
        <w:t xml:space="preserve">Google Scholar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049"/>
        <w:gridCol w:w="5343"/>
        <w:gridCol w:w="133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Query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Results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"ureteral stricture" "ureteroscopic lithotripsy"</w:t>
            </w:r>
            <w:r>
              <w:t xml:space="preserve"> </w:t>
            </w:r>
            <w:r>
              <w:t xml:space="preserve">"reconstruction"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335</w:t>
            </w:r>
          </w:p>
        </w:tc>
      </w:tr>
    </w:tbl>
    <w:p>
      <w:pPr>
        <w:pStyle w:val="BodyText"/>
      </w:pPr>
      <w:r>
        <w:rPr>
          <w:bCs/>
          <w:b/>
        </w:rPr>
        <w:t xml:space="preserve">Cochrane Library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049"/>
        <w:gridCol w:w="5343"/>
        <w:gridCol w:w="133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Query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Results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MeSH descriptor: [Ureteroscopy] explode all trees OR</w:t>
            </w:r>
            <w:r>
              <w:t xml:space="preserve"> </w:t>
            </w:r>
            <w:r>
              <w:t xml:space="preserve">ureteroscop*,ab,kw OR ureterorenoscop*,ab,kw OR</w:t>
            </w:r>
            <w:r>
              <w:t xml:space="preserve"> </w:t>
            </w:r>
            <w:r>
              <w:t xml:space="preserve">"retrograde intrarenal surgery",ab,kw OR RIRS,ab,kw</w:t>
            </w:r>
            <w:r>
              <w:t xml:space="preserve"> </w:t>
            </w:r>
            <w:r>
              <w:t xml:space="preserve">OR URS,ab,kw OR URSL,ab,kw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MeSH descriptor: [Urinary Calculi] explode all trees</w:t>
            </w:r>
            <w:r>
              <w:t xml:space="preserve"> </w:t>
            </w:r>
            <w:r>
              <w:t xml:space="preserve">OR stone*,ab,kw OR calcul*,ab,kw OR</w:t>
            </w:r>
            <w:r>
              <w:t xml:space="preserve"> </w:t>
            </w:r>
            <w:r>
              <w:t xml:space="preserve">urolithiasis,ab,kw OR ureterolithiasis,ab,kw OR</w:t>
            </w:r>
            <w:r>
              <w:t xml:space="preserve"> </w:t>
            </w:r>
            <w:r>
              <w:t xml:space="preserve">nephrolithiasis,ab,kw OR "ureteral stone",ab,kw OR</w:t>
            </w:r>
            <w:r>
              <w:t xml:space="preserve"> </w:t>
            </w:r>
            <w:r>
              <w:t xml:space="preserve">"ureteric stone",ab,kw OR "renal stone",ab,kw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laser*,ab,kw OR holmium,ab,kw OR "Ho",ab,kw OR</w:t>
            </w:r>
            <w:r>
              <w:t xml:space="preserve"> </w:t>
            </w:r>
            <w:r>
              <w:t xml:space="preserve">HoYAG,ab,kw OR thulium,ab,kw OR "thulium fiber</w:t>
            </w:r>
            <w:r>
              <w:t xml:space="preserve"> </w:t>
            </w:r>
            <w:r>
              <w:t xml:space="preserve">laser",ab,kw OR "thulium fibre laser",ab,kw OR</w:t>
            </w:r>
            <w:r>
              <w:t xml:space="preserve"> </w:t>
            </w:r>
            <w:r>
              <w:t xml:space="preserve">TFL,ab,kw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11,198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MeSH descriptor: [Ureteral Obstruction] explode all</w:t>
            </w:r>
            <w:r>
              <w:t xml:space="preserve"> </w:t>
            </w:r>
            <w:r>
              <w:t xml:space="preserve">trees OR stricture*,ab,kw OR stenosis,ab,kw OR</w:t>
            </w:r>
            <w:r>
              <w:t xml:space="preserve"> </w:t>
            </w:r>
            <w:r>
              <w:t xml:space="preserve">obstruction,ab,kw OR narrowing,ab,kw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#5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#1 AND #2 AND #3 AND #4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</w:tbl>
    <w:p>
      <w:pPr>
        <w:pStyle w:val="BodyText"/>
      </w:pPr>
      <w:r>
        <w:rPr>
          <w:bCs/>
          <w:b/>
        </w:rPr>
        <w:t xml:space="preserve">Section C. Records removed before screening</w:t>
      </w:r>
    </w:p>
    <w:p>
      <w:pPr>
        <w:pStyle w:val="BodyText"/>
      </w:pPr>
      <w:r>
        <w:t xml:space="preserve">Of the 693 records identified, 609 were removed before screening: 320</w:t>
      </w:r>
      <w:r>
        <w:t xml:space="preserve"> </w:t>
      </w:r>
      <w:r>
        <w:t xml:space="preserve">duplicate records and 289 records removed for other reasons. The 289</w:t>
      </w:r>
      <w:r>
        <w:t xml:space="preserve"> </w:t>
      </w:r>
      <w:r>
        <w:t xml:space="preserve">comprised records judged clearly irrelevant from the title alone,</w:t>
      </w:r>
      <w:r>
        <w:t xml:space="preserve"> </w:t>
      </w:r>
      <w:r>
        <w:t xml:space="preserve">principally wrong disease, wrong patient population, or no laser</w:t>
      </w:r>
      <w:r>
        <w:t xml:space="preserve"> </w:t>
      </w:r>
      <w:r>
        <w:t xml:space="preserve">lithotripsy. A per-reason count was not recorded at this stage.</w:t>
      </w:r>
    </w:p>
    <w:p>
      <w:pPr>
        <w:pStyle w:val="BodyText"/>
      </w:pPr>
      <w:r>
        <w:t xml:space="preserve">Records were imported into Zotero for deduplication and were screened in</w:t>
      </w:r>
      <w:r>
        <w:t xml:space="preserve"> </w:t>
      </w:r>
      <w:r>
        <w:t xml:space="preserve">Microsoft Excel. Titles and abstracts were screened independently by two</w:t>
      </w:r>
      <w:r>
        <w:t xml:space="preserve"> </w:t>
      </w:r>
      <w:r>
        <w:t xml:space="preserve">reviewers, and disagreements were resolved by consensus between A.A.S.</w:t>
      </w:r>
      <w:r>
        <w:t xml:space="preserve"> </w:t>
      </w:r>
      <w:r>
        <w:t xml:space="preserve">and S.K.L., under the supervision of I.W.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Supplementary File 2.</w:t>
      </w:r>
      <w:r>
        <w:t xml:space="preserve"> </w:t>
      </w:r>
      <w:r>
        <w:t xml:space="preserve">Excluded full-text studies with reasons.</w:t>
      </w:r>
    </w:p>
    <w:p>
      <w:pPr>
        <w:pStyle w:val="BodyText"/>
      </w:pPr>
      <w:r>
        <w:rPr>
          <w:bCs/>
          <w:b/>
        </w:rPr>
        <w:t xml:space="preserve">Wrong population (n = 2)</w:t>
      </w:r>
    </w:p>
    <w:p>
      <w:pPr>
        <w:pStyle w:val="BodyText"/>
      </w:pPr>
      <w:r>
        <w:t xml:space="preserve">1. Shroff S, Watson GM, Parikh A, Thomas R, Soonawalla PF, Pope A. The</w:t>
      </w:r>
      <w:r>
        <w:t xml:space="preserve"> </w:t>
      </w:r>
      <w:r>
        <w:t xml:space="preserve">holmium:YAG laser for ureteric stones. Br J Urol. 1996;78:836-839.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mixed adult and paediatric data not separable.</w:t>
      </w:r>
    </w:p>
    <w:p>
      <w:pPr>
        <w:pStyle w:val="BodyText"/>
      </w:pPr>
      <w:r>
        <w:t xml:space="preserve">2. Mahajan A, Yamajala SS, Mahajan S, Chirlikar G. Evaluation of the</w:t>
      </w:r>
      <w:r>
        <w:t xml:space="preserve"> </w:t>
      </w:r>
      <w:r>
        <w:t xml:space="preserve">safety and efficacy of thulium fiber laser lithotripsy for ureteric</w:t>
      </w:r>
      <w:r>
        <w:t xml:space="preserve"> </w:t>
      </w:r>
      <w:r>
        <w:t xml:space="preserve">stones during semi-rigid ureteroscopy. Cureus. 2026;18(3):e105755.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mixed adult and paediatric data not separable.</w:t>
      </w:r>
    </w:p>
    <w:p>
      <w:pPr>
        <w:pStyle w:val="BodyText"/>
      </w:pPr>
      <w:r>
        <w:rPr>
          <w:bCs/>
          <w:b/>
        </w:rPr>
        <w:t xml:space="preserve">Wrong intervention or exposure (n = 4)</w:t>
      </w:r>
    </w:p>
    <w:p>
      <w:pPr>
        <w:pStyle w:val="BodyText"/>
      </w:pPr>
      <w:r>
        <w:t xml:space="preserve">3. Sofer M, Watterson JD, Wollin TA, Nott L, Razvi H, Denstedt JD.</w:t>
      </w:r>
      <w:r>
        <w:t xml:space="preserve"> </w:t>
      </w:r>
      <w:r>
        <w:t xml:space="preserve">Holmium:YAG laser lithotripsy for upper urinary tract calculi in 598</w:t>
      </w:r>
      <w:r>
        <w:t xml:space="preserve"> </w:t>
      </w:r>
      <w:r>
        <w:t xml:space="preserve">patients. J Urol. 2002;167:31-34.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laser and electrohydraulic</w:t>
      </w:r>
      <w:r>
        <w:t xml:space="preserve"> </w:t>
      </w:r>
      <w:r>
        <w:t xml:space="preserve">exposure not separable.</w:t>
      </w:r>
    </w:p>
    <w:p>
      <w:pPr>
        <w:pStyle w:val="BodyText"/>
      </w:pPr>
      <w:r>
        <w:t xml:space="preserve">4. Ulvik Ø, Harneshaug JR, Gjengstø P. Ureteral strictures following</w:t>
      </w:r>
      <w:r>
        <w:t xml:space="preserve"> </w:t>
      </w:r>
      <w:r>
        <w:t xml:space="preserve">ureteroscopic stone treatment. J Endourol. 2021.</w:t>
      </w:r>
      <w:r>
        <w:t xml:space="preserve"> </w:t>
      </w:r>
      <w:r>
        <w:t xml:space="preserve">doi:10.1089/end.2020.0421.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laser-treated denominator not</w:t>
      </w:r>
      <w:r>
        <w:t xml:space="preserve"> </w:t>
      </w:r>
      <w:r>
        <w:t xml:space="preserve">separable.</w:t>
      </w:r>
    </w:p>
    <w:p>
      <w:pPr>
        <w:pStyle w:val="BodyText"/>
      </w:pPr>
      <w:r>
        <w:t xml:space="preserve">5. Stern KL, Loftus CJ, Doizi S, Traxer O, Monga M. A prospective study</w:t>
      </w:r>
      <w:r>
        <w:t xml:space="preserve"> </w:t>
      </w:r>
      <w:r>
        <w:t xml:space="preserve">analyzing the association between high-grade ureteral access sheath</w:t>
      </w:r>
      <w:r>
        <w:t xml:space="preserve"> </w:t>
      </w:r>
      <w:r>
        <w:t xml:space="preserve">injuries and the formation of ureteral strictures. Urology.</w:t>
      </w:r>
      <w:r>
        <w:t xml:space="preserve"> </w:t>
      </w:r>
      <w:r>
        <w:t xml:space="preserve">2019;128:38-41.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selected access-sheath-injury cohort with</w:t>
      </w:r>
      <w:r>
        <w:t xml:space="preserve"> </w:t>
      </w:r>
      <w:r>
        <w:t xml:space="preserve">laser exposure not confirmed.</w:t>
      </w:r>
    </w:p>
    <w:p>
      <w:pPr>
        <w:pStyle w:val="BodyText"/>
      </w:pPr>
      <w:r>
        <w:t xml:space="preserve">6. Tonyali S, Pietropaolo A, Emiliani E, et al. Factors associated with</w:t>
      </w:r>
      <w:r>
        <w:t xml:space="preserve"> </w:t>
      </w:r>
      <w:r>
        <w:t xml:space="preserve">ureteral strictures following ureteroscopy for impacted ureteral stones?</w:t>
      </w:r>
      <w:r>
        <w:t xml:space="preserve"> </w:t>
      </w:r>
      <w:r>
        <w:t xml:space="preserve">A multicenter study by EAU-YAU endourology and urolithiasis working</w:t>
      </w:r>
      <w:r>
        <w:t xml:space="preserve"> </w:t>
      </w:r>
      <w:r>
        <w:t xml:space="preserve">party. Actas Urol Esp. 2023;47:631-637.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lithotripsy modality</w:t>
      </w:r>
      <w:r>
        <w:t xml:space="preserve"> </w:t>
      </w:r>
      <w:r>
        <w:t xml:space="preserve">not specified, so strictures not confirmed as post-laser.</w:t>
      </w:r>
    </w:p>
    <w:p>
      <w:pPr>
        <w:pStyle w:val="BodyText"/>
      </w:pPr>
      <w:r>
        <w:rPr>
          <w:bCs/>
          <w:b/>
        </w:rPr>
        <w:t xml:space="preserve">Wrong outcome (n = 4)</w:t>
      </w:r>
    </w:p>
    <w:p>
      <w:pPr>
        <w:pStyle w:val="BodyText"/>
      </w:pPr>
      <w:r>
        <w:t xml:space="preserve">7. Chandramohan V, Siddalinga Swamy PM, Ramakrishna P, et al.</w:t>
      </w:r>
      <w:r>
        <w:t xml:space="preserve"> </w:t>
      </w:r>
      <w:r>
        <w:t xml:space="preserve">Ureteroscopic lithotripsy by thulium fiber laser versus holmium laser: a</w:t>
      </w:r>
      <w:r>
        <w:t xml:space="preserve"> </w:t>
      </w:r>
      <w:r>
        <w:t xml:space="preserve">single-center prospective randomized study. Urol Ann. 2023;15:285-288.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no ureteral stricture outcome reported.</w:t>
      </w:r>
    </w:p>
    <w:p>
      <w:pPr>
        <w:pStyle w:val="BodyText"/>
      </w:pPr>
      <w:r>
        <w:t xml:space="preserve">8. Panthier F, Solano C, Chicaud M, et al. Thulium fiber laser versus</w:t>
      </w:r>
      <w:r>
        <w:t xml:space="preserve"> </w:t>
      </w:r>
      <w:r>
        <w:t xml:space="preserve">pulsed Thulium:YAG for laser lithotripsy during flexible ureteroscopy.</w:t>
      </w:r>
      <w:r>
        <w:t xml:space="preserve"> </w:t>
      </w:r>
      <w:r>
        <w:t xml:space="preserve">Lasers Med Sci. 2024;39:294.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no ureteral stricture outcome</w:t>
      </w:r>
      <w:r>
        <w:t xml:space="preserve"> </w:t>
      </w:r>
      <w:r>
        <w:t xml:space="preserve">reported.</w:t>
      </w:r>
    </w:p>
    <w:p>
      <w:pPr>
        <w:pStyle w:val="BodyText"/>
      </w:pPr>
      <w:r>
        <w:t xml:space="preserve">9. Usman M, Li Z, Zheng Q, et al. Efficacy and safety of super-pulse</w:t>
      </w:r>
      <w:r>
        <w:t xml:space="preserve"> </w:t>
      </w:r>
      <w:r>
        <w:t xml:space="preserve">thulium fiber laser compared to holmium:YAG laser for ureteral and renal</w:t>
      </w:r>
      <w:r>
        <w:t xml:space="preserve"> </w:t>
      </w:r>
      <w:r>
        <w:t xml:space="preserve">stones: a multicenter retrospective study. Urolithiasis. 2026;54:23.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no ureteral stricture outcome reported.</w:t>
      </w:r>
    </w:p>
    <w:p>
      <w:pPr>
        <w:pStyle w:val="BodyText"/>
      </w:pPr>
      <w:r>
        <w:t xml:space="preserve">10. Yang L, Lou Y, Li R, et al. Thulium fiber laser versus holmium:YAG</w:t>
      </w:r>
      <w:r>
        <w:t xml:space="preserve"> </w:t>
      </w:r>
      <w:r>
        <w:t xml:space="preserve">laser for ureteroscopic lithotripsy: a single-center retrospective</w:t>
      </w:r>
      <w:r>
        <w:t xml:space="preserve"> </w:t>
      </w:r>
      <w:r>
        <w:t xml:space="preserve">cohort study. Front Surg. 2026;13:1880083.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no ureteral</w:t>
      </w:r>
      <w:r>
        <w:t xml:space="preserve"> </w:t>
      </w:r>
      <w:r>
        <w:t xml:space="preserve">stricture outcome reported.</w:t>
      </w:r>
    </w:p>
    <w:p>
      <w:pPr>
        <w:pStyle w:val="BodyText"/>
      </w:pPr>
      <w:r>
        <w:rPr>
          <w:bCs/>
          <w:b/>
        </w:rPr>
        <w:t xml:space="preserve">Insufficient follow-up (n = 1)</w:t>
      </w:r>
    </w:p>
    <w:p>
      <w:pPr>
        <w:pStyle w:val="BodyText"/>
      </w:pPr>
      <w:r>
        <w:t xml:space="preserve">11. Gupta PK. Is the holmium:YAG laser the best intracorporeal</w:t>
      </w:r>
      <w:r>
        <w:t xml:space="preserve"> </w:t>
      </w:r>
      <w:r>
        <w:t xml:space="preserve">lithotripter for the ureter? A 3-year retrospective study. J Endourol.</w:t>
      </w:r>
      <w:r>
        <w:t xml:space="preserve"> </w:t>
      </w:r>
      <w:r>
        <w:t xml:space="preserve">2007;21(3):305-309.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insufficient follow-up for stricture</w:t>
      </w:r>
      <w:r>
        <w:t xml:space="preserve"> </w:t>
      </w:r>
      <w:r>
        <w:t xml:space="preserve">ascertainment.</w:t>
      </w:r>
    </w:p>
    <w:p>
      <w:pPr>
        <w:pStyle w:val="BodyText"/>
      </w:pPr>
      <w:r>
        <w:rPr>
          <w:bCs/>
          <w:b/>
        </w:rPr>
        <w:t xml:space="preserve">Ineligible report (n = 1)</w:t>
      </w:r>
    </w:p>
    <w:p>
      <w:pPr>
        <w:pStyle w:val="BodyText"/>
      </w:pPr>
      <w:r>
        <w:t xml:space="preserve">12. Mundada A, Nath R, Barua SK, et al. Risk factors for the</w:t>
      </w:r>
      <w:r>
        <w:t xml:space="preserve"> </w:t>
      </w:r>
      <w:r>
        <w:t xml:space="preserve">development of ureteric stricture post ureteroscopic lithotripsy: a</w:t>
      </w:r>
      <w:r>
        <w:t xml:space="preserve"> </w:t>
      </w:r>
      <w:r>
        <w:t xml:space="preserve">retrospective analysis from a tertiary care centre. Annals of Urology.</w:t>
      </w:r>
      <w:r>
        <w:t xml:space="preserve"> </w:t>
      </w:r>
      <w:r>
        <w:t xml:space="preserve">2025;11(1).</w:t>
      </w:r>
      <w:r>
        <w:t xml:space="preserve"> </w:t>
      </w:r>
      <w:r>
        <w:rPr>
          <w:iCs/>
          <w:i/>
        </w:rPr>
        <w:t xml:space="preserve">Reason:</w:t>
      </w:r>
      <w:r>
        <w:t xml:space="preserve"> </w:t>
      </w:r>
      <w:r>
        <w:t xml:space="preserve">journal credibility and indexing could not be</w:t>
      </w:r>
      <w:r>
        <w:t xml:space="preserve"> </w:t>
      </w:r>
      <w:r>
        <w:t xml:space="preserve">reliably verified.</w:t>
      </w:r>
    </w:p>
    <w:p>
      <w:pPr>
        <w:pStyle w:val="BodyText"/>
      </w:pPr>
      <w:r>
        <w:rPr>
          <w:bCs/>
          <w:b/>
        </w:rPr>
        <w:t xml:space="preserve">Supplementary File 3.</w:t>
      </w:r>
      <w:r>
        <w:t xml:space="preserve"> </w:t>
      </w:r>
      <w:r>
        <w:t xml:space="preserve">Risk-of-bias assessment (ROBINS-I and RoB 2)</w:t>
      </w:r>
      <w:r>
        <w:t xml:space="preserve"> </w:t>
      </w:r>
      <w:r>
        <w:t xml:space="preserve">with figures..</w:t>
      </w:r>
    </w:p>
    <w:p>
      <w:pPr>
        <w:pStyle w:val="BodyText"/>
      </w:pPr>
      <w:r>
        <w:rPr>
          <w:bCs/>
          <w:b/>
        </w:rPr>
        <w:t xml:space="preserve">Randomised trials (RoB 2), k = 6</w:t>
      </w:r>
    </w:p>
    <w:tbl>
      <w:tblPr>
        <w:tblStyle w:val="Table"/>
        <w:tblW w:type="pct" w:w="4910"/>
        <w:tblLook w:firstRow="1" w:lastRow="0" w:firstColumn="0" w:lastColumn="0" w:noHBand="0" w:noVBand="0" w:val="0020"/>
        <w:jc w:val="start"/>
      </w:tblPr>
      <w:tblGrid>
        <w:gridCol w:w="927"/>
        <w:gridCol w:w="642"/>
        <w:gridCol w:w="642"/>
        <w:gridCol w:w="642"/>
        <w:gridCol w:w="642"/>
        <w:gridCol w:w="642"/>
        <w:gridCol w:w="998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Study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(Year)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Overall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Main concern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Binbay</w:t>
            </w:r>
            <w:r>
              <w:t xml:space="preserve"> </w:t>
            </w:r>
            <w:r>
              <w:t xml:space="preserve">(2011)</w:t>
            </w:r>
            <w:r>
              <w:rPr>
                <w:vertAlign w:val="superscript"/>
              </w:rP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Some concerns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Randomisation detail limited;</w:t>
            </w:r>
            <w:r>
              <w:t xml:space="preserve"> </w:t>
            </w:r>
            <w:r>
              <w:t xml:space="preserve">stricture a secondary outcome with</w:t>
            </w:r>
            <w:r>
              <w:t xml:space="preserve"> </w:t>
            </w:r>
            <w:r>
              <w:t xml:space="preserve">modest follow-up.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L</w:t>
            </w:r>
            <w:r>
              <w:t xml:space="preserve"> </w:t>
            </w:r>
            <w:r>
              <w:t xml:space="preserve">(2015)</w:t>
            </w:r>
            <w:r>
              <w:rPr>
                <w:vertAlign w:val="superscript"/>
              </w:rP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Some concerns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Stricture secondary to efficacy</w:t>
            </w:r>
            <w:r>
              <w:t xml:space="preserve"> </w:t>
            </w:r>
            <w:r>
              <w:t xml:space="preserve">endpoints; randomisation detail</w:t>
            </w:r>
            <w:r>
              <w:t xml:space="preserve"> </w:t>
            </w:r>
            <w:r>
              <w:t xml:space="preserve">limited.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Aykanat</w:t>
            </w:r>
            <w:r>
              <w:t xml:space="preserve"> </w:t>
            </w:r>
            <w:r>
              <w:t xml:space="preserve">(2022)</w:t>
            </w:r>
            <w:r>
              <w:rPr>
                <w:vertAlign w:val="superscript"/>
              </w:rP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Well conducted; 12-month</w:t>
            </w:r>
            <w:r>
              <w:t xml:space="preserve"> </w:t>
            </w:r>
            <w:r>
              <w:t xml:space="preserve">CT-urography ascertainment. Renal</w:t>
            </w:r>
            <w:r>
              <w:t xml:space="preserve"> </w:t>
            </w:r>
            <w:r>
              <w:t xml:space="preserve">cohort affects applicability, not</w:t>
            </w:r>
            <w:r>
              <w:t xml:space="preserve"> </w:t>
            </w:r>
            <w:r>
              <w:t xml:space="preserve">bias.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Ulvik</w:t>
            </w:r>
            <w:r>
              <w:t xml:space="preserve"> </w:t>
            </w:r>
            <w:r>
              <w:t xml:space="preserve">(2022)</w:t>
            </w:r>
            <w:r>
              <w:rPr>
                <w:vertAlign w:val="superscript"/>
              </w:rP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Some concerns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Imaging-confirmed; complete within a</w:t>
            </w:r>
            <w:r>
              <w:t xml:space="preserve"> </w:t>
            </w:r>
            <w:r>
              <w:t xml:space="preserve">short (3-month) follow-up window;</w:t>
            </w:r>
            <w:r>
              <w:t xml:space="preserve"> </w:t>
            </w:r>
            <w:r>
              <w:t xml:space="preserve">zero events.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</w:t>
            </w:r>
            <w:r>
              <w:t xml:space="preserve"> </w:t>
            </w:r>
            <w:r>
              <w:t xml:space="preserve">(2023)</w:t>
            </w:r>
            <w:r>
              <w:rPr>
                <w:vertAlign w:val="superscript"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Some concerns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Randomised with a CONSORT flow</w:t>
            </w:r>
            <w:r>
              <w:t xml:space="preserve"> </w:t>
            </w:r>
            <w:r>
              <w:t xml:space="preserve">diagram, but sequence generation and</w:t>
            </w:r>
            <w:r>
              <w:t xml:space="preserve"> </w:t>
            </w:r>
            <w:r>
              <w:t xml:space="preserve">allocation concealment are not</w:t>
            </w:r>
            <w:r>
              <w:t xml:space="preserve"> </w:t>
            </w:r>
            <w:r>
              <w:t xml:space="preserve">reported, and no protocol or</w:t>
            </w:r>
            <w:r>
              <w:t xml:space="preserve"> </w:t>
            </w:r>
            <w:r>
              <w:t xml:space="preserve">registration is available.</w:t>
            </w:r>
            <w:r>
              <w:t xml:space="preserve"> </w:t>
            </w:r>
            <w:r>
              <w:t xml:space="preserve">Imaging-confirmed outcome; 11 of 489</w:t>
            </w:r>
            <w:r>
              <w:t xml:space="preserve"> </w:t>
            </w:r>
            <w:r>
              <w:t xml:space="preserve">lost to follow-up.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Aesoy</w:t>
            </w:r>
            <w:r>
              <w:t xml:space="preserve"> </w:t>
            </w:r>
            <w:r>
              <w:t xml:space="preserve">(2026)</w:t>
            </w:r>
            <w:r>
              <w:rPr>
                <w:vertAlign w:val="superscript"/>
              </w:rPr>
              <w:t xml:space="preserve">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Computer-generated sequence with</w:t>
            </w:r>
            <w:r>
              <w:t xml:space="preserve"> </w:t>
            </w:r>
            <w:r>
              <w:t xml:space="preserve">permuted blocks, allocation</w:t>
            </w:r>
            <w:r>
              <w:t xml:space="preserve"> </w:t>
            </w:r>
            <w:r>
              <w:t xml:space="preserve">concealed by sequentially numbered</w:t>
            </w:r>
            <w:r>
              <w:t xml:space="preserve"> </w:t>
            </w:r>
            <w:r>
              <w:t xml:space="preserve">opaque sealed envelopes prepared by</w:t>
            </w:r>
            <w:r>
              <w:t xml:space="preserve"> </w:t>
            </w:r>
            <w:r>
              <w:t xml:space="preserve">staff not involved in enrolment;</w:t>
            </w:r>
            <w:r>
              <w:t xml:space="preserve"> </w:t>
            </w:r>
            <w:r>
              <w:t xml:space="preserve">surgeons blinded until allocation.</w:t>
            </w:r>
            <w:r>
              <w:t xml:space="preserve"> </w:t>
            </w:r>
            <w:r>
              <w:t xml:space="preserve">Radiologists blinded to allocation.</w:t>
            </w:r>
            <w:r>
              <w:t xml:space="preserve"> </w:t>
            </w:r>
            <w:r>
              <w:t xml:space="preserve">No losses to follow-up. Registered</w:t>
            </w:r>
            <w:r>
              <w:t xml:space="preserve"> </w:t>
            </w:r>
            <w:r>
              <w:t xml:space="preserve">(NCT05697250). Renal cohort with</w:t>
            </w:r>
            <w:r>
              <w:t xml:space="preserve"> </w:t>
            </w:r>
            <w:r>
              <w:t xml:space="preserve">3-month follow-up affects</w:t>
            </w:r>
            <w:r>
              <w:t xml:space="preserve"> </w:t>
            </w:r>
            <w:r>
              <w:t xml:space="preserve">applicability, not bias.</w:t>
            </w:r>
          </w:p>
        </w:tc>
      </w:tr>
    </w:tbl>
    <w:p>
      <w:pPr>
        <w:pStyle w:val="BodyText"/>
      </w:pPr>
      <w:r>
        <w:rPr>
          <w:iCs/>
          <w:i/>
        </w:rPr>
        <w:t xml:space="preserve">RoB 2 domains: D1, randomisation process; D2, deviations from intended</w:t>
      </w:r>
      <w:r>
        <w:rPr>
          <w:iCs/>
          <w:i/>
        </w:rPr>
        <w:t xml:space="preserve"> </w:t>
      </w:r>
      <w:r>
        <w:rPr>
          <w:iCs/>
          <w:i/>
        </w:rPr>
        <w:t xml:space="preserve">interventions; D3, missing outcome data; D4, measurement of the outcome;</w:t>
      </w:r>
      <w:r>
        <w:rPr>
          <w:iCs/>
          <w:i/>
        </w:rPr>
        <w:t xml:space="preserve"> </w:t>
      </w:r>
      <w:r>
        <w:rPr>
          <w:iCs/>
          <w:i/>
        </w:rPr>
        <w:t xml:space="preserve">D5, selection of the reported result. Judgements: L, low; S, some</w:t>
      </w:r>
      <w:r>
        <w:rPr>
          <w:iCs/>
          <w:i/>
        </w:rPr>
        <w:t xml:space="preserve"> </w:t>
      </w:r>
      <w:r>
        <w:rPr>
          <w:iCs/>
          <w:i/>
        </w:rPr>
        <w:t xml:space="preserve">concerns; H, high. Two trials were rated low and four raised some</w:t>
      </w:r>
      <w:r>
        <w:rPr>
          <w:iCs/>
          <w:i/>
        </w:rPr>
        <w:t xml:space="preserve"> </w:t>
      </w:r>
      <w:r>
        <w:rPr>
          <w:iCs/>
          <w:i/>
        </w:rPr>
        <w:t xml:space="preserve">concerns.</w:t>
      </w:r>
    </w:p>
    <w:p>
      <w:pPr>
        <w:pStyle w:val="BodyText"/>
      </w:pPr>
      <w:r>
        <w:rPr>
          <w:bCs/>
          <w:b/>
        </w:rPr>
        <w:t xml:space="preserve">Non-randomised studies (ROBINS-I), k = 25</w:t>
      </w:r>
    </w:p>
    <w:tbl>
      <w:tblPr>
        <w:tblStyle w:val="Table"/>
        <w:tblW w:type="pct" w:w="4922"/>
        <w:tblLook w:firstRow="1" w:lastRow="0" w:firstColumn="0" w:lastColumn="0" w:noHBand="0" w:noVBand="0" w:val="0020"/>
        <w:jc w:val="start"/>
      </w:tblPr>
      <w:tblGrid>
        <w:gridCol w:w="804"/>
        <w:gridCol w:w="556"/>
        <w:gridCol w:w="556"/>
        <w:gridCol w:w="556"/>
        <w:gridCol w:w="556"/>
        <w:gridCol w:w="556"/>
        <w:gridCol w:w="556"/>
        <w:gridCol w:w="556"/>
        <w:gridCol w:w="866"/>
        <w:gridCol w:w="222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Study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(Year)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Overall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Main concern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Cheung</w:t>
            </w:r>
            <w:r>
              <w:t xml:space="preserve"> </w:t>
            </w:r>
            <w:r>
              <w:t xml:space="preserve">(2001)</w:t>
            </w:r>
            <w:r>
              <w:rPr>
                <w:vertAlign w:val="superscript"/>
              </w:rP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Prospective, imaging ascertainment;</w:t>
            </w:r>
            <w:r>
              <w:t xml:space="preserve"> </w:t>
            </w:r>
            <w:r>
              <w:t xml:space="preserve">3-month primary imaging window.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Parker</w:t>
            </w:r>
            <w:r>
              <w:t xml:space="preserve"> </w:t>
            </w:r>
            <w:r>
              <w:t xml:space="preserve">(2004)</w:t>
            </w:r>
            <w:r>
              <w:rPr>
                <w:vertAlign w:val="superscript"/>
              </w:rP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 cost study; stricture</w:t>
            </w:r>
            <w:r>
              <w:t xml:space="preserve"> </w:t>
            </w:r>
            <w:r>
              <w:t xml:space="preserve">ascertained incidentally.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Jiang</w:t>
            </w:r>
            <w:r>
              <w:t xml:space="preserve"> </w:t>
            </w:r>
            <w:r>
              <w:t xml:space="preserve">(2007)</w:t>
            </w:r>
            <w:r>
              <w:rPr>
                <w:vertAlign w:val="superscript"/>
              </w:rP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Prospective; mixed follow-up</w:t>
            </w:r>
            <w:r>
              <w:t xml:space="preserve"> </w:t>
            </w:r>
            <w:r>
              <w:t xml:space="preserve">windows.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Gdor</w:t>
            </w:r>
            <w:r>
              <w:t xml:space="preserve"> </w:t>
            </w:r>
            <w:r>
              <w:t xml:space="preserve">(2008)</w:t>
            </w:r>
            <w:r>
              <w:rPr>
                <w:vertAlign w:val="superscript"/>
              </w:rP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retrospective management</w:t>
            </w:r>
            <w:r>
              <w:t xml:space="preserve"> </w:t>
            </w:r>
            <w:r>
              <w:t xml:space="preserve">series; within-stratum success is</w:t>
            </w:r>
            <w:r>
              <w:t xml:space="preserve"> </w:t>
            </w:r>
            <w:r>
              <w:t xml:space="preserve">descriptive.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</w:t>
            </w:r>
            <w:r>
              <w:t xml:space="preserve"> </w:t>
            </w:r>
            <w:r>
              <w:t xml:space="preserve">(2015)</w:t>
            </w:r>
            <w:r>
              <w:rPr>
                <w:vertAlign w:val="superscript"/>
              </w:rP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 impacted-stone cohort;</w:t>
            </w:r>
            <w:r>
              <w:t xml:space="preserve"> </w:t>
            </w:r>
            <w:r>
              <w:t xml:space="preserve">6-month follow-up.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Srougi</w:t>
            </w:r>
            <w:r>
              <w:t xml:space="preserve"> </w:t>
            </w:r>
            <w:r>
              <w:t xml:space="preserve">(2015)</w:t>
            </w:r>
            <w:r>
              <w:rPr>
                <w:vertAlign w:val="superscript"/>
              </w:rP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Retrospective, but the incidence</w:t>
            </w:r>
            <w:r>
              <w:t xml:space="preserve"> </w:t>
            </w:r>
            <w:r>
              <w:t xml:space="preserve">denominator is the full consecutive</w:t>
            </w:r>
            <w:r>
              <w:t xml:space="preserve"> </w:t>
            </w:r>
            <w:r>
              <w:t xml:space="preserve">surgical volume.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</w:t>
            </w:r>
            <w:r>
              <w:t xml:space="preserve"> </w:t>
            </w:r>
            <w:r>
              <w:t xml:space="preserve">(2017)</w:t>
            </w:r>
            <w:r>
              <w:rPr>
                <w:vertAlign w:val="superscript"/>
              </w:rP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Retrospective; median 30-month</w:t>
            </w:r>
            <w:r>
              <w:t xml:space="preserve"> </w:t>
            </w:r>
            <w:r>
              <w:t xml:space="preserve">follow-up.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Darwish</w:t>
            </w:r>
            <w:r>
              <w:t xml:space="preserve"> </w:t>
            </w:r>
            <w:r>
              <w:t xml:space="preserve">(2019)</w:t>
            </w:r>
            <w:r>
              <w:rPr>
                <w:vertAlign w:val="superscript"/>
              </w:rP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Serious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laser and pneumatic exposure;</w:t>
            </w:r>
            <w:r>
              <w:t xml:space="preserve"> </w:t>
            </w:r>
            <w:r>
              <w:t xml:space="preserve">laser not cleanly separable.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Xiong</w:t>
            </w:r>
            <w:r>
              <w:t xml:space="preserve"> </w:t>
            </w:r>
            <w:r>
              <w:t xml:space="preserve">(2020)</w:t>
            </w:r>
            <w:r>
              <w:rPr>
                <w:vertAlign w:val="superscript"/>
              </w:rP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 management data;</w:t>
            </w:r>
            <w:r>
              <w:t xml:space="preserve"> </w:t>
            </w:r>
            <w:r>
              <w:t xml:space="preserve">within-stratum success reported</w:t>
            </w:r>
            <w:r>
              <w:t xml:space="preserve"> </w:t>
            </w:r>
            <w:r>
              <w:t xml:space="preserve">descriptively.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Al-Nabulsi</w:t>
            </w:r>
            <w:r>
              <w:t xml:space="preserve"> </w:t>
            </w:r>
            <w:r>
              <w:t xml:space="preserve">(2021)</w:t>
            </w:r>
            <w:r>
              <w:rPr>
                <w:vertAlign w:val="superscript"/>
              </w:rP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complete within a short</w:t>
            </w:r>
            <w:r>
              <w:t xml:space="preserve"> </w:t>
            </w:r>
            <w:r>
              <w:t xml:space="preserve">(3-month) follow-up window.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Shen</w:t>
            </w:r>
            <w:r>
              <w:t xml:space="preserve"> </w:t>
            </w:r>
            <w:r>
              <w:t xml:space="preserve">(2021)</w:t>
            </w:r>
            <w:r>
              <w:rPr>
                <w:vertAlign w:val="superscript"/>
              </w:rP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Retrospective, propensity-matched.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X</w:t>
            </w:r>
            <w:r>
              <w:t xml:space="preserve"> </w:t>
            </w:r>
            <w:r>
              <w:t xml:space="preserve">(2022)</w:t>
            </w:r>
            <w:r>
              <w:rPr>
                <w:vertAlign w:val="superscript"/>
              </w:rP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 reconstruction</w:t>
            </w:r>
            <w:r>
              <w:t xml:space="preserve"> </w:t>
            </w:r>
            <w:r>
              <w:t xml:space="preserve">series.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Hamamoto</w:t>
            </w:r>
            <w:r>
              <w:t xml:space="preserve"> </w:t>
            </w:r>
            <w:r>
              <w:t xml:space="preserve">(2023)</w:t>
            </w:r>
            <w:r>
              <w:rPr>
                <w:vertAlign w:val="superscript"/>
              </w:rP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prospective robotic</w:t>
            </w:r>
            <w:r>
              <w:t xml:space="preserve"> </w:t>
            </w:r>
            <w:r>
              <w:t xml:space="preserve">reconstruction series.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Yang</w:t>
            </w:r>
            <w:r>
              <w:t xml:space="preserve"> </w:t>
            </w:r>
            <w:r>
              <w:t xml:space="preserve">(2023)</w:t>
            </w:r>
            <w:r>
              <w:rPr>
                <w:vertAlign w:val="superscript"/>
              </w:rP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retrospective reconstruction</w:t>
            </w:r>
            <w:r>
              <w:t xml:space="preserve"> </w:t>
            </w:r>
            <w:r>
              <w:t xml:space="preserve">series.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</w:t>
            </w:r>
            <w:r>
              <w:t xml:space="preserve"> </w:t>
            </w:r>
            <w:r>
              <w:t xml:space="preserve">(2024)</w:t>
            </w:r>
            <w:r>
              <w:rPr>
                <w:vertAlign w:val="superscript"/>
              </w:rP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 risk-model derivation</w:t>
            </w:r>
            <w:r>
              <w:t xml:space="preserve"> </w:t>
            </w:r>
            <w:r>
              <w:t xml:space="preserve">cohort.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Inoue</w:t>
            </w:r>
            <w:r>
              <w:t xml:space="preserve"> </w:t>
            </w:r>
            <w:r>
              <w:t xml:space="preserve">(2024)</w:t>
            </w:r>
            <w:r>
              <w:rPr>
                <w:vertAlign w:val="superscript"/>
              </w:rP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Serious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Registry survey; per-case laser not</w:t>
            </w:r>
            <w:r>
              <w:t xml:space="preserve"> </w:t>
            </w:r>
            <w:r>
              <w:t xml:space="preserve">recorded; follow-up not reported;</w:t>
            </w:r>
            <w:r>
              <w:t xml:space="preserve"> </w:t>
            </w:r>
            <w:r>
              <w:t xml:space="preserve">dominant sample.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P</w:t>
            </w:r>
            <w:r>
              <w:t xml:space="preserve"> </w:t>
            </w:r>
            <w:r>
              <w:t xml:space="preserve">(2024)</w:t>
            </w:r>
            <w:r>
              <w:rPr>
                <w:vertAlign w:val="superscript"/>
              </w:rP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 risk-model derivation</w:t>
            </w:r>
            <w:r>
              <w:t xml:space="preserve"> </w:t>
            </w:r>
            <w:r>
              <w:t xml:space="preserve">cohort.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</w:t>
            </w:r>
            <w:r>
              <w:t xml:space="preserve"> </w:t>
            </w:r>
            <w:r>
              <w:t xml:space="preserve">(2025)</w:t>
            </w:r>
            <w:r>
              <w:rPr>
                <w:vertAlign w:val="superscript"/>
              </w:rP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retrospective cohort.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Castellani</w:t>
            </w:r>
            <w:r>
              <w:t xml:space="preserve"> </w:t>
            </w:r>
            <w:r>
              <w:t xml:space="preserve">(2025)</w:t>
            </w:r>
            <w:r>
              <w:rPr>
                <w:vertAlign w:val="superscript"/>
              </w:rP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 renal RIRS cohort;</w:t>
            </w:r>
            <w:r>
              <w:t xml:space="preserve"> </w:t>
            </w:r>
            <w:r>
              <w:t xml:space="preserve">3-month follow-up; zero events.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Coman</w:t>
            </w:r>
            <w:r>
              <w:t xml:space="preserve"> </w:t>
            </w:r>
            <w:r>
              <w:t xml:space="preserve">(2025)</w:t>
            </w:r>
            <w:r>
              <w:rPr>
                <w:vertAlign w:val="superscript"/>
              </w:rP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reconstruction series; 1 of 9</w:t>
            </w:r>
            <w:r>
              <w:t xml:space="preserve"> </w:t>
            </w:r>
            <w:r>
              <w:t xml:space="preserve">non-lithotripsy aetiology,</w:t>
            </w:r>
            <w:r>
              <w:t xml:space="preserve"> </w:t>
            </w:r>
            <w:r>
              <w:t xml:space="preserve">identified and separable.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Patil</w:t>
            </w:r>
            <w:r>
              <w:t xml:space="preserve"> </w:t>
            </w:r>
            <w:r>
              <w:t xml:space="preserve">(2025)</w:t>
            </w:r>
            <w:r>
              <w:rPr>
                <w:vertAlign w:val="superscript"/>
              </w:rP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Prospective, ultrasound</w:t>
            </w:r>
            <w:r>
              <w:t xml:space="preserve"> </w:t>
            </w:r>
            <w:r>
              <w:t xml:space="preserve">ascertainment; follow-up limited to</w:t>
            </w:r>
            <w:r>
              <w:t xml:space="preserve"> </w:t>
            </w:r>
            <w:r>
              <w:t xml:space="preserve">3 months.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Villani</w:t>
            </w:r>
            <w:r>
              <w:t xml:space="preserve"> </w:t>
            </w:r>
            <w:r>
              <w:t xml:space="preserve">(2025)</w:t>
            </w:r>
            <w:r>
              <w:rPr>
                <w:vertAlign w:val="superscript"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 TFL cohort; complete</w:t>
            </w:r>
            <w:r>
              <w:t xml:space="preserve"> </w:t>
            </w:r>
            <w:r>
              <w:t xml:space="preserve">within a short follow-up window.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G</w:t>
            </w:r>
            <w:r>
              <w:t xml:space="preserve"> </w:t>
            </w:r>
            <w:r>
              <w:t xml:space="preserve">(2026)</w:t>
            </w:r>
            <w:r>
              <w:rPr>
                <w:vertAlign w:val="superscript"/>
              </w:rP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Serious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Referral-centre nomogram cohort;</w:t>
            </w:r>
            <w:r>
              <w:t xml:space="preserve"> </w:t>
            </w:r>
            <w:r>
              <w:t xml:space="preserve">follow-up not reported; case</w:t>
            </w:r>
            <w:r>
              <w:t xml:space="preserve"> </w:t>
            </w:r>
            <w:r>
              <w:t xml:space="preserve">enrichment.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Mohapatra</w:t>
            </w:r>
            <w:r>
              <w:t xml:space="preserve"> </w:t>
            </w:r>
            <w:r>
              <w:t xml:space="preserve">(2026)</w:t>
            </w:r>
            <w:r>
              <w:rPr>
                <w:vertAlign w:val="superscript"/>
              </w:rP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Serious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 comparative cohort;</w:t>
            </w:r>
            <w:r>
              <w:t xml:space="preserve"> </w:t>
            </w:r>
            <w:r>
              <w:t xml:space="preserve">follow-up not reported.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Nyheim</w:t>
            </w:r>
            <w:r>
              <w:t xml:space="preserve"> </w:t>
            </w:r>
            <w:r>
              <w:t xml:space="preserve">(2026)</w:t>
            </w:r>
            <w:r>
              <w:rPr>
                <w:vertAlign w:val="superscript"/>
              </w:rPr>
              <w:t xml:space="preserve">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Management series; index laser not</w:t>
            </w:r>
            <w:r>
              <w:t xml:space="preserve"> </w:t>
            </w:r>
            <w:r>
              <w:t xml:space="preserve">reported (affects applicability,</w:t>
            </w:r>
            <w:r>
              <w:t xml:space="preserve"> </w:t>
            </w:r>
            <w:r>
              <w:t xml:space="preserve">not the success proportion).</w:t>
            </w:r>
          </w:p>
        </w:tc>
      </w:tr>
    </w:tbl>
    <w:p>
      <w:pPr>
        <w:pStyle w:val="BodyText"/>
      </w:pPr>
      <w:r>
        <w:rPr>
          <w:iCs/>
          <w:i/>
        </w:rPr>
        <w:t xml:space="preserve">ROBINS-I domains: D1, confounding; D2, selection of participants; D3,</w:t>
      </w:r>
      <w:r>
        <w:rPr>
          <w:iCs/>
          <w:i/>
        </w:rPr>
        <w:t xml:space="preserve"> </w:t>
      </w:r>
      <w:r>
        <w:rPr>
          <w:iCs/>
          <w:i/>
        </w:rPr>
        <w:t xml:space="preserve">classification of interventions; D4, deviations from intended</w:t>
      </w:r>
      <w:r>
        <w:rPr>
          <w:iCs/>
          <w:i/>
        </w:rPr>
        <w:t xml:space="preserve"> </w:t>
      </w:r>
      <w:r>
        <w:rPr>
          <w:iCs/>
          <w:i/>
        </w:rPr>
        <w:t xml:space="preserve">interventions; D5, missing data; D6, measurement of outcomes; D7,</w:t>
      </w:r>
      <w:r>
        <w:rPr>
          <w:iCs/>
          <w:i/>
        </w:rPr>
        <w:t xml:space="preserve"> </w:t>
      </w:r>
      <w:r>
        <w:rPr>
          <w:iCs/>
          <w:i/>
        </w:rPr>
        <w:t xml:space="preserve">selection of the reported result. Judgements: L, low; M, moderate; Se,</w:t>
      </w:r>
      <w:r>
        <w:rPr>
          <w:iCs/>
          <w:i/>
        </w:rPr>
        <w:t xml:space="preserve"> </w:t>
      </w:r>
      <w:r>
        <w:rPr>
          <w:iCs/>
          <w:i/>
        </w:rPr>
        <w:t xml:space="preserve">serious; C, critical; NI, no information. For single-arm incidence</w:t>
      </w:r>
      <w:r>
        <w:rPr>
          <w:iCs/>
          <w:i/>
        </w:rPr>
        <w:t xml:space="preserve"> </w:t>
      </w:r>
      <w:r>
        <w:rPr>
          <w:iCs/>
          <w:i/>
        </w:rPr>
        <w:t xml:space="preserve">estimates, confounding (D1) and intervention deviations (D4) are</w:t>
      </w:r>
      <w:r>
        <w:rPr>
          <w:iCs/>
          <w:i/>
        </w:rPr>
        <w:t xml:space="preserve"> </w:t>
      </w:r>
      <w:r>
        <w:rPr>
          <w:iCs/>
          <w:i/>
        </w:rPr>
        <w:t xml:space="preserve">generally not applicable and are rated low. Twenty-one studies were</w:t>
      </w:r>
      <w:r>
        <w:rPr>
          <w:iCs/>
          <w:i/>
        </w:rPr>
        <w:t xml:space="preserve"> </w:t>
      </w:r>
      <w:r>
        <w:rPr>
          <w:iCs/>
          <w:i/>
        </w:rPr>
        <w:t xml:space="preserve">rated moderate and four serious.</w:t>
      </w:r>
    </w:p>
    <w:p>
      <w:pPr>
        <w:pStyle w:val="BodyText"/>
      </w:pPr>
      <w:r>
        <w:rPr>
          <w:bCs/>
          <w:b/>
        </w:rPr>
        <w:t xml:space="preserve">Risk-of-bias sensitivity analysis</w:t>
      </w:r>
    </w:p>
    <w:p>
      <w:pPr>
        <w:pStyle w:val="BodyText"/>
      </w:pPr>
      <w:r>
        <w:t xml:space="preserve">To test the influence of higher risk-of-bias studies on the primary</w:t>
      </w:r>
      <w:r>
        <w:t xml:space="preserve"> </w:t>
      </w:r>
      <w:r>
        <w:t xml:space="preserve">estimate, the primary incidence pool was re-pooled after excluding the</w:t>
      </w:r>
      <w:r>
        <w:t xml:space="preserve"> </w:t>
      </w:r>
      <w:r>
        <w:t xml:space="preserve">single serious-rated study within it (Li G 2026). The pooled incidence</w:t>
      </w:r>
      <w:r>
        <w:t xml:space="preserve"> </w:t>
      </w:r>
      <w:r>
        <w:t xml:space="preserve">moved from 2.97% (95% CI 1.82 to 4.82, k = 11) to 2.61% (95% CI 1.5 to</w:t>
      </w:r>
      <w:r>
        <w:t xml:space="preserve"> </w:t>
      </w:r>
      <w:r>
        <w:t xml:space="preserve">4.6, k = 10), with heterogeneity essentially unchanged. The estimate</w:t>
      </w:r>
      <w:r>
        <w:t xml:space="preserve"> </w:t>
      </w:r>
      <w:r>
        <w:t xml:space="preserve">remained within the original confidence interval, indicating that the</w:t>
      </w:r>
      <w:r>
        <w:t xml:space="preserve"> </w:t>
      </w:r>
      <w:r>
        <w:t xml:space="preserve">primary result is robust to exclusion of the highest risk-of-bias study.</w:t>
      </w:r>
      <w:r>
        <w:t xml:space="preserve"> </w:t>
      </w:r>
      <w:r>
        <w:t xml:space="preserve">No study was excluded from the main analysis on the basis of risk of</w:t>
      </w:r>
      <w:r>
        <w:t xml:space="preserve"> </w:t>
      </w:r>
      <w:r>
        <w:t xml:space="preserve">bias.</w:t>
      </w:r>
    </w:p>
    <w:p>
      <w:pPr>
        <w:pStyle w:val="BodyText"/>
      </w:pPr>
      <w:r>
        <w:rPr>
          <w:bCs/>
          <w:b/>
        </w:rPr>
        <w:t xml:space="preserve">Risk-of-bias figures</w:t>
      </w:r>
    </w:p>
    <w:p>
      <w:pPr>
        <w:pStyle w:val="BodyText"/>
      </w:pPr>
      <w:r>
        <w:rPr>
          <w:bCs/>
          <w:b/>
        </w:rPr>
        <w:t xml:space="preserve">Figure S1. Traffic-light plot, randomised trials (RoB 2).</w:t>
      </w:r>
    </w:p>
    <w:p>
      <w:pPr>
        <w:pStyle w:val="BodyText"/>
      </w:pPr>
      <w:r>
        <w:drawing>
          <wp:inline>
            <wp:extent cx="3600000" cy="159069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media/image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590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Figure S2. Domain-level summary, randomised trials (RoB 2).</w:t>
      </w:r>
    </w:p>
    <w:p>
      <w:pPr>
        <w:pStyle w:val="BodyText"/>
      </w:pPr>
      <w:r>
        <w:drawing>
          <wp:inline>
            <wp:extent cx="3600000" cy="125581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media/image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255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Figure S3. Traffic-light plot, non-randomised studies (ROBINS-I).</w:t>
      </w:r>
    </w:p>
    <w:p>
      <w:pPr>
        <w:pStyle w:val="BodyText"/>
      </w:pPr>
      <w:r>
        <w:drawing>
          <wp:inline>
            <wp:extent cx="3600000" cy="346988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media/image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469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Figure S4. Domain-level summary, non-randomised studies (ROBINS-I).</w:t>
      </w:r>
    </w:p>
    <w:p>
      <w:pPr>
        <w:pStyle w:val="BodyText"/>
      </w:pPr>
      <w:r>
        <w:drawing>
          <wp:inline>
            <wp:extent cx="3600000" cy="138139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media/image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381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Supplementary File 4.</w:t>
      </w:r>
      <w:r>
        <w:t xml:space="preserve"> </w:t>
      </w:r>
      <w:r>
        <w:t xml:space="preserve">GRADE Summary of Findings table.</w:t>
      </w:r>
    </w:p>
    <w:p>
      <w:pPr>
        <w:pStyle w:val="BodyText"/>
      </w:pPr>
      <w:r>
        <w:rPr>
          <w:bCs/>
          <w:b/>
        </w:rPr>
        <w:t xml:space="preserve">GRADE Summary of Findings: de novo ureteral stricture after</w:t>
      </w:r>
      <w:r>
        <w:rPr>
          <w:bCs/>
          <w:b/>
        </w:rPr>
        <w:t xml:space="preserve"> </w:t>
      </w:r>
      <w:r>
        <w:rPr>
          <w:bCs/>
          <w:b/>
        </w:rPr>
        <w:t xml:space="preserve">ureteroscopic laser lithotripsy</w:t>
      </w:r>
    </w:p>
    <w:tbl>
      <w:tblPr>
        <w:tblStyle w:val="Table"/>
        <w:tblW w:type="pct" w:w="4792"/>
        <w:tblLook w:firstRow="1" w:lastRow="0" w:firstColumn="0" w:lastColumn="0" w:noHBand="0" w:noVBand="0" w:val="0020"/>
        <w:jc w:val="start"/>
      </w:tblPr>
      <w:tblGrid>
        <w:gridCol w:w="1540"/>
        <w:gridCol w:w="770"/>
        <w:gridCol w:w="1540"/>
        <w:gridCol w:w="990"/>
        <w:gridCol w:w="27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icip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ants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udie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Pooled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estimate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(95% CI)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tainty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(GR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ADE)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Comments and reasons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for the rating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Incidence</w:t>
            </w:r>
            <w:r>
              <w:t xml:space="preserve"> </w:t>
            </w:r>
            <w:r>
              <w:t xml:space="preserve">of de novo</w:t>
            </w:r>
            <w:r>
              <w:t xml:space="preserve"> </w:t>
            </w:r>
            <w:r>
              <w:t xml:space="preserve">ureteral</w:t>
            </w:r>
            <w:r>
              <w:t xml:space="preserve"> </w:t>
            </w:r>
            <w:r>
              <w:t xml:space="preserve">stricture</w:t>
            </w:r>
            <w:r>
              <w:t xml:space="preserve"> </w:t>
            </w:r>
            <w:r>
              <w:t xml:space="preserve">(primary</w:t>
            </w:r>
            <w:r>
              <w:t xml:space="preserve"> </w:t>
            </w:r>
            <w:r>
              <w:t xml:space="preserve">pool,</w:t>
            </w:r>
            <w:r>
              <w:t xml:space="preserve"> </w:t>
            </w:r>
            <w:r>
              <w:t xml:space="preserve">ure</w:t>
            </w:r>
            <w:r>
              <w:t xml:space="preserve"> </w:t>
            </w:r>
            <w:r>
              <w:t xml:space="preserve">teral-stone</w:t>
            </w:r>
            <w:r>
              <w:t xml:space="preserve"> </w:t>
            </w:r>
            <w:r>
              <w:t xml:space="preserve">cohorts)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3097</w:t>
            </w:r>
            <w:r>
              <w:t xml:space="preserve"> </w:t>
            </w:r>
            <w:r>
              <w:t xml:space="preserve">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2.97% (1.82</w:t>
            </w:r>
            <w:r>
              <w:t xml:space="preserve"> </w:t>
            </w:r>
            <w:r>
              <w:t xml:space="preserve">to 4.82);</w:t>
            </w:r>
            <w:r>
              <w:t xml:space="preserve"> </w:t>
            </w:r>
            <w:r>
              <w:t xml:space="preserve">30 per 1000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⊕⊕⊕◯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MODE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Started high</w:t>
            </w:r>
            <w:r>
              <w:t xml:space="preserve"> </w:t>
            </w:r>
            <w:r>
              <w:t xml:space="preserve">(frequency and</w:t>
            </w:r>
            <w:r>
              <w:t xml:space="preserve"> </w:t>
            </w:r>
            <w:r>
              <w:t xml:space="preserve">prognosis framework).</w:t>
            </w:r>
            <w:r>
              <w:t xml:space="preserve"> </w:t>
            </w:r>
            <w:r>
              <w:t xml:space="preserve">Downgraded one level</w:t>
            </w:r>
            <w:r>
              <w:t xml:space="preserve"> </w:t>
            </w:r>
            <w:r>
              <w:t xml:space="preserve">for inconsistency (I²</w:t>
            </w:r>
            <w:r>
              <w:t xml:space="preserve"> </w:t>
            </w:r>
            <w:r>
              <w:t xml:space="preserve">= 78.8%, 95%</w:t>
            </w:r>
            <w:r>
              <w:t xml:space="preserve"> </w:t>
            </w:r>
            <w:r>
              <w:t xml:space="preserve">prediction interval</w:t>
            </w:r>
            <w:r>
              <w:t xml:space="preserve"> </w:t>
            </w:r>
            <w:r>
              <w:t xml:space="preserve">0.4 to 18.0%). Not</w:t>
            </w:r>
            <w:r>
              <w:t xml:space="preserve"> </w:t>
            </w:r>
            <w:r>
              <w:t xml:space="preserve">downgraded for risk of</w:t>
            </w:r>
            <w:r>
              <w:t xml:space="preserve"> </w:t>
            </w:r>
            <w:r>
              <w:t xml:space="preserve">bias (mostly moderate,</w:t>
            </w:r>
            <w:r>
              <w:t xml:space="preserve"> </w:t>
            </w:r>
            <w:r>
              <w:t xml:space="preserve">robust on sensitivity</w:t>
            </w:r>
            <w:r>
              <w:t xml:space="preserve"> </w:t>
            </w:r>
            <w:r>
              <w:t xml:space="preserve">analysis),</w:t>
            </w:r>
            <w:r>
              <w:t xml:space="preserve"> </w:t>
            </w:r>
            <w:r>
              <w:t xml:space="preserve">imprecision,</w:t>
            </w:r>
            <w:r>
              <w:t xml:space="preserve"> </w:t>
            </w:r>
            <w:r>
              <w:t xml:space="preserve">indirectness, or</w:t>
            </w:r>
            <w:r>
              <w:t xml:space="preserve"> </w:t>
            </w:r>
            <w:r>
              <w:t xml:space="preserve">publication bias</w:t>
            </w:r>
            <w:r>
              <w:t xml:space="preserve"> </w:t>
            </w:r>
            <w:r>
              <w:t xml:space="preserve">(Peters p = 0.64).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Incidence</w:t>
            </w:r>
            <w:r>
              <w:t xml:space="preserve"> </w:t>
            </w:r>
            <w:r>
              <w:t xml:space="preserve">by laser</w:t>
            </w:r>
            <w:r>
              <w:t xml:space="preserve"> </w:t>
            </w:r>
            <w:r>
              <w:t xml:space="preserve">type</w:t>
            </w:r>
            <w:r>
              <w:t xml:space="preserve"> </w:t>
            </w:r>
            <w:r>
              <w:t xml:space="preserve">(Ho:YAG</w:t>
            </w:r>
            <w:r>
              <w:t xml:space="preserve"> </w:t>
            </w:r>
            <w:r>
              <w:t xml:space="preserve">versus TFL)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5649</w:t>
            </w:r>
            <w:r>
              <w:t xml:space="preserve"> </w:t>
            </w:r>
            <w:r>
              <w:t xml:space="preserve">(22</w:t>
            </w:r>
            <w:r>
              <w:t xml:space="preserve"> </w:t>
            </w:r>
            <w:r>
              <w:t xml:space="preserve">a</w:t>
            </w:r>
            <w:r>
              <w:t xml:space="preserve"> </w:t>
            </w:r>
            <w:r>
              <w:t xml:space="preserve">rms)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</w:t>
            </w:r>
            <w:r>
              <w:t xml:space="preserve"> </w:t>
            </w:r>
            <w:r>
              <w:t xml:space="preserve">2.68% (1.77</w:t>
            </w:r>
            <w:r>
              <w:t xml:space="preserve"> </w:t>
            </w:r>
            <w:r>
              <w:t xml:space="preserve">to 4.05);</w:t>
            </w:r>
            <w:r>
              <w:t xml:space="preserve"> </w:t>
            </w:r>
            <w:r>
              <w:t xml:space="preserve">TFL 1.76%</w:t>
            </w:r>
            <w:r>
              <w:t xml:space="preserve"> </w:t>
            </w:r>
            <w:r>
              <w:t xml:space="preserve">(0.35 to</w:t>
            </w:r>
            <w:r>
              <w:t xml:space="preserve"> </w:t>
            </w:r>
            <w:r>
              <w:t xml:space="preserve">8.34); no</w:t>
            </w:r>
            <w:r>
              <w:t xml:space="preserve"> </w:t>
            </w:r>
            <w:r>
              <w:t xml:space="preserve">significant</w:t>
            </w:r>
            <w:r>
              <w:t xml:space="preserve"> </w:t>
            </w:r>
            <w:r>
              <w:t xml:space="preserve">difference</w:t>
            </w:r>
            <w:r>
              <w:t xml:space="preserve"> </w:t>
            </w:r>
            <w:r>
              <w:t xml:space="preserve">(χ² = 0.25,</w:t>
            </w:r>
            <w:r>
              <w:t xml:space="preserve"> </w:t>
            </w:r>
            <w:r>
              <w:t xml:space="preserve">p = 0.61)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⊕⊕◯◯</w:t>
            </w:r>
          </w:p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*LOW**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Downgraded two levels:</w:t>
            </w:r>
            <w:r>
              <w:t xml:space="preserve"> </w:t>
            </w:r>
            <w:r>
              <w:t xml:space="preserve">risk of bias</w:t>
            </w:r>
            <w:r>
              <w:t xml:space="preserve"> </w:t>
            </w:r>
            <w:r>
              <w:t xml:space="preserve">(follow-up</w:t>
            </w:r>
            <w:r>
              <w:t xml:space="preserve"> </w:t>
            </w:r>
            <w:r>
              <w:t xml:space="preserve">confounding, all TFL</w:t>
            </w:r>
            <w:r>
              <w:t xml:space="preserve"> </w:t>
            </w:r>
            <w:r>
              <w:t xml:space="preserve">cohorts 3-month</w:t>
            </w:r>
            <w:r>
              <w:t xml:space="preserve"> </w:t>
            </w:r>
            <w:r>
              <w:t xml:space="preserve">follow-up) and</w:t>
            </w:r>
            <w:r>
              <w:t xml:space="preserve"> </w:t>
            </w:r>
            <w:r>
              <w:t xml:space="preserve">imprecision (TFL k =</w:t>
            </w:r>
            <w:r>
              <w:t xml:space="preserve"> </w:t>
            </w:r>
            <w:r>
              <w:t xml:space="preserve">4, two zero-event</w:t>
            </w:r>
            <w:r>
              <w:t xml:space="preserve"> </w:t>
            </w:r>
            <w:r>
              <w:t xml:space="preserve">studies, CI 0.35 to</w:t>
            </w:r>
            <w:r>
              <w:t xml:space="preserve"> </w:t>
            </w:r>
            <w:r>
              <w:t xml:space="preserve">8.34). Not downgraded</w:t>
            </w:r>
            <w:r>
              <w:t xml:space="preserve"> </w:t>
            </w:r>
            <w:r>
              <w:t xml:space="preserve">for inconsistency,</w:t>
            </w:r>
            <w:r>
              <w:t xml:space="preserve"> </w:t>
            </w:r>
            <w:r>
              <w:t xml:space="preserve">because the</w:t>
            </w:r>
            <w:r>
              <w:t xml:space="preserve"> </w:t>
            </w:r>
            <w:r>
              <w:t xml:space="preserve">within-subgroup I²</w:t>
            </w:r>
            <w:r>
              <w:t xml:space="preserve"> </w:t>
            </w:r>
            <w:r>
              <w:t xml:space="preserve">reflects variation in</w:t>
            </w:r>
            <w:r>
              <w:t xml:space="preserve"> </w:t>
            </w:r>
            <w:r>
              <w:t xml:space="preserve">underlying incidence</w:t>
            </w:r>
            <w:r>
              <w:t xml:space="preserve"> </w:t>
            </w:r>
            <w:r>
              <w:t xml:space="preserve">rather than</w:t>
            </w:r>
            <w:r>
              <w:t xml:space="preserve"> </w:t>
            </w:r>
            <w:r>
              <w:t xml:space="preserve">inconsistency of the</w:t>
            </w:r>
            <w:r>
              <w:t xml:space="preserve"> </w:t>
            </w:r>
            <w:r>
              <w:t xml:space="preserve">comparison, and the</w:t>
            </w:r>
            <w:r>
              <w:t xml:space="preserve"> </w:t>
            </w:r>
            <w:r>
              <w:t xml:space="preserve">test for subgroup</w:t>
            </w:r>
            <w:r>
              <w:t xml:space="preserve"> </w:t>
            </w:r>
            <w:r>
              <w:t xml:space="preserve">difference was</w:t>
            </w:r>
            <w:r>
              <w:t xml:space="preserve"> </w:t>
            </w:r>
            <w:r>
              <w:t xml:space="preserve">consistent (χ² = 0.25,</w:t>
            </w:r>
            <w:r>
              <w:t xml:space="preserve"> </w:t>
            </w:r>
            <w:r>
              <w:t xml:space="preserve">p = 0.61). Supports no</w:t>
            </w:r>
            <w:r>
              <w:t xml:space="preserve"> </w:t>
            </w:r>
            <w:r>
              <w:t xml:space="preserve">demonstrable</w:t>
            </w:r>
            <w:r>
              <w:t xml:space="preserve"> </w:t>
            </w:r>
            <w:r>
              <w:t xml:space="preserve">difference, not</w:t>
            </w:r>
            <w:r>
              <w:t xml:space="preserve"> </w:t>
            </w:r>
            <w:r>
              <w:t xml:space="preserve">equivalence.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Endoscopic</w:t>
            </w:r>
            <w:r>
              <w:t xml:space="preserve"> </w:t>
            </w:r>
            <w:r>
              <w:t xml:space="preserve">management</w:t>
            </w:r>
            <w:r>
              <w:t xml:space="preserve"> </w:t>
            </w:r>
            <w:r>
              <w:t xml:space="preserve">success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92</w:t>
            </w:r>
            <w:r>
              <w:t xml:space="preserve"> </w:t>
            </w:r>
            <w:r>
              <w:t xml:space="preserve">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60.87%</w:t>
            </w:r>
            <w:r>
              <w:t xml:space="preserve"> </w:t>
            </w:r>
            <w:r>
              <w:t xml:space="preserve">(50.6 to</w:t>
            </w:r>
            <w:r>
              <w:t xml:space="preserve"> </w:t>
            </w:r>
            <w:r>
              <w:t xml:space="preserve">70.3)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⊕⊕⊕◯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MODE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Consistent (I² = 0%, p</w:t>
            </w:r>
            <w:r>
              <w:t xml:space="preserve"> </w:t>
            </w:r>
            <w:r>
              <w:t xml:space="preserve">= 0.80). Downgraded</w:t>
            </w:r>
            <w:r>
              <w:t xml:space="preserve"> </w:t>
            </w:r>
            <w:r>
              <w:t xml:space="preserve">one level for</w:t>
            </w:r>
            <w:r>
              <w:t xml:space="preserve"> </w:t>
            </w:r>
            <w:r>
              <w:t xml:space="preserve">imprecision (4</w:t>
            </w:r>
            <w:r>
              <w:t xml:space="preserve"> </w:t>
            </w:r>
            <w:r>
              <w:t xml:space="preserve">studies, 92 patients,</w:t>
            </w:r>
            <w:r>
              <w:t xml:space="preserve"> </w:t>
            </w:r>
            <w:r>
              <w:t xml:space="preserve">CI 50.6 to 70.3). Not</w:t>
            </w:r>
            <w:r>
              <w:t xml:space="preserve"> </w:t>
            </w:r>
            <w:r>
              <w:t xml:space="preserve">downgraded for risk of</w:t>
            </w:r>
            <w:r>
              <w:t xml:space="preserve"> </w:t>
            </w:r>
            <w:r>
              <w:t xml:space="preserve">bias: the ROBINS-I</w:t>
            </w:r>
            <w:r>
              <w:t xml:space="preserve"> </w:t>
            </w:r>
            <w:r>
              <w:t xml:space="preserve">concerns in these</w:t>
            </w:r>
            <w:r>
              <w:t xml:space="preserve"> </w:t>
            </w:r>
            <w:r>
              <w:t xml:space="preserve">series relate to</w:t>
            </w:r>
            <w:r>
              <w:t xml:space="preserve"> </w:t>
            </w:r>
            <w:r>
              <w:t xml:space="preserve">confounding by</w:t>
            </w:r>
            <w:r>
              <w:t xml:space="preserve"> </w:t>
            </w:r>
            <w:r>
              <w:t xml:space="preserve">indication across</w:t>
            </w:r>
            <w:r>
              <w:t xml:space="preserve"> </w:t>
            </w:r>
            <w:r>
              <w:t xml:space="preserve">strata, which this</w:t>
            </w:r>
            <w:r>
              <w:t xml:space="preserve"> </w:t>
            </w:r>
            <w:r>
              <w:t xml:space="preserve">review does not</w:t>
            </w:r>
            <w:r>
              <w:t xml:space="preserve"> </w:t>
            </w:r>
            <w:r>
              <w:t xml:space="preserve">compare. The</w:t>
            </w:r>
            <w:r>
              <w:t xml:space="preserve"> </w:t>
            </w:r>
            <w:r>
              <w:t xml:space="preserve">within-stratum success</w:t>
            </w:r>
            <w:r>
              <w:t xml:space="preserve"> </w:t>
            </w:r>
            <w:r>
              <w:t xml:space="preserve">proportion is</w:t>
            </w:r>
            <w:r>
              <w:t xml:space="preserve"> </w:t>
            </w:r>
            <w:r>
              <w:t xml:space="preserve">descriptive and not</w:t>
            </w:r>
            <w:r>
              <w:t xml:space="preserve"> </w:t>
            </w:r>
            <w:r>
              <w:t xml:space="preserve">subject to that</w:t>
            </w:r>
            <w:r>
              <w:t xml:space="preserve"> </w:t>
            </w:r>
            <w:r>
              <w:t xml:space="preserve">confounding.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</w:t>
            </w:r>
            <w:r>
              <w:t xml:space="preserve"> </w:t>
            </w:r>
            <w:r>
              <w:t xml:space="preserve">onstruction</w:t>
            </w:r>
            <w:r>
              <w:t xml:space="preserve"> </w:t>
            </w:r>
            <w:r>
              <w:t xml:space="preserve">success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  <w:r>
              <w:t xml:space="preserve"> </w:t>
            </w:r>
            <w:r>
              <w:t xml:space="preserve">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95.20%</w:t>
            </w:r>
            <w:r>
              <w:t xml:space="preserve"> </w:t>
            </w:r>
            <w:r>
              <w:t xml:space="preserve">(89.7 to</w:t>
            </w:r>
            <w:r>
              <w:t xml:space="preserve"> </w:t>
            </w:r>
            <w:r>
              <w:t xml:space="preserve">97.8)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⊕⊕⊕◯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MODE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Consistent (I² = 0%, p</w:t>
            </w:r>
            <w:r>
              <w:t xml:space="preserve"> </w:t>
            </w:r>
            <w:r>
              <w:t xml:space="preserve">= 0.52). Downgraded</w:t>
            </w:r>
            <w:r>
              <w:t xml:space="preserve"> </w:t>
            </w:r>
            <w:r>
              <w:t xml:space="preserve">one level for</w:t>
            </w:r>
            <w:r>
              <w:t xml:space="preserve"> </w:t>
            </w:r>
            <w:r>
              <w:t xml:space="preserve">imprecision (7</w:t>
            </w:r>
            <w:r>
              <w:t xml:space="preserve"> </w:t>
            </w:r>
            <w:r>
              <w:t xml:space="preserve">studies, 125</w:t>
            </w:r>
            <w:r>
              <w:t xml:space="preserve"> </w:t>
            </w:r>
            <w:r>
              <w:t xml:space="preserve">patients). Not</w:t>
            </w:r>
            <w:r>
              <w:t xml:space="preserve"> </w:t>
            </w:r>
            <w:r>
              <w:t xml:space="preserve">downgraded for risk of</w:t>
            </w:r>
            <w:r>
              <w:t xml:space="preserve"> </w:t>
            </w:r>
            <w:r>
              <w:t xml:space="preserve">bias: as above, the</w:t>
            </w:r>
            <w:r>
              <w:t xml:space="preserve"> </w:t>
            </w:r>
            <w:r>
              <w:t xml:space="preserve">within-stratum success</w:t>
            </w:r>
            <w:r>
              <w:t xml:space="preserve"> </w:t>
            </w:r>
            <w:r>
              <w:t xml:space="preserve">proportion is</w:t>
            </w:r>
            <w:r>
              <w:t xml:space="preserve"> </w:t>
            </w:r>
            <w:r>
              <w:t xml:space="preserve">descriptive and not</w:t>
            </w:r>
            <w:r>
              <w:t xml:space="preserve"> </w:t>
            </w:r>
            <w:r>
              <w:t xml:space="preserve">subject to confounding</w:t>
            </w:r>
            <w:r>
              <w:t xml:space="preserve"> </w:t>
            </w:r>
            <w:r>
              <w:t xml:space="preserve">by indication.</w:t>
            </w:r>
          </w:p>
        </w:tc>
      </w:tr>
    </w:tbl>
    <w:p>
      <w:pPr>
        <w:pStyle w:val="BodyText"/>
      </w:pPr>
      <w:r>
        <w:rPr>
          <w:iCs/>
          <w:i/>
        </w:rPr>
        <w:t xml:space="preserve">GRADE certainty of evidence: High (⊕⊕⊕⊕), very confident the true value</w:t>
      </w:r>
      <w:r>
        <w:rPr>
          <w:iCs/>
          <w:i/>
        </w:rPr>
        <w:t xml:space="preserve"> </w:t>
      </w:r>
      <w:r>
        <w:rPr>
          <w:iCs/>
          <w:i/>
        </w:rPr>
        <w:t xml:space="preserve">lies close to the estimate; Moderate (⊕⊕⊕◯), moderately confident; Low</w:t>
      </w:r>
      <w:r>
        <w:rPr>
          <w:iCs/>
          <w:i/>
        </w:rPr>
        <w:t xml:space="preserve"> </w:t>
      </w:r>
      <w:r>
        <w:rPr>
          <w:iCs/>
          <w:i/>
        </w:rPr>
        <w:t xml:space="preserve">(⊕⊕◯◯), limited confidence; Very low (⊕◯◯◯), very little confidence.</w:t>
      </w:r>
      <w:r>
        <w:rPr>
          <w:iCs/>
          <w:i/>
        </w:rPr>
        <w:t xml:space="preserve"> </w:t>
      </w:r>
      <w:r>
        <w:rPr>
          <w:iCs/>
          <w:i/>
        </w:rPr>
        <w:t xml:space="preserve">Publication bias for the primary outcome was assessed by Peters' test</w:t>
      </w:r>
      <w:r>
        <w:rPr>
          <w:iCs/>
          <w:i/>
        </w:rPr>
        <w:t xml:space="preserve"> </w:t>
      </w:r>
      <w:r>
        <w:rPr>
          <w:iCs/>
          <w:i/>
        </w:rPr>
        <w:t xml:space="preserve">(p = 0.64) and was not assessable for the other outcomes owing to few</w:t>
      </w:r>
      <w:r>
        <w:rPr>
          <w:iCs/>
          <w:i/>
        </w:rPr>
        <w:t xml:space="preserve"> </w:t>
      </w:r>
      <w:r>
        <w:rPr>
          <w:iCs/>
          <w:i/>
        </w:rPr>
        <w:t xml:space="preserve">studies. CI, confidence interval; Ho:YAG, holmium:YAG; TFL, thulium</w:t>
      </w:r>
      <w:r>
        <w:rPr>
          <w:iCs/>
          <w:i/>
        </w:rPr>
        <w:t xml:space="preserve"> </w:t>
      </w:r>
      <w:r>
        <w:rPr>
          <w:iCs/>
          <w:i/>
        </w:rPr>
        <w:t xml:space="preserve">fibre laser; I², inconsistency statistic.</w:t>
      </w:r>
    </w:p>
    <w:p>
      <w:pPr>
        <w:pStyle w:val="BodyText"/>
      </w:pPr>
      <w:r>
        <w:rPr>
          <w:bCs/>
          <w:b/>
        </w:rPr>
        <w:t xml:space="preserve">Supplementary File 5</w:t>
      </w:r>
      <w:r>
        <w:t xml:space="preserve">. Characteristics of included studies</w:t>
      </w:r>
    </w:p>
    <w:tbl>
      <w:tblPr>
        <w:tblStyle w:val="Table"/>
        <w:tblW w:type="pct" w:w="4897"/>
        <w:tblLook w:firstRow="1" w:lastRow="0" w:firstColumn="0" w:lastColumn="0" w:noHBand="0" w:noVBand="0" w:val="0020"/>
        <w:jc w:val="start"/>
      </w:tblPr>
      <w:tblGrid>
        <w:gridCol w:w="1224"/>
        <w:gridCol w:w="1306"/>
        <w:gridCol w:w="1632"/>
        <w:gridCol w:w="1061"/>
        <w:gridCol w:w="1388"/>
        <w:gridCol w:w="114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Study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(Year)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Type of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Laser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(Approach)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Patients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(n)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Stone site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Follow-up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(mo)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Cheung</w:t>
            </w:r>
            <w:r>
              <w:t xml:space="preserve"> </w:t>
            </w:r>
            <w:r>
              <w:t xml:space="preserve">(2001)*</w:t>
            </w:r>
            <w:r>
              <w:rPr>
                <w:vertAlign w:val="superscript"/>
              </w:rP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(semirigid)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Parker</w:t>
            </w:r>
            <w:r>
              <w:t xml:space="preserve"> </w:t>
            </w:r>
            <w:r>
              <w:t xml:space="preserve">(2004)*</w:t>
            </w:r>
            <w:r>
              <w:rPr>
                <w:vertAlign w:val="superscript"/>
              </w:rP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Jiang</w:t>
            </w:r>
            <w:r>
              <w:t xml:space="preserve"> </w:t>
            </w:r>
            <w:r>
              <w:t xml:space="preserve">(2007)*</w:t>
            </w:r>
            <w:r>
              <w:rPr>
                <w:vertAlign w:val="superscript"/>
              </w:rP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(semirigid)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Gdor</w:t>
            </w:r>
            <w:r>
              <w:t xml:space="preserve"> </w:t>
            </w:r>
            <w:r>
              <w:t xml:space="preserve">(2008)</w:t>
            </w:r>
            <w:r>
              <w:rPr>
                <w:vertAlign w:val="superscript"/>
              </w:rP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</w:t>
            </w:r>
            <w:r>
              <w:t xml:space="preserve"> </w:t>
            </w:r>
            <w:r>
              <w:t xml:space="preserve">(endoureterotomy)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Binbay</w:t>
            </w:r>
            <w:r>
              <w:t xml:space="preserve"> </w:t>
            </w:r>
            <w:r>
              <w:t xml:space="preserve">(2011)*</w:t>
            </w:r>
            <w:r>
              <w:rPr>
                <w:vertAlign w:val="superscript"/>
              </w:rP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(semirigid)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 (2015)</w:t>
            </w:r>
            <w:r>
              <w:rPr>
                <w:vertAlign w:val="superscript"/>
              </w:rP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L</w:t>
            </w:r>
            <w:r>
              <w:t xml:space="preserve"> </w:t>
            </w:r>
            <w:r>
              <w:t xml:space="preserve">(2015)*</w:t>
            </w:r>
            <w:r>
              <w:rPr>
                <w:vertAlign w:val="superscript"/>
              </w:rP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(semirigid)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Srougi</w:t>
            </w:r>
            <w:r>
              <w:t xml:space="preserve"> </w:t>
            </w:r>
            <w:r>
              <w:t xml:space="preserve">(2015)</w:t>
            </w:r>
            <w:r>
              <w:rPr>
                <w:vertAlign w:val="superscript"/>
              </w:rP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</w:t>
            </w:r>
            <w:r>
              <w:t xml:space="preserve"> </w:t>
            </w:r>
            <w:r>
              <w:t xml:space="preserve">(2017)*</w:t>
            </w:r>
            <w:r>
              <w:rPr>
                <w:vertAlign w:val="superscript"/>
              </w:rP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Darwish</w:t>
            </w:r>
            <w:r>
              <w:t xml:space="preserve"> </w:t>
            </w:r>
            <w:r>
              <w:t xml:space="preserve">(2019)</w:t>
            </w:r>
            <w:r>
              <w:rPr>
                <w:vertAlign w:val="superscript"/>
              </w:rP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Xiong</w:t>
            </w:r>
            <w:r>
              <w:t xml:space="preserve"> </w:t>
            </w:r>
            <w:r>
              <w:t xml:space="preserve">(2020)</w:t>
            </w:r>
            <w:r>
              <w:rPr>
                <w:vertAlign w:val="superscript"/>
              </w:rP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(management)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Al-Nabulsi</w:t>
            </w:r>
            <w:r>
              <w:t xml:space="preserve"> </w:t>
            </w:r>
            <w:r>
              <w:t xml:space="preserve">(2021)</w:t>
            </w:r>
            <w:r>
              <w:rPr>
                <w:vertAlign w:val="superscript"/>
              </w:rP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Shen</w:t>
            </w:r>
            <w:r>
              <w:t xml:space="preserve"> </w:t>
            </w:r>
            <w:r>
              <w:t xml:space="preserve">(2021)*</w:t>
            </w:r>
            <w:r>
              <w:rPr>
                <w:vertAlign w:val="superscript"/>
              </w:rP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(fURS)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Aykanat</w:t>
            </w:r>
            <w:r>
              <w:t xml:space="preserve"> </w:t>
            </w:r>
            <w:r>
              <w:t xml:space="preserve">(2022)</w:t>
            </w:r>
            <w:r>
              <w:rPr>
                <w:vertAlign w:val="superscript"/>
              </w:rP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(RIRS)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X</w:t>
            </w:r>
            <w:r>
              <w:t xml:space="preserve"> </w:t>
            </w:r>
            <w:r>
              <w:t xml:space="preserve">(2022)</w:t>
            </w:r>
            <w:r>
              <w:rPr>
                <w:vertAlign w:val="superscript"/>
              </w:rP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</w:t>
            </w:r>
            <w:r>
              <w:t xml:space="preserve"> </w:t>
            </w:r>
            <w:r>
              <w:t xml:space="preserve">(reconstruction)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27.3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Ulvik</w:t>
            </w:r>
            <w:r>
              <w:t xml:space="preserve"> </w:t>
            </w:r>
            <w:r>
              <w:t xml:space="preserve">(2022)</w:t>
            </w:r>
            <w:r>
              <w:rPr>
                <w:vertAlign w:val="superscript"/>
              </w:rP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(URS/RIRS)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Renal+ureteral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</w:t>
            </w:r>
            <w:r>
              <w:t xml:space="preserve"> </w:t>
            </w:r>
            <w:r>
              <w:t xml:space="preserve">(2023)*</w:t>
            </w:r>
            <w:r>
              <w:rPr>
                <w:vertAlign w:val="superscript"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Hamamoto</w:t>
            </w:r>
            <w:r>
              <w:t xml:space="preserve"> </w:t>
            </w:r>
            <w:r>
              <w:t xml:space="preserve">(2023)</w:t>
            </w:r>
            <w:r>
              <w:rPr>
                <w:vertAlign w:val="superscript"/>
              </w:rP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 (reconstruction)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Yang</w:t>
            </w:r>
            <w:r>
              <w:t xml:space="preserve"> </w:t>
            </w:r>
            <w:r>
              <w:t xml:space="preserve">(2023)</w:t>
            </w:r>
            <w:r>
              <w:rPr>
                <w:vertAlign w:val="superscript"/>
              </w:rP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 (reconstruction)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</w:t>
            </w:r>
            <w:r>
              <w:t xml:space="preserve"> </w:t>
            </w:r>
            <w:r>
              <w:t xml:space="preserve">(2024)*</w:t>
            </w:r>
            <w:r>
              <w:rPr>
                <w:vertAlign w:val="superscript"/>
              </w:rP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Inoue</w:t>
            </w:r>
            <w:r>
              <w:t xml:space="preserve"> </w:t>
            </w:r>
            <w:r>
              <w:t xml:space="preserve">(2024)</w:t>
            </w:r>
            <w:r>
              <w:rPr>
                <w:vertAlign w:val="superscript"/>
              </w:rP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Renal+ureteral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P</w:t>
            </w:r>
            <w:r>
              <w:t xml:space="preserve"> </w:t>
            </w:r>
            <w:r>
              <w:t xml:space="preserve">(2024)*</w:t>
            </w:r>
            <w:r>
              <w:rPr>
                <w:vertAlign w:val="superscript"/>
              </w:rP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(2025)</w:t>
            </w:r>
            <w:r>
              <w:rPr>
                <w:vertAlign w:val="superscript"/>
              </w:rP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Castellani</w:t>
            </w:r>
            <w:r>
              <w:t xml:space="preserve"> </w:t>
            </w:r>
            <w:r>
              <w:t xml:space="preserve">(2025)</w:t>
            </w:r>
            <w:r>
              <w:rPr>
                <w:vertAlign w:val="superscript"/>
              </w:rP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(RIRS)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Coman</w:t>
            </w:r>
            <w:r>
              <w:t xml:space="preserve"> </w:t>
            </w:r>
            <w:r>
              <w:t xml:space="preserve">(2025)</w:t>
            </w:r>
            <w:r>
              <w:rPr>
                <w:vertAlign w:val="superscript"/>
              </w:rP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 (reconstruction)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Patil</w:t>
            </w:r>
            <w:r>
              <w:t xml:space="preserve"> </w:t>
            </w:r>
            <w:r>
              <w:t xml:space="preserve">(2025)</w:t>
            </w:r>
            <w:r>
              <w:rPr>
                <w:vertAlign w:val="superscript"/>
              </w:rP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TFL (semirigid)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Villani</w:t>
            </w:r>
            <w:r>
              <w:t xml:space="preserve"> </w:t>
            </w:r>
            <w:r>
              <w:t xml:space="preserve">(2025)</w:t>
            </w:r>
            <w:r>
              <w:rPr>
                <w:vertAlign w:val="superscript"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TFL (URS)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Renal+ureteral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Aesoy</w:t>
            </w:r>
            <w:r>
              <w:t xml:space="preserve"> </w:t>
            </w:r>
            <w:r>
              <w:t xml:space="preserve">(2026)</w:t>
            </w:r>
            <w:r>
              <w:rPr>
                <w:vertAlign w:val="superscript"/>
              </w:rPr>
              <w:t xml:space="preserve">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TFL (RIRS)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G</w:t>
            </w:r>
            <w:r>
              <w:t xml:space="preserve"> </w:t>
            </w:r>
            <w:r>
              <w:t xml:space="preserve">(2026)*</w:t>
            </w:r>
            <w:r>
              <w:rPr>
                <w:vertAlign w:val="superscript"/>
              </w:rP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(semirigid)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Mohapatra</w:t>
            </w:r>
            <w:r>
              <w:t xml:space="preserve"> </w:t>
            </w:r>
            <w:r>
              <w:t xml:space="preserve">(2026)</w:t>
            </w:r>
            <w:r>
              <w:rPr>
                <w:vertAlign w:val="superscript"/>
              </w:rP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(semirigid)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Ureteral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Nyheim</w:t>
            </w:r>
            <w:r>
              <w:t xml:space="preserve"> </w:t>
            </w:r>
            <w:r>
              <w:t xml:space="preserve">(2026)</w:t>
            </w:r>
            <w:r>
              <w:rPr>
                <w:vertAlign w:val="superscript"/>
              </w:rPr>
              <w:t xml:space="preserve">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 (management)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51.6 (med)</w:t>
            </w:r>
          </w:p>
        </w:tc>
      </w:tr>
    </w:tbl>
    <w:p>
      <w:pPr>
        <w:pStyle w:val="BodyText"/>
      </w:pPr>
      <w:r>
        <w:rPr>
          <w:iCs/>
          <w:i/>
        </w:rPr>
        <w:t xml:space="preserve">* Primary study in incidence pool. NR, not reported; Ho:YAG,</w:t>
      </w:r>
      <w:r>
        <w:rPr>
          <w:iCs/>
          <w:i/>
        </w:rPr>
        <w:t xml:space="preserve"> </w:t>
      </w:r>
      <w:r>
        <w:rPr>
          <w:iCs/>
          <w:i/>
        </w:rPr>
        <w:t xml:space="preserve">holmium:YAG; TFL, thulium fibre laser; URS, ureteroscopy; fURS, flexible</w:t>
      </w:r>
      <w:r>
        <w:rPr>
          <w:iCs/>
          <w:i/>
        </w:rPr>
        <w:t xml:space="preserve"> </w:t>
      </w:r>
      <w:r>
        <w:rPr>
          <w:iCs/>
          <w:i/>
        </w:rPr>
        <w:t xml:space="preserve">ureteroscopy; RIRS, retrograde intrarenal surgery.</w:t>
      </w:r>
    </w:p>
    <w:p>
      <w:pPr>
        <w:pStyle w:val="BodyText"/>
      </w:pPr>
      <w:r>
        <w:rPr>
          <w:bCs/>
          <w:b/>
        </w:rPr>
        <w:t xml:space="preserve">Supplementary File 6.</w:t>
      </w:r>
      <w:r>
        <w:t xml:space="preserve"> </w:t>
      </w:r>
      <w:r>
        <w:t xml:space="preserve">Laser lithotripsy settings and stricture</w:t>
      </w:r>
      <w:r>
        <w:t xml:space="preserve"> </w:t>
      </w:r>
      <w:r>
        <w:t xml:space="preserve">incidence</w:t>
      </w:r>
    </w:p>
    <w:tbl>
      <w:tblPr>
        <w:tblStyle w:val="Table"/>
        <w:tblW w:type="pct" w:w="4922"/>
        <w:tblLook w:firstRow="1" w:lastRow="0" w:firstColumn="0" w:lastColumn="0" w:noHBand="0" w:noVBand="0" w:val="0020"/>
        <w:jc w:val="start"/>
      </w:tblPr>
      <w:tblGrid>
        <w:gridCol w:w="798"/>
        <w:gridCol w:w="920"/>
        <w:gridCol w:w="798"/>
        <w:gridCol w:w="920"/>
        <w:gridCol w:w="675"/>
        <w:gridCol w:w="675"/>
        <w:gridCol w:w="1043"/>
        <w:gridCol w:w="982"/>
        <w:gridCol w:w="98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Study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(Year)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Laser type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(device)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Pulse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energy, J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Frequency,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Hz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Power,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Fiber,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µm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Irrigation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Incidence,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Binbay</w:t>
            </w:r>
            <w:r>
              <w:t xml:space="preserve"> </w:t>
            </w:r>
            <w:r>
              <w:t xml:space="preserve">(2011)</w:t>
            </w:r>
            <w:r>
              <w:rPr>
                <w:vertAlign w:val="superscript"/>
              </w:rP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(Stone</w:t>
            </w:r>
            <w:r>
              <w:t xml:space="preserve"> </w:t>
            </w:r>
            <w:r>
              <w:t xml:space="preserve">Light)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 to 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to 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Jiang</w:t>
            </w:r>
            <w:r>
              <w:t xml:space="preserve"> </w:t>
            </w:r>
            <w:r>
              <w:t xml:space="preserve">(2007)</w:t>
            </w:r>
            <w:r>
              <w:rPr>
                <w:vertAlign w:val="superscript"/>
              </w:rP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</w:t>
            </w:r>
            <w:r>
              <w:t xml:space="preserve"> </w:t>
            </w:r>
            <w:r>
              <w:t xml:space="preserve">(Lumenis)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 to 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365 or 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Fragmentation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Cheung</w:t>
            </w:r>
            <w:r>
              <w:t xml:space="preserve"> </w:t>
            </w:r>
            <w:r>
              <w:t xml:space="preserve">(2001)</w:t>
            </w:r>
            <w:r>
              <w:rPr>
                <w:vertAlign w:val="superscript"/>
              </w:rP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</w:t>
            </w:r>
            <w:r>
              <w:t xml:space="preserve"> </w:t>
            </w:r>
            <w:r>
              <w:t xml:space="preserve">(VersaPulse)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 to 1.4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to 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</w:t>
            </w:r>
            <w:r>
              <w:t xml:space="preserve"> </w:t>
            </w:r>
            <w:r>
              <w:t xml:space="preserve">(2023)</w:t>
            </w:r>
            <w:r>
              <w:rPr>
                <w:vertAlign w:val="superscript"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</w:t>
            </w:r>
            <w:r>
              <w:t xml:space="preserve"> </w:t>
            </w:r>
            <w:r>
              <w:t xml:space="preserve">(Lumenis 100H)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</w:t>
            </w:r>
            <w:r>
              <w:t xml:space="preserve"> </w:t>
            </w:r>
            <w:r>
              <w:t xml:space="preserve">(titrated)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(titrated)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L</w:t>
            </w:r>
            <w:r>
              <w:t xml:space="preserve"> </w:t>
            </w:r>
            <w:r>
              <w:t xml:space="preserve">(2015)</w:t>
            </w:r>
            <w:r>
              <w:rPr>
                <w:vertAlign w:val="superscript"/>
              </w:rP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(device</w:t>
            </w:r>
            <w:r>
              <w:t xml:space="preserve"> </w:t>
            </w:r>
            <w:r>
              <w:t xml:space="preserve">NR)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 to 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to 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</w:t>
            </w:r>
            <w:r>
              <w:t xml:space="preserve"> </w:t>
            </w:r>
            <w:r>
              <w:t xml:space="preserve">(2024)</w:t>
            </w:r>
            <w:r>
              <w:rPr>
                <w:vertAlign w:val="superscript"/>
              </w:rP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(device</w:t>
            </w:r>
            <w:r>
              <w:t xml:space="preserve"> </w:t>
            </w:r>
            <w:r>
              <w:t xml:space="preserve">NR)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Fragmentation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Shen</w:t>
            </w:r>
            <w:r>
              <w:t xml:space="preserve"> </w:t>
            </w:r>
            <w:r>
              <w:t xml:space="preserve">(2021)</w:t>
            </w:r>
            <w:r>
              <w:rPr>
                <w:vertAlign w:val="superscript"/>
              </w:rP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(device</w:t>
            </w:r>
            <w:r>
              <w:t xml:space="preserve"> </w:t>
            </w:r>
            <w:r>
              <w:t xml:space="preserve">NR)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 to 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to 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P</w:t>
            </w:r>
            <w:r>
              <w:t xml:space="preserve"> </w:t>
            </w:r>
            <w:r>
              <w:t xml:space="preserve">(2024)</w:t>
            </w:r>
            <w:r>
              <w:rPr>
                <w:vertAlign w:val="superscript"/>
              </w:rP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</w:t>
            </w:r>
            <w:r>
              <w:t xml:space="preserve"> </w:t>
            </w:r>
            <w:r>
              <w:t xml:space="preserve">(raykeen)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to 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to 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G</w:t>
            </w:r>
            <w:r>
              <w:t xml:space="preserve"> </w:t>
            </w:r>
            <w:r>
              <w:t xml:space="preserve">(2026)</w:t>
            </w:r>
            <w:r>
              <w:rPr>
                <w:vertAlign w:val="superscript"/>
              </w:rP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Ho:YAG (LISA)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Long-pulse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9.56</w:t>
            </w:r>
          </w:p>
        </w:tc>
      </w:tr>
    </w:tbl>
    <w:p>
      <w:pPr>
        <w:pStyle w:val="BodyText"/>
      </w:pPr>
      <w:r>
        <w:rPr>
          <w:iCs/>
          <w:i/>
        </w:rPr>
        <w:t xml:space="preserve">N, number of classified strictures; CI, confidence interval.</w:t>
      </w:r>
    </w:p>
    <w:p>
      <w:pPr>
        <w:pStyle w:val="BodyText"/>
      </w:pPr>
      <w:r>
        <w:rPr>
          <w:bCs/>
          <w:b/>
        </w:rPr>
        <w:t xml:space="preserve">Supplementary File 7.</w:t>
      </w:r>
      <w:r>
        <w:t xml:space="preserve"> </w:t>
      </w:r>
      <w:r>
        <w:t xml:space="preserve">Anatomical distribution of de novo ureteral</w:t>
      </w:r>
      <w:r>
        <w:t xml:space="preserve"> </w:t>
      </w:r>
      <w:r>
        <w:t xml:space="preserve">strictures, by study (exploratory).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904"/>
        <w:gridCol w:w="1403"/>
        <w:gridCol w:w="1403"/>
        <w:gridCol w:w="1403"/>
        <w:gridCol w:w="160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Study (Year)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Proximal, 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(%)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Mid, 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(%)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Distal, 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(%)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Classified,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Cheung (2001)</w:t>
            </w:r>
            <w:r>
              <w:rPr>
                <w:vertAlign w:val="superscript"/>
              </w:rP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(0)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(0)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 (2015)</w:t>
            </w:r>
            <w:r>
              <w:rPr>
                <w:vertAlign w:val="superscript"/>
              </w:rP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(40.0)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(20.0)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(40.0)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Darwish (2019)</w:t>
            </w:r>
            <w:r>
              <w:rPr>
                <w:vertAlign w:val="superscript"/>
              </w:rP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(25.0)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(25.0)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(50.0)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Aykanat (2022)</w:t>
            </w:r>
            <w:r>
              <w:rPr>
                <w:vertAlign w:val="superscript"/>
              </w:rP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(33.3)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(0)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(66.7)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 (2023)</w:t>
            </w:r>
            <w:r>
              <w:rPr>
                <w:vertAlign w:val="superscript"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(75.0)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(0)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(25.0)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 (2024)</w:t>
            </w:r>
            <w:r>
              <w:rPr>
                <w:vertAlign w:val="superscript"/>
              </w:rP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(83.3)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(16.7)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(0)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P (2024)</w:t>
            </w:r>
            <w:r>
              <w:rPr>
                <w:vertAlign w:val="superscript"/>
              </w:rP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(28.6)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(39.3)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 (32.1)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Villani (2025)</w:t>
            </w:r>
            <w:r>
              <w:rPr>
                <w:vertAlign w:val="superscript"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(40.0)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(20.0)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(40.0)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Pooled, % (95%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CI)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41.3 (27.4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 56.7)</w:t>
            </w:r>
            <w:r>
              <w:br/>
            </w:r>
            <w:r>
              <w:t xml:space="preserve">I² = 0%, p =</w:t>
            </w:r>
            <w:r>
              <w:t xml:space="preserve"> </w:t>
            </w:r>
            <w:r>
              <w:t xml:space="preserve">0.45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26.8 (16.7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 40.0)</w:t>
            </w:r>
            <w:r>
              <w:br/>
            </w:r>
            <w:r>
              <w:t xml:space="preserve">I² = 0%, p =</w:t>
            </w:r>
            <w:r>
              <w:t xml:space="preserve"> </w:t>
            </w:r>
            <w:r>
              <w:t xml:space="preserve">0.72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32.8 (22.2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 45.4)</w:t>
            </w:r>
            <w:r>
              <w:br/>
            </w:r>
            <w:r>
              <w:t xml:space="preserve">I² = 0%, p =</w:t>
            </w:r>
            <w:r>
              <w:t xml:space="preserve"> </w:t>
            </w:r>
            <w:r>
              <w:t xml:space="preserve">0.80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61</w:t>
            </w:r>
          </w:p>
        </w:tc>
      </w:tr>
    </w:tbl>
    <w:p>
      <w:pPr>
        <w:pStyle w:val="BodyText"/>
      </w:pPr>
      <w:r>
        <w:rPr>
          <w:iCs/>
          <w:i/>
        </w:rPr>
        <w:t xml:space="preserve">N, number of classified strictures; CI, confidence interval.</w:t>
      </w:r>
    </w:p>
    <w:p>
      <w:pPr>
        <w:pStyle w:val="BodyText"/>
      </w:pPr>
      <w:r>
        <w:rPr>
          <w:bCs/>
          <w:b/>
        </w:rPr>
        <w:t xml:space="preserve">Supplementary File 8.</w:t>
      </w:r>
      <w:r>
        <w:t xml:space="preserve"> </w:t>
      </w:r>
      <w:r>
        <w:t xml:space="preserve">Incidence of de novo ureteral stricture by laser type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835"/>
        <w:gridCol w:w="1159"/>
        <w:gridCol w:w="1352"/>
        <w:gridCol w:w="2028"/>
        <w:gridCol w:w="135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Study (Year)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Events,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Patients,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Incidence, % (95%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CI)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Follow-up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(mo)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Ho:YAG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Cheung (2001)</w:t>
            </w:r>
            <w:r>
              <w:rPr>
                <w:vertAlign w:val="superscript"/>
              </w:rP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 (0.02 to 4.09)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Parker (2004)</w:t>
            </w:r>
            <w:r>
              <w:rPr>
                <w:vertAlign w:val="superscript"/>
              </w:rP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1.83 (0.22 to 6.47)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Jiang (2007)</w:t>
            </w:r>
            <w:r>
              <w:rPr>
                <w:vertAlign w:val="superscript"/>
              </w:rP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0.72 (0.24 to 1.68)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Binbay (2011)</w:t>
            </w:r>
            <w:r>
              <w:rPr>
                <w:vertAlign w:val="superscript"/>
              </w:rP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 (0.00 to 8.81)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L (2015)</w:t>
            </w:r>
            <w:r>
              <w:rPr>
                <w:vertAlign w:val="superscript"/>
              </w:rP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4.87 (3.14 to 7.16)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 (2015)</w:t>
            </w:r>
            <w:r>
              <w:rPr>
                <w:vertAlign w:val="superscript"/>
              </w:rP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7.81 (2.59 to 17.30)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Srougi (2015)</w:t>
            </w:r>
            <w:r>
              <w:rPr>
                <w:vertAlign w:val="superscript"/>
              </w:rP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2.82 (1.92 to 3.97)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 (2017)</w:t>
            </w:r>
            <w:r>
              <w:rPr>
                <w:vertAlign w:val="superscript"/>
              </w:rP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2.53 (0.69 to 6.35)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Al-Nabulsi</w:t>
            </w:r>
            <w:r>
              <w:t xml:space="preserve"> </w:t>
            </w:r>
            <w:r>
              <w:t xml:space="preserve">(2021)</w:t>
            </w:r>
            <w:r>
              <w:rPr>
                <w:vertAlign w:val="superscript"/>
              </w:rP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3.37 (1.63 to 6.10)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Shen (2021)</w:t>
            </w:r>
            <w:r>
              <w:rPr>
                <w:vertAlign w:val="superscript"/>
              </w:rP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6.49 (4.39 to 9.18)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Ulvik (2022)</w:t>
            </w:r>
            <w:r>
              <w:rPr>
                <w:vertAlign w:val="superscript"/>
              </w:rP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 (0.00 to 5.96)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 (2023)</w:t>
            </w:r>
            <w:r>
              <w:rPr>
                <w:vertAlign w:val="superscript"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1.67 (0.46 to 4.21)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Aykanat (2022)</w:t>
            </w:r>
            <w:r>
              <w:rPr>
                <w:vertAlign w:val="superscript"/>
              </w:rP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1.56 (0.51 to 3.61)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 (2024)</w:t>
            </w:r>
            <w:r>
              <w:rPr>
                <w:vertAlign w:val="superscript"/>
              </w:rP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5.66 (2.11 to 11.91)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P (2024)</w:t>
            </w:r>
            <w:r>
              <w:rPr>
                <w:vertAlign w:val="superscript"/>
              </w:rP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6.56 (4.40 to 9.34)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(2025)</w:t>
            </w:r>
            <w:r>
              <w:rPr>
                <w:vertAlign w:val="superscript"/>
              </w:rP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 (0.00 to 5.36)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G (2026)</w:t>
            </w:r>
            <w:r>
              <w:rPr>
                <w:vertAlign w:val="superscript"/>
              </w:rP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9.56 (6.22 to 13.89)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Mohapatra</w:t>
            </w:r>
            <w:r>
              <w:t xml:space="preserve"> </w:t>
            </w:r>
            <w:r>
              <w:t xml:space="preserve">(2026)</w:t>
            </w:r>
            <w:r>
              <w:rPr>
                <w:vertAlign w:val="superscript"/>
              </w:rP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2.06 (0.25 to 7.25)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Pooled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incidence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180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5103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2.68 (1.77 to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4.05)</w:t>
            </w:r>
            <w:r>
              <w:br/>
            </w:r>
            <w:r>
              <w:t xml:space="preserve">I² = 76.1%, p &lt;</w:t>
            </w:r>
            <w:r>
              <w:t xml:space="preserve"> </w:t>
            </w:r>
            <w:r>
              <w:t xml:space="preserve">0.001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TFL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Ulvik (2022)</w:t>
            </w:r>
            <w:r>
              <w:rPr>
                <w:vertAlign w:val="superscript"/>
              </w:rP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 (0.00 to 6.06)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 (2023)</w:t>
            </w:r>
            <w:r>
              <w:rPr>
                <w:vertAlign w:val="superscript"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4.62 (2.33 to 8.12)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Patil (2025)</w:t>
            </w:r>
            <w:r>
              <w:rPr>
                <w:vertAlign w:val="superscript"/>
              </w:rP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 (0.00 to 3.97)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Villani (2025)</w:t>
            </w:r>
            <w:r>
              <w:rPr>
                <w:vertAlign w:val="superscript"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6.33 (3.08 to 11.33)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Pooled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incidence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546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1.76 (0.35 to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8.34)</w:t>
            </w:r>
            <w:r>
              <w:br/>
            </w:r>
            <w:r>
              <w:t xml:space="preserve">I² = 41.0%, p = 0.17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Test for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subgroup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difference: χ² =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0.25, df = 1, p =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0.61 (no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significant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difference)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Cs/>
          <w:i/>
        </w:rPr>
        <w:t xml:space="preserve">GLMM, generalised linear mixed model; mo, months; n, number of events;</w:t>
      </w:r>
      <w:r>
        <w:rPr>
          <w:iCs/>
          <w:i/>
        </w:rPr>
        <w:t xml:space="preserve"> </w:t>
      </w:r>
      <w:r>
        <w:rPr>
          <w:iCs/>
          <w:i/>
        </w:rPr>
        <w:t xml:space="preserve">N, denominator; CI, confidence interval; NR, not reported.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Supplementary File 9.</w:t>
      </w:r>
      <w:r>
        <w:t xml:space="preserve"> </w:t>
      </w:r>
      <w:r>
        <w:t xml:space="preserve">Treatment success for de novo ureteral stricture after</w:t>
      </w:r>
      <w:r>
        <w:t xml:space="preserve"> </w:t>
      </w:r>
      <w:r>
        <w:t xml:space="preserve">ureteroscopic laser lithotripsy.</w:t>
      </w:r>
    </w:p>
    <w:tbl>
      <w:tblPr>
        <w:tblStyle w:val="Table"/>
        <w:tblW w:type="pct" w:w="4901"/>
        <w:tblLook w:firstRow="1" w:lastRow="0" w:firstColumn="0" w:lastColumn="0" w:noHBand="0" w:noVBand="0" w:val="0020"/>
        <w:jc w:val="start"/>
      </w:tblPr>
      <w:tblGrid>
        <w:gridCol w:w="1646"/>
        <w:gridCol w:w="1176"/>
        <w:gridCol w:w="1176"/>
        <w:gridCol w:w="1568"/>
        <w:gridCol w:w="1097"/>
        <w:gridCol w:w="109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Study (Year)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Successes,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Strictures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treated, 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Success, % (95%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CI)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Stricture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length, cm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Follow-up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(mo)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Endoscopic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Gdor (2008)</w:t>
            </w:r>
            <w:r>
              <w:rPr>
                <w:vertAlign w:val="superscript"/>
              </w:rP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61.5 (31.6 to 86.1)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Srougi (2015)</w:t>
            </w:r>
            <w:r>
              <w:rPr>
                <w:vertAlign w:val="superscript"/>
              </w:rP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50.0 (15.7 to 84.3)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Xiong (2020)</w:t>
            </w:r>
            <w:r>
              <w:rPr>
                <w:vertAlign w:val="superscript"/>
              </w:rP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60.9 (48.4 to 72.4)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X (2022)</w:t>
            </w:r>
            <w:r>
              <w:rPr>
                <w:vertAlign w:val="superscript"/>
              </w:rP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100.0 (15.8 to</w:t>
            </w:r>
            <w:r>
              <w:t xml:space="preserve"> </w:t>
            </w:r>
            <w:r>
              <w:t xml:space="preserve">100.0)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(med)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33.7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Pooled success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60.9 (50.6 to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70.3)</w:t>
            </w:r>
            <w:r>
              <w:br/>
            </w:r>
            <w:r>
              <w:t xml:space="preserve">I² = 0%, p = 0.80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Reconstruction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Gdor (2008)</w:t>
            </w:r>
            <w:r>
              <w:rPr>
                <w:vertAlign w:val="superscript"/>
              </w:rP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100.0 (29.2 to</w:t>
            </w:r>
            <w:r>
              <w:t xml:space="preserve"> </w:t>
            </w:r>
            <w:r>
              <w:t xml:space="preserve">100.0)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Srougi (2015)</w:t>
            </w:r>
            <w:r>
              <w:rPr>
                <w:vertAlign w:val="superscript"/>
              </w:rP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81.8 (48.2 to 97.7)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Xiong (2020)</w:t>
            </w:r>
            <w:r>
              <w:rPr>
                <w:vertAlign w:val="superscript"/>
              </w:rP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97.3 (85.8 to 99.9)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 X (2022)</w:t>
            </w:r>
            <w:r>
              <w:rPr>
                <w:vertAlign w:val="superscript"/>
              </w:rP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97.5 (86.8 to 99.9)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(med)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27.3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Hamamoto (2023)</w:t>
            </w:r>
            <w:r>
              <w:rPr>
                <w:vertAlign w:val="superscript"/>
              </w:rP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92.9 (66.1 to 99.8)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Yang (2023)</w:t>
            </w:r>
            <w:r>
              <w:rPr>
                <w:vertAlign w:val="superscript"/>
              </w:rP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100.0 (71.5 to</w:t>
            </w:r>
            <w:r>
              <w:t xml:space="preserve"> </w:t>
            </w:r>
            <w:r>
              <w:t xml:space="preserve">100.0)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Coman (2025)</w:t>
            </w:r>
            <w:r>
              <w:rPr>
                <w:vertAlign w:val="superscript"/>
              </w:rP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88.9 (51.8 to 99.7)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 (med)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Pooled success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95.2 (89.7 to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97.8)</w:t>
            </w:r>
            <w:r>
              <w:br/>
            </w:r>
            <w:r>
              <w:t xml:space="preserve">I² = 0%, p = 0.52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lockText"/>
      </w:pPr>
      <w:r>
        <w:rPr>
          <w:iCs/>
          <w:i/>
        </w:rPr>
        <w:t xml:space="preserve">GLMM, generalised linear mixed model; n, successes; N, strictures</w:t>
      </w:r>
      <w:r>
        <w:rPr>
          <w:iCs/>
          <w:i/>
        </w:rPr>
        <w:t xml:space="preserve"> </w:t>
      </w:r>
      <w:r>
        <w:rPr>
          <w:iCs/>
          <w:i/>
        </w:rPr>
        <w:t xml:space="preserve">treated; cm, centimetres; mo, months; CI, confidence interval; NR, not</w:t>
      </w:r>
      <w:r>
        <w:rPr>
          <w:iCs/>
          <w:i/>
        </w:rPr>
        <w:t xml:space="preserve"> </w:t>
      </w:r>
      <w:r>
        <w:rPr>
          <w:iCs/>
          <w:i/>
        </w:rPr>
        <w:t xml:space="preserve">reported.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2026-07-23T10:02:02Z</dcterms:created>
  <dcterms:modified xsi:type="dcterms:W3CDTF">2026-07-23T10:02:02Z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