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2ED2C" w14:textId="77777777" w:rsidR="008E7C64" w:rsidRDefault="008E7C64" w:rsidP="008E7C64">
      <w:pPr>
        <w:ind w:left="-141"/>
        <w:rPr>
          <w:b/>
          <w:bCs/>
          <w:sz w:val="24"/>
          <w:szCs w:val="24"/>
        </w:rPr>
      </w:pPr>
      <w:r w:rsidRPr="00DD0613">
        <w:rPr>
          <w:b/>
          <w:bCs/>
          <w:sz w:val="24"/>
          <w:szCs w:val="24"/>
        </w:rPr>
        <w:t>Supplementary Figures</w:t>
      </w:r>
    </w:p>
    <w:p w14:paraId="398D3F08" w14:textId="77777777" w:rsidR="00452468" w:rsidRPr="00452468" w:rsidRDefault="00452468" w:rsidP="00452468">
      <w:pPr>
        <w:ind w:left="-141"/>
        <w:rPr>
          <w:b/>
          <w:bCs/>
        </w:rPr>
      </w:pPr>
      <w:r w:rsidRPr="00452468">
        <w:rPr>
          <w:b/>
          <w:bCs/>
        </w:rPr>
        <w:t>Genome-wide meta-analysis of ADHD symptoms in the adult general population reveals distinct genetics of inattention and hyperactivity-impulsivity</w:t>
      </w:r>
    </w:p>
    <w:p w14:paraId="7410A6AB" w14:textId="77777777" w:rsidR="005B3ADF" w:rsidRPr="005B3ADF" w:rsidRDefault="005B3ADF" w:rsidP="008E7C64">
      <w:pPr>
        <w:ind w:left="-141"/>
        <w:rPr>
          <w:b/>
          <w:bCs/>
        </w:rPr>
      </w:pPr>
    </w:p>
    <w:sdt>
      <w:sdtPr>
        <w:id w:val="-143601440"/>
        <w:docPartObj>
          <w:docPartGallery w:val="Table of Contents"/>
          <w:docPartUnique/>
        </w:docPartObj>
      </w:sdtPr>
      <w:sdtEndPr/>
      <w:sdtContent>
        <w:p w14:paraId="0F81AAA0" w14:textId="77777777" w:rsidR="007A174F" w:rsidRPr="00DD0613" w:rsidRDefault="008047A3">
          <w:pPr>
            <w:widowControl w:val="0"/>
            <w:tabs>
              <w:tab w:val="right" w:leader="dot" w:pos="12000"/>
            </w:tabs>
            <w:spacing w:before="60" w:after="0" w:line="240" w:lineRule="auto"/>
            <w:rPr>
              <w:rFonts w:ascii="Arial" w:eastAsia="Arial" w:hAnsi="Arial" w:cs="Arial"/>
              <w:b/>
              <w:bCs/>
              <w:color w:val="000000"/>
            </w:rPr>
          </w:pPr>
          <w:r w:rsidRPr="00DD0613">
            <w:fldChar w:fldCharType="begin"/>
          </w:r>
          <w:r w:rsidRPr="00DD0613">
            <w:instrText xml:space="preserve"> TOC \h \u \z \t "Heading 1,1,Heading 2,2,Heading 3,3,Heading 4,4,Heading 5,5,Heading 6,6,"</w:instrText>
          </w:r>
          <w:r w:rsidRPr="00DD0613">
            <w:fldChar w:fldCharType="separate"/>
          </w:r>
          <w:hyperlink w:anchor="_xk19iow0hwtl">
            <w:r w:rsidRPr="00DD0613">
              <w:rPr>
                <w:color w:val="000000"/>
                <w:sz w:val="24"/>
                <w:szCs w:val="24"/>
              </w:rPr>
              <w:t>Supplementary Figure 1. GWAS meta-analysis quantile-quantile plots of the ADHD total symptom, inattention, hyperactivity-impulsivity domain scores, and individual ADHD symptoms.</w:t>
            </w:r>
            <w:r w:rsidRPr="00DD0613">
              <w:rPr>
                <w:color w:val="000000"/>
                <w:sz w:val="24"/>
                <w:szCs w:val="24"/>
              </w:rPr>
              <w:tab/>
              <w:t>2</w:t>
            </w:r>
          </w:hyperlink>
        </w:p>
        <w:p w14:paraId="0F81AAA1" w14:textId="77777777" w:rsidR="007A174F" w:rsidRPr="00DD0613" w:rsidRDefault="008047A3">
          <w:pPr>
            <w:widowControl w:val="0"/>
            <w:tabs>
              <w:tab w:val="right" w:leader="dot" w:pos="12000"/>
            </w:tabs>
            <w:spacing w:before="60" w:after="0" w:line="240" w:lineRule="auto"/>
            <w:rPr>
              <w:rFonts w:ascii="Arial" w:eastAsia="Arial" w:hAnsi="Arial" w:cs="Arial"/>
              <w:b/>
              <w:bCs/>
              <w:color w:val="000000"/>
            </w:rPr>
          </w:pPr>
          <w:hyperlink w:anchor="_mafyi1j2jdc">
            <w:r w:rsidRPr="00DD0613">
              <w:rPr>
                <w:color w:val="000000"/>
                <w:sz w:val="24"/>
                <w:szCs w:val="24"/>
              </w:rPr>
              <w:t>Supplementary Figure 2. Regional association plots of genome-wide significant variants of ADHD total symptom score.</w:t>
            </w:r>
            <w:r w:rsidRPr="00DD0613">
              <w:rPr>
                <w:color w:val="000000"/>
                <w:sz w:val="24"/>
                <w:szCs w:val="24"/>
              </w:rPr>
              <w:tab/>
              <w:t>3</w:t>
            </w:r>
          </w:hyperlink>
        </w:p>
        <w:p w14:paraId="0F81AAA2" w14:textId="77777777" w:rsidR="007A174F" w:rsidRPr="00DD0613" w:rsidRDefault="008047A3">
          <w:pPr>
            <w:widowControl w:val="0"/>
            <w:tabs>
              <w:tab w:val="right" w:leader="dot" w:pos="12000"/>
            </w:tabs>
            <w:spacing w:before="60" w:after="0" w:line="240" w:lineRule="auto"/>
            <w:rPr>
              <w:rFonts w:ascii="Arial" w:eastAsia="Arial" w:hAnsi="Arial" w:cs="Arial"/>
              <w:b/>
              <w:bCs/>
              <w:color w:val="000000"/>
            </w:rPr>
          </w:pPr>
          <w:hyperlink w:anchor="_f3fzexl87zkh">
            <w:r w:rsidRPr="00DD0613">
              <w:rPr>
                <w:color w:val="000000"/>
                <w:sz w:val="24"/>
                <w:szCs w:val="24"/>
              </w:rPr>
              <w:t>Supplementary Figure 3. Regional association plots of genome-wide significant variants of inattention domain score.</w:t>
            </w:r>
            <w:r w:rsidRPr="00DD0613">
              <w:rPr>
                <w:color w:val="000000"/>
                <w:sz w:val="24"/>
                <w:szCs w:val="24"/>
              </w:rPr>
              <w:tab/>
              <w:t>4</w:t>
            </w:r>
          </w:hyperlink>
        </w:p>
        <w:p w14:paraId="0F81AAA3" w14:textId="77777777" w:rsidR="007A174F" w:rsidRPr="00DD0613" w:rsidRDefault="008047A3">
          <w:pPr>
            <w:widowControl w:val="0"/>
            <w:tabs>
              <w:tab w:val="right" w:leader="dot" w:pos="12000"/>
            </w:tabs>
            <w:spacing w:before="60" w:after="0" w:line="240" w:lineRule="auto"/>
            <w:rPr>
              <w:rFonts w:ascii="Arial" w:eastAsia="Arial" w:hAnsi="Arial" w:cs="Arial"/>
              <w:b/>
              <w:bCs/>
              <w:color w:val="000000"/>
            </w:rPr>
          </w:pPr>
          <w:hyperlink w:anchor="_bwv5xmqnlzc3">
            <w:r w:rsidRPr="00DD0613">
              <w:rPr>
                <w:color w:val="000000"/>
                <w:sz w:val="24"/>
                <w:szCs w:val="24"/>
              </w:rPr>
              <w:t>Supplementary Figure 4. Regional association plots of genome-wide significant variants of hyperactivity-impulsivity domain score.</w:t>
            </w:r>
            <w:r w:rsidRPr="00DD0613">
              <w:rPr>
                <w:color w:val="000000"/>
                <w:sz w:val="24"/>
                <w:szCs w:val="24"/>
              </w:rPr>
              <w:tab/>
              <w:t>5</w:t>
            </w:r>
          </w:hyperlink>
        </w:p>
        <w:p w14:paraId="0F81AAA4" w14:textId="77777777" w:rsidR="007A174F" w:rsidRPr="00DD0613" w:rsidRDefault="008047A3">
          <w:pPr>
            <w:widowControl w:val="0"/>
            <w:tabs>
              <w:tab w:val="right" w:leader="dot" w:pos="12000"/>
            </w:tabs>
            <w:spacing w:before="60" w:after="0" w:line="240" w:lineRule="auto"/>
            <w:rPr>
              <w:rFonts w:ascii="Arial" w:eastAsia="Arial" w:hAnsi="Arial" w:cs="Arial"/>
              <w:b/>
              <w:bCs/>
              <w:color w:val="000000"/>
            </w:rPr>
          </w:pPr>
          <w:hyperlink w:anchor="_cexamw4jh772">
            <w:r w:rsidRPr="00DD0613">
              <w:rPr>
                <w:color w:val="000000"/>
                <w:sz w:val="24"/>
                <w:szCs w:val="24"/>
              </w:rPr>
              <w:t>Supplementary Figure 5. GWAS meta-analysis quantile-quantile plots of the ADHD total symptom, inattention, hyperactivity-impulsivity domain scores in females and males.</w:t>
            </w:r>
            <w:r w:rsidRPr="00DD0613">
              <w:rPr>
                <w:color w:val="000000"/>
                <w:sz w:val="24"/>
                <w:szCs w:val="24"/>
              </w:rPr>
              <w:tab/>
              <w:t>6</w:t>
            </w:r>
          </w:hyperlink>
        </w:p>
        <w:p w14:paraId="0F81AAA5" w14:textId="77777777" w:rsidR="007A174F" w:rsidRPr="00DD0613" w:rsidRDefault="008047A3">
          <w:pPr>
            <w:widowControl w:val="0"/>
            <w:tabs>
              <w:tab w:val="right" w:leader="dot" w:pos="12000"/>
            </w:tabs>
            <w:spacing w:before="60" w:after="0" w:line="240" w:lineRule="auto"/>
            <w:rPr>
              <w:rFonts w:ascii="Arial" w:eastAsia="Arial" w:hAnsi="Arial" w:cs="Arial"/>
              <w:b/>
              <w:bCs/>
              <w:color w:val="000000"/>
            </w:rPr>
          </w:pPr>
          <w:hyperlink w:anchor="_tjv6eiahl4dr">
            <w:r w:rsidRPr="00DD0613">
              <w:rPr>
                <w:color w:val="000000"/>
                <w:sz w:val="24"/>
                <w:szCs w:val="24"/>
              </w:rPr>
              <w:t>Supplementary Figure 6. MiXeR bivariate modeling results for inattention and hyperactivity-impulsivity domain scores, ADHD diagnosis, and educational attainment.</w:t>
            </w:r>
            <w:r w:rsidRPr="00DD0613">
              <w:rPr>
                <w:color w:val="000000"/>
                <w:sz w:val="24"/>
                <w:szCs w:val="24"/>
              </w:rPr>
              <w:tab/>
              <w:t>7</w:t>
            </w:r>
          </w:hyperlink>
        </w:p>
        <w:p w14:paraId="0F81AAA6" w14:textId="77777777" w:rsidR="007A174F" w:rsidRPr="00DD0613" w:rsidRDefault="008047A3">
          <w:pPr>
            <w:widowControl w:val="0"/>
            <w:tabs>
              <w:tab w:val="right" w:leader="dot" w:pos="12000"/>
            </w:tabs>
            <w:spacing w:before="60" w:after="0" w:line="240" w:lineRule="auto"/>
            <w:rPr>
              <w:rFonts w:ascii="Arial" w:eastAsia="Arial" w:hAnsi="Arial" w:cs="Arial"/>
              <w:b/>
              <w:bCs/>
              <w:color w:val="000000"/>
            </w:rPr>
          </w:pPr>
          <w:hyperlink w:anchor="_h8ua9fd62dky">
            <w:r w:rsidRPr="00DD0613">
              <w:rPr>
                <w:color w:val="000000"/>
                <w:sz w:val="24"/>
                <w:szCs w:val="24"/>
              </w:rPr>
              <w:t>Supplementary Figure 7. Distributions of the ADHD total symptom (purple), inattention (red), and hyperactivity-impulsivity (blue) domain scores in the Estonian Biobank (EstBB) and in the Norwegian Mother, Father and Child Cohort Study (MoBa)</w:t>
            </w:r>
            <w:r w:rsidRPr="00DD0613">
              <w:rPr>
                <w:color w:val="000000"/>
                <w:sz w:val="24"/>
                <w:szCs w:val="24"/>
              </w:rPr>
              <w:tab/>
              <w:t>8</w:t>
            </w:r>
          </w:hyperlink>
        </w:p>
        <w:p w14:paraId="0F81AAA7" w14:textId="77777777" w:rsidR="007A174F" w:rsidRPr="00DD0613" w:rsidRDefault="008047A3">
          <w:pPr>
            <w:widowControl w:val="0"/>
            <w:tabs>
              <w:tab w:val="right" w:leader="dot" w:pos="12000"/>
            </w:tabs>
            <w:spacing w:before="60" w:after="0" w:line="240" w:lineRule="auto"/>
            <w:rPr>
              <w:rFonts w:ascii="Arial" w:eastAsia="Arial" w:hAnsi="Arial" w:cs="Arial"/>
              <w:b/>
              <w:bCs/>
              <w:color w:val="000000"/>
            </w:rPr>
          </w:pPr>
          <w:hyperlink w:anchor="_sh2z8yy0d9dn">
            <w:r w:rsidRPr="00DD0613">
              <w:rPr>
                <w:color w:val="000000"/>
                <w:sz w:val="24"/>
                <w:szCs w:val="24"/>
              </w:rPr>
              <w:t>Supplementary Figure 8. Distributions of the ADHD inattention domain items' scores in the Estonian Biobank (EstBB) and in the Norwegian Mother, Father and Child Cohort Study (MoBa)</w:t>
            </w:r>
            <w:r w:rsidRPr="00DD0613">
              <w:rPr>
                <w:color w:val="000000"/>
                <w:sz w:val="24"/>
                <w:szCs w:val="24"/>
              </w:rPr>
              <w:tab/>
              <w:t>9</w:t>
            </w:r>
          </w:hyperlink>
        </w:p>
        <w:p w14:paraId="0F81AAA8" w14:textId="77777777" w:rsidR="007A174F" w:rsidRPr="00DD0613" w:rsidRDefault="008047A3">
          <w:pPr>
            <w:widowControl w:val="0"/>
            <w:tabs>
              <w:tab w:val="right" w:leader="dot" w:pos="12000"/>
            </w:tabs>
            <w:spacing w:before="60" w:after="0" w:line="240" w:lineRule="auto"/>
            <w:rPr>
              <w:rFonts w:ascii="Arial" w:eastAsia="Arial" w:hAnsi="Arial" w:cs="Arial"/>
              <w:b/>
              <w:bCs/>
              <w:color w:val="000000"/>
            </w:rPr>
          </w:pPr>
          <w:hyperlink w:anchor="_138yhvdrzz7b">
            <w:r w:rsidRPr="00DD0613">
              <w:rPr>
                <w:color w:val="000000"/>
                <w:sz w:val="24"/>
                <w:szCs w:val="24"/>
              </w:rPr>
              <w:t>Supplementary Figure 9. Distributions of the ADHD hyperactivity-impulsivity domain items' scores in the Estonian Biobank (EstBB) and in the Norwegian Mother, Father and Child Cohort Study (MoBa)</w:t>
            </w:r>
            <w:r w:rsidRPr="00DD0613">
              <w:rPr>
                <w:color w:val="000000"/>
                <w:sz w:val="24"/>
                <w:szCs w:val="24"/>
              </w:rPr>
              <w:tab/>
              <w:t>10</w:t>
            </w:r>
          </w:hyperlink>
          <w:r w:rsidRPr="00DD0613">
            <w:fldChar w:fldCharType="end"/>
          </w:r>
        </w:p>
      </w:sdtContent>
    </w:sdt>
    <w:p w14:paraId="0F81AAA9" w14:textId="77777777" w:rsidR="007A174F" w:rsidRPr="00DD0613" w:rsidRDefault="007A174F">
      <w:pPr>
        <w:spacing w:after="200"/>
        <w:ind w:left="-141"/>
        <w:rPr>
          <w:sz w:val="24"/>
          <w:szCs w:val="24"/>
        </w:rPr>
      </w:pPr>
    </w:p>
    <w:p w14:paraId="0F81AAAA" w14:textId="77777777" w:rsidR="007A174F" w:rsidRPr="00DD0613" w:rsidRDefault="007A174F">
      <w:pPr>
        <w:ind w:left="-141"/>
        <w:rPr>
          <w:b/>
          <w:bCs/>
          <w:sz w:val="24"/>
          <w:szCs w:val="24"/>
        </w:rPr>
      </w:pPr>
    </w:p>
    <w:p w14:paraId="0F81AAAB" w14:textId="77777777" w:rsidR="007A174F" w:rsidRPr="00DD0613" w:rsidRDefault="007A174F">
      <w:pPr>
        <w:ind w:left="-141"/>
        <w:rPr>
          <w:b/>
          <w:bCs/>
          <w:sz w:val="24"/>
          <w:szCs w:val="24"/>
        </w:rPr>
      </w:pPr>
    </w:p>
    <w:p w14:paraId="0F81AAAC" w14:textId="77777777" w:rsidR="007A174F" w:rsidRPr="00DD0613" w:rsidRDefault="007A174F">
      <w:pPr>
        <w:ind w:left="-141"/>
        <w:rPr>
          <w:b/>
          <w:bCs/>
        </w:rPr>
      </w:pPr>
    </w:p>
    <w:p w14:paraId="0F81AAAD" w14:textId="77777777" w:rsidR="007A174F" w:rsidRPr="00DD0613" w:rsidRDefault="007A174F">
      <w:pPr>
        <w:ind w:left="-141"/>
        <w:rPr>
          <w:b/>
          <w:bCs/>
        </w:rPr>
      </w:pPr>
    </w:p>
    <w:p w14:paraId="113C4438" w14:textId="77777777" w:rsidR="00A32580" w:rsidRPr="00DD0613" w:rsidRDefault="00A32580" w:rsidP="002B6270">
      <w:pPr>
        <w:pStyle w:val="Heading1"/>
        <w:ind w:left="0"/>
      </w:pPr>
      <w:bookmarkStart w:id="0" w:name="_xk19iow0hwtl" w:colFirst="0" w:colLast="0"/>
      <w:bookmarkEnd w:id="0"/>
      <w:r w:rsidRPr="00DD0613">
        <w:lastRenderedPageBreak/>
        <w:t>Supplementary Figure 1. GWAS meta-analysis quantile-quantile plots of the ADHD total symptom, inattention, hyperactivity-impulsivity domain scores, and individual ADHD symptoms.</w:t>
      </w:r>
    </w:p>
    <w:p w14:paraId="0F81AAB1" w14:textId="18DE93A6" w:rsidR="007A174F" w:rsidRPr="00DD0613" w:rsidRDefault="008047A3">
      <w:pPr>
        <w:spacing w:after="0"/>
        <w:rPr>
          <w:b/>
          <w:bCs/>
          <w:color w:val="1D1C1D"/>
        </w:rPr>
      </w:pPr>
      <w:r w:rsidRPr="00DD0613">
        <w:rPr>
          <w:b/>
          <w:bCs/>
          <w:noProof/>
          <w:color w:val="1D1C1D"/>
        </w:rPr>
        <w:drawing>
          <wp:inline distT="114300" distB="114300" distL="114300" distR="114300" wp14:anchorId="0F81AADB" wp14:editId="0F81AADC">
            <wp:extent cx="5657850" cy="4910172"/>
            <wp:effectExtent l="0" t="0" r="0" b="0"/>
            <wp:docPr id="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6"/>
                    <a:srcRect l="1048" r="1048" b="1055"/>
                    <a:stretch>
                      <a:fillRect/>
                    </a:stretch>
                  </pic:blipFill>
                  <pic:spPr>
                    <a:xfrm>
                      <a:off x="0" y="0"/>
                      <a:ext cx="5657850" cy="4910172"/>
                    </a:xfrm>
                    <a:prstGeom prst="rect">
                      <a:avLst/>
                    </a:prstGeom>
                    <a:ln/>
                  </pic:spPr>
                </pic:pic>
              </a:graphicData>
            </a:graphic>
          </wp:inline>
        </w:drawing>
      </w:r>
    </w:p>
    <w:p w14:paraId="0F81AAB2" w14:textId="77777777" w:rsidR="007A174F" w:rsidRPr="00DD0613" w:rsidRDefault="008047A3">
      <w:pPr>
        <w:ind w:left="-141"/>
        <w:rPr>
          <w:b/>
          <w:bCs/>
        </w:rPr>
      </w:pPr>
      <w:r w:rsidRPr="00DD0613">
        <w:rPr>
          <w:i/>
          <w:iCs/>
          <w:sz w:val="20"/>
          <w:szCs w:val="20"/>
        </w:rPr>
        <w:t xml:space="preserve">Note: Phenotypes – a) ADHD total symptom score; b) inattention domain score; c) hyperactivity-impulsivity domain score; d) „How often do you have trouble wrapping up the final details of a project, once the challenging parts have been done?“ e) „How often do you have difficulty getting things in order when you have to do a task that requires organization?“ f) „How often do you have problems remembering appointments or obligations“ g) „When you have a task that requires a lot of thought, how often do you avoid or delay getting started?“ h) „How often do you fidget or squirm with your hands or feet when you have to sit down for a long time?“ </w:t>
      </w:r>
      <w:proofErr w:type="spellStart"/>
      <w:r w:rsidRPr="00DD0613">
        <w:rPr>
          <w:i/>
          <w:iCs/>
          <w:sz w:val="20"/>
          <w:szCs w:val="20"/>
        </w:rPr>
        <w:t>i</w:t>
      </w:r>
      <w:proofErr w:type="spellEnd"/>
      <w:r w:rsidRPr="00DD0613">
        <w:rPr>
          <w:i/>
          <w:iCs/>
          <w:sz w:val="20"/>
          <w:szCs w:val="20"/>
        </w:rPr>
        <w:t>) „How often do you feel overly active and compelled to do things, like you were driven by a motor?“</w:t>
      </w:r>
    </w:p>
    <w:p w14:paraId="0F81AAB4" w14:textId="77777777" w:rsidR="007A174F" w:rsidRPr="00DD0613" w:rsidRDefault="008047A3" w:rsidP="00A32580">
      <w:pPr>
        <w:pStyle w:val="Heading1"/>
        <w:ind w:left="0"/>
      </w:pPr>
      <w:bookmarkStart w:id="1" w:name="_mafyi1j2jdc" w:colFirst="0" w:colLast="0"/>
      <w:bookmarkEnd w:id="1"/>
      <w:r w:rsidRPr="00DD0613">
        <w:lastRenderedPageBreak/>
        <w:t>Supplementary Figure 2. Regional association plots of genome-wide significant variants of ADHD total symptom score.</w:t>
      </w:r>
    </w:p>
    <w:p w14:paraId="0F81AAB5" w14:textId="77777777" w:rsidR="007A174F" w:rsidRPr="00DD0613" w:rsidRDefault="008047A3">
      <w:pPr>
        <w:ind w:left="-141"/>
        <w:rPr>
          <w:b/>
          <w:bCs/>
        </w:rPr>
      </w:pPr>
      <w:r w:rsidRPr="00DD0613">
        <w:rPr>
          <w:b/>
          <w:bCs/>
          <w:noProof/>
        </w:rPr>
        <w:drawing>
          <wp:inline distT="114300" distB="114300" distL="114300" distR="114300" wp14:anchorId="0F81AADD" wp14:editId="0F81AADE">
            <wp:extent cx="5943600" cy="6578600"/>
            <wp:effectExtent l="0" t="0" r="0" b="0"/>
            <wp:docPr id="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7"/>
                    <a:srcRect/>
                    <a:stretch>
                      <a:fillRect/>
                    </a:stretch>
                  </pic:blipFill>
                  <pic:spPr>
                    <a:xfrm>
                      <a:off x="0" y="0"/>
                      <a:ext cx="5943600" cy="6578600"/>
                    </a:xfrm>
                    <a:prstGeom prst="rect">
                      <a:avLst/>
                    </a:prstGeom>
                    <a:ln/>
                  </pic:spPr>
                </pic:pic>
              </a:graphicData>
            </a:graphic>
          </wp:inline>
        </w:drawing>
      </w:r>
    </w:p>
    <w:p w14:paraId="0F81AAB6" w14:textId="77777777" w:rsidR="007A174F" w:rsidRPr="00DD0613" w:rsidRDefault="008047A3">
      <w:pPr>
        <w:ind w:left="-141"/>
        <w:rPr>
          <w:i/>
          <w:iCs/>
          <w:sz w:val="20"/>
          <w:szCs w:val="20"/>
        </w:rPr>
      </w:pPr>
      <w:r w:rsidRPr="00DD0613">
        <w:rPr>
          <w:i/>
          <w:iCs/>
          <w:sz w:val="20"/>
          <w:szCs w:val="20"/>
        </w:rPr>
        <w:t xml:space="preserve">Note:  a)-e) Regional plots showing the five lead variants significantly associated with the ADHD total symptom score. Plots were created using the </w:t>
      </w:r>
      <w:proofErr w:type="spellStart"/>
      <w:r w:rsidRPr="00DD0613">
        <w:rPr>
          <w:i/>
          <w:iCs/>
          <w:sz w:val="20"/>
          <w:szCs w:val="20"/>
        </w:rPr>
        <w:t>LocusZoom</w:t>
      </w:r>
      <w:proofErr w:type="spellEnd"/>
      <w:r w:rsidRPr="00DD0613">
        <w:rPr>
          <w:i/>
          <w:iCs/>
          <w:sz w:val="20"/>
          <w:szCs w:val="20"/>
        </w:rPr>
        <w:t xml:space="preserve"> tool (locuszoom.org). The y axis represents −log10(P-values) for association of variants with ADHD total symptom score and the x axis represents the chromosomal positions of the variants. Each lead variant is shown as a purple diamond in each of the five lead variants defined.</w:t>
      </w:r>
    </w:p>
    <w:p w14:paraId="0F81AAB7" w14:textId="77777777" w:rsidR="007A174F" w:rsidRPr="00DD0613" w:rsidRDefault="007A174F">
      <w:pPr>
        <w:ind w:left="-141"/>
        <w:rPr>
          <w:sz w:val="20"/>
          <w:szCs w:val="20"/>
        </w:rPr>
      </w:pPr>
    </w:p>
    <w:p w14:paraId="0F81AAB8" w14:textId="77777777" w:rsidR="007A174F" w:rsidRPr="00DD0613" w:rsidRDefault="008047A3">
      <w:pPr>
        <w:pStyle w:val="Heading1"/>
      </w:pPr>
      <w:bookmarkStart w:id="2" w:name="_f3fzexl87zkh" w:colFirst="0" w:colLast="0"/>
      <w:bookmarkEnd w:id="2"/>
      <w:r w:rsidRPr="00DD0613">
        <w:lastRenderedPageBreak/>
        <w:t>Supplementary Figure 3. Regional association plots of genome-wide significant variants of inattention domain score.</w:t>
      </w:r>
    </w:p>
    <w:p w14:paraId="0F81AAB9" w14:textId="77777777" w:rsidR="007A174F" w:rsidRPr="00DD0613" w:rsidRDefault="008047A3">
      <w:pPr>
        <w:ind w:left="-141"/>
        <w:rPr>
          <w:b/>
          <w:bCs/>
        </w:rPr>
      </w:pPr>
      <w:r w:rsidRPr="00DD0613">
        <w:rPr>
          <w:b/>
          <w:bCs/>
          <w:noProof/>
        </w:rPr>
        <w:drawing>
          <wp:inline distT="114300" distB="114300" distL="114300" distR="114300" wp14:anchorId="0F81AADF" wp14:editId="0F81AAE0">
            <wp:extent cx="4895850" cy="7062822"/>
            <wp:effectExtent l="0" t="0" r="0" b="0"/>
            <wp:docPr id="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8"/>
                    <a:srcRect t="1910" r="6891" b="3137"/>
                    <a:stretch>
                      <a:fillRect/>
                    </a:stretch>
                  </pic:blipFill>
                  <pic:spPr>
                    <a:xfrm>
                      <a:off x="0" y="0"/>
                      <a:ext cx="4895850" cy="7062822"/>
                    </a:xfrm>
                    <a:prstGeom prst="rect">
                      <a:avLst/>
                    </a:prstGeom>
                    <a:ln/>
                  </pic:spPr>
                </pic:pic>
              </a:graphicData>
            </a:graphic>
          </wp:inline>
        </w:drawing>
      </w:r>
    </w:p>
    <w:p w14:paraId="0F81AABA" w14:textId="77777777" w:rsidR="007A174F" w:rsidRPr="00DD0613" w:rsidRDefault="008047A3">
      <w:pPr>
        <w:ind w:left="-141"/>
        <w:rPr>
          <w:i/>
          <w:iCs/>
          <w:sz w:val="20"/>
          <w:szCs w:val="20"/>
        </w:rPr>
      </w:pPr>
      <w:r w:rsidRPr="00DD0613">
        <w:rPr>
          <w:i/>
          <w:iCs/>
          <w:sz w:val="20"/>
          <w:szCs w:val="20"/>
        </w:rPr>
        <w:t xml:space="preserve">Note:  a)-g) Regional plots showing the seven lead variants significantly associated with inattention domain score. Plots were created using the </w:t>
      </w:r>
      <w:proofErr w:type="spellStart"/>
      <w:r w:rsidRPr="00DD0613">
        <w:rPr>
          <w:i/>
          <w:iCs/>
          <w:sz w:val="20"/>
          <w:szCs w:val="20"/>
        </w:rPr>
        <w:t>LocusZoom</w:t>
      </w:r>
      <w:proofErr w:type="spellEnd"/>
      <w:r w:rsidRPr="00DD0613">
        <w:rPr>
          <w:i/>
          <w:iCs/>
          <w:sz w:val="20"/>
          <w:szCs w:val="20"/>
        </w:rPr>
        <w:t xml:space="preserve"> tool (locuszoom.org). The y axis represents −log10(P-values) for association of variants with inattention domain score and the x axis represents the chromosomal positions of the variants. Each lead variant is shown as a purple diamond in each of the seven lead variants defined.</w:t>
      </w:r>
    </w:p>
    <w:p w14:paraId="0F81AABB" w14:textId="77777777" w:rsidR="007A174F" w:rsidRPr="00DD0613" w:rsidRDefault="007A174F">
      <w:pPr>
        <w:ind w:left="-141"/>
        <w:rPr>
          <w:sz w:val="20"/>
          <w:szCs w:val="20"/>
        </w:rPr>
      </w:pPr>
    </w:p>
    <w:p w14:paraId="0F81AABC" w14:textId="77777777" w:rsidR="007A174F" w:rsidRPr="00DD0613" w:rsidRDefault="008047A3">
      <w:pPr>
        <w:pStyle w:val="Heading1"/>
      </w:pPr>
      <w:bookmarkStart w:id="3" w:name="_bwv5xmqnlzc3" w:colFirst="0" w:colLast="0"/>
      <w:bookmarkEnd w:id="3"/>
      <w:r w:rsidRPr="00DD0613">
        <w:t>Supplementary Figure 4. Regional association plots of genome-wide significant variants of hyperactivity-impulsivity domain score.</w:t>
      </w:r>
    </w:p>
    <w:p w14:paraId="0F81AABD" w14:textId="77777777" w:rsidR="007A174F" w:rsidRPr="00DD0613" w:rsidRDefault="008047A3">
      <w:pPr>
        <w:ind w:left="-141"/>
        <w:rPr>
          <w:b/>
          <w:bCs/>
        </w:rPr>
      </w:pPr>
      <w:r w:rsidRPr="00DD0613">
        <w:rPr>
          <w:b/>
          <w:bCs/>
          <w:noProof/>
        </w:rPr>
        <w:drawing>
          <wp:inline distT="114300" distB="114300" distL="114300" distR="114300" wp14:anchorId="0F81AAE1" wp14:editId="0F81AAE2">
            <wp:extent cx="5553075" cy="2071722"/>
            <wp:effectExtent l="0" t="0" r="0" b="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t="1405" r="6571" b="73920"/>
                    <a:stretch>
                      <a:fillRect/>
                    </a:stretch>
                  </pic:blipFill>
                  <pic:spPr>
                    <a:xfrm>
                      <a:off x="0" y="0"/>
                      <a:ext cx="5553075" cy="2071722"/>
                    </a:xfrm>
                    <a:prstGeom prst="rect">
                      <a:avLst/>
                    </a:prstGeom>
                    <a:ln/>
                  </pic:spPr>
                </pic:pic>
              </a:graphicData>
            </a:graphic>
          </wp:inline>
        </w:drawing>
      </w:r>
    </w:p>
    <w:p w14:paraId="0F81AABE" w14:textId="77777777" w:rsidR="007A174F" w:rsidRPr="00DD0613" w:rsidRDefault="008047A3">
      <w:pPr>
        <w:ind w:left="-141"/>
        <w:rPr>
          <w:i/>
          <w:iCs/>
          <w:sz w:val="20"/>
          <w:szCs w:val="20"/>
        </w:rPr>
      </w:pPr>
      <w:r w:rsidRPr="00DD0613">
        <w:rPr>
          <w:i/>
          <w:iCs/>
          <w:sz w:val="20"/>
          <w:szCs w:val="20"/>
        </w:rPr>
        <w:t xml:space="preserve">Note: a), b) Regional plots showing the two lead variants significantly associated with hyperactivity-impulsivity domain score. Plots were created using the </w:t>
      </w:r>
      <w:proofErr w:type="spellStart"/>
      <w:r w:rsidRPr="00DD0613">
        <w:rPr>
          <w:i/>
          <w:iCs/>
          <w:sz w:val="20"/>
          <w:szCs w:val="20"/>
        </w:rPr>
        <w:t>LocusZoom</w:t>
      </w:r>
      <w:proofErr w:type="spellEnd"/>
      <w:r w:rsidRPr="00DD0613">
        <w:rPr>
          <w:i/>
          <w:iCs/>
          <w:sz w:val="20"/>
          <w:szCs w:val="20"/>
        </w:rPr>
        <w:t xml:space="preserve"> tool (locuszoom.org). The y axis represents −log10(P-values) for association of variants with hyperactivity-impulsivity domain score and the x axis represents the chromosomal positions of the variants. Each lead variant is shown as a purple diamond in each of the two lead variants defined.</w:t>
      </w:r>
    </w:p>
    <w:p w14:paraId="0F81AABF" w14:textId="77777777" w:rsidR="007A174F" w:rsidRPr="00DD0613" w:rsidRDefault="007A174F">
      <w:pPr>
        <w:ind w:left="-141"/>
        <w:rPr>
          <w:i/>
          <w:iCs/>
          <w:sz w:val="20"/>
          <w:szCs w:val="20"/>
        </w:rPr>
      </w:pPr>
    </w:p>
    <w:p w14:paraId="0F81AAC0" w14:textId="77777777" w:rsidR="007A174F" w:rsidRPr="00DD0613" w:rsidRDefault="007A174F">
      <w:pPr>
        <w:ind w:left="-141"/>
        <w:rPr>
          <w:b/>
          <w:bCs/>
        </w:rPr>
      </w:pPr>
    </w:p>
    <w:p w14:paraId="0F81AAC1" w14:textId="77777777" w:rsidR="007A174F" w:rsidRPr="00DD0613" w:rsidRDefault="007A174F">
      <w:pPr>
        <w:ind w:left="-141"/>
      </w:pPr>
    </w:p>
    <w:p w14:paraId="0F81AAC2" w14:textId="77777777" w:rsidR="007A174F" w:rsidRPr="00DD0613" w:rsidRDefault="007A174F">
      <w:pPr>
        <w:ind w:left="-141"/>
      </w:pPr>
    </w:p>
    <w:p w14:paraId="0F81AAC3" w14:textId="77777777" w:rsidR="007A174F" w:rsidRPr="00DD0613" w:rsidRDefault="007A174F">
      <w:pPr>
        <w:ind w:left="-141"/>
        <w:rPr>
          <w:b/>
          <w:bCs/>
          <w:sz w:val="20"/>
          <w:szCs w:val="20"/>
        </w:rPr>
        <w:sectPr w:rsidR="007A174F" w:rsidRPr="00DD0613">
          <w:footerReference w:type="default" r:id="rId10"/>
          <w:pgSz w:w="12220" w:h="15820"/>
          <w:pgMar w:top="1133" w:right="1440" w:bottom="1440" w:left="1440" w:header="708" w:footer="708" w:gutter="0"/>
          <w:pgNumType w:start="1"/>
          <w:cols w:space="720"/>
        </w:sectPr>
      </w:pPr>
    </w:p>
    <w:p w14:paraId="0F81AAC4" w14:textId="77777777" w:rsidR="007A174F" w:rsidRPr="00DD0613" w:rsidRDefault="008047A3">
      <w:pPr>
        <w:pStyle w:val="Heading1"/>
        <w:spacing w:line="240" w:lineRule="auto"/>
        <w:jc w:val="both"/>
      </w:pPr>
      <w:bookmarkStart w:id="4" w:name="_cexamw4jh772" w:colFirst="0" w:colLast="0"/>
      <w:bookmarkEnd w:id="4"/>
      <w:r w:rsidRPr="00DD0613">
        <w:lastRenderedPageBreak/>
        <w:t>Supplementary Figure 5. GWAS meta-analysis quantile-quantile plots of the ADHD total symptom, inattention, hyperactivity-impulsivity domain scores in females and males.</w:t>
      </w:r>
    </w:p>
    <w:p w14:paraId="0F81AAC5" w14:textId="5E454C67" w:rsidR="007A174F" w:rsidRPr="003D1861" w:rsidRDefault="008047A3">
      <w:pPr>
        <w:spacing w:line="240" w:lineRule="auto"/>
        <w:ind w:left="-141"/>
        <w:jc w:val="both"/>
        <w:rPr>
          <w:b/>
          <w:bCs/>
          <w:color w:val="1D1C1D"/>
        </w:rPr>
      </w:pPr>
      <w:bookmarkStart w:id="5" w:name="_3a7rwhf2gw8o" w:colFirst="0" w:colLast="0"/>
      <w:bookmarkEnd w:id="5"/>
      <w:r w:rsidRPr="003D1861">
        <w:rPr>
          <w:b/>
          <w:bCs/>
          <w:color w:val="1D1C1D"/>
        </w:rPr>
        <w:tab/>
      </w:r>
      <w:r w:rsidRPr="003D1861">
        <w:rPr>
          <w:b/>
          <w:bCs/>
          <w:color w:val="1D1C1D"/>
        </w:rPr>
        <w:tab/>
        <w:t>Females (n=95,986)</w:t>
      </w:r>
      <w:r w:rsidRPr="003D1861">
        <w:rPr>
          <w:b/>
          <w:bCs/>
          <w:color w:val="1D1C1D"/>
        </w:rPr>
        <w:tab/>
      </w:r>
      <w:r w:rsidRPr="003D1861">
        <w:rPr>
          <w:b/>
          <w:bCs/>
          <w:color w:val="1D1C1D"/>
        </w:rPr>
        <w:tab/>
      </w:r>
      <w:r w:rsidR="003D1861">
        <w:rPr>
          <w:b/>
          <w:bCs/>
          <w:color w:val="1D1C1D"/>
        </w:rPr>
        <w:tab/>
      </w:r>
      <w:r w:rsidRPr="003D1861">
        <w:rPr>
          <w:b/>
          <w:bCs/>
          <w:color w:val="1D1C1D"/>
        </w:rPr>
        <w:t>Males (n=45,519)</w:t>
      </w:r>
    </w:p>
    <w:p w14:paraId="0F81AAC6" w14:textId="77777777" w:rsidR="007A174F" w:rsidRPr="00DD0613" w:rsidRDefault="008047A3">
      <w:pPr>
        <w:ind w:left="-141"/>
        <w:rPr>
          <w:i/>
          <w:iCs/>
          <w:sz w:val="20"/>
          <w:szCs w:val="20"/>
        </w:rPr>
      </w:pPr>
      <w:r w:rsidRPr="00DD0613">
        <w:rPr>
          <w:i/>
          <w:iCs/>
          <w:noProof/>
          <w:sz w:val="20"/>
          <w:szCs w:val="20"/>
        </w:rPr>
        <w:drawing>
          <wp:inline distT="114300" distB="114300" distL="114300" distR="114300" wp14:anchorId="0F81AAE3" wp14:editId="0F81AAE4">
            <wp:extent cx="4137859" cy="5372134"/>
            <wp:effectExtent l="0" t="0" r="0" b="0"/>
            <wp:docPr id="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r="34455" b="1025"/>
                    <a:stretch>
                      <a:fillRect/>
                    </a:stretch>
                  </pic:blipFill>
                  <pic:spPr>
                    <a:xfrm>
                      <a:off x="0" y="0"/>
                      <a:ext cx="4137859" cy="5372134"/>
                    </a:xfrm>
                    <a:prstGeom prst="rect">
                      <a:avLst/>
                    </a:prstGeom>
                    <a:ln/>
                  </pic:spPr>
                </pic:pic>
              </a:graphicData>
            </a:graphic>
          </wp:inline>
        </w:drawing>
      </w:r>
    </w:p>
    <w:p w14:paraId="0F81AAC7" w14:textId="77777777" w:rsidR="007A174F" w:rsidRPr="00DD0613" w:rsidRDefault="008047A3">
      <w:pPr>
        <w:ind w:left="-141"/>
        <w:rPr>
          <w:b/>
          <w:bCs/>
        </w:rPr>
      </w:pPr>
      <w:r w:rsidRPr="00DD0613">
        <w:rPr>
          <w:i/>
          <w:iCs/>
          <w:sz w:val="20"/>
          <w:szCs w:val="20"/>
        </w:rPr>
        <w:t>Note: Phenotypes – a) ADHD total symptom score in females; b) ADHD total symptom score in males; c) inattention domain score in females; d) inattention domain score in males; e) hyperactivity-impulsivity domain score in females; f) hyperactivity-impulsivity domain score in males</w:t>
      </w:r>
    </w:p>
    <w:p w14:paraId="0F81AAC8" w14:textId="77777777" w:rsidR="007A174F" w:rsidRPr="00DD0613" w:rsidRDefault="008047A3">
      <w:pPr>
        <w:ind w:left="-141"/>
        <w:rPr>
          <w:b/>
          <w:bCs/>
        </w:rPr>
      </w:pPr>
      <w:r w:rsidRPr="00DD0613">
        <w:br w:type="page"/>
      </w:r>
    </w:p>
    <w:p w14:paraId="0F81AAC9" w14:textId="745A67A5" w:rsidR="007A174F" w:rsidRPr="00DD0613" w:rsidRDefault="008047A3">
      <w:pPr>
        <w:pStyle w:val="Heading1"/>
      </w:pPr>
      <w:bookmarkStart w:id="6" w:name="_tjv6eiahl4dr" w:colFirst="0" w:colLast="0"/>
      <w:bookmarkEnd w:id="6"/>
      <w:r w:rsidRPr="00DD0613">
        <w:lastRenderedPageBreak/>
        <w:t xml:space="preserve">Supplementary Figure 6. </w:t>
      </w:r>
      <w:proofErr w:type="spellStart"/>
      <w:r w:rsidRPr="00DD0613">
        <w:t>MiXeR</w:t>
      </w:r>
      <w:proofErr w:type="spellEnd"/>
      <w:r w:rsidRPr="00DD0613">
        <w:t xml:space="preserve"> bivariate </w:t>
      </w:r>
      <w:r w:rsidR="00D361CC" w:rsidRPr="00DD0613">
        <w:t>modelling</w:t>
      </w:r>
      <w:r w:rsidRPr="00DD0613">
        <w:t xml:space="preserve"> results for inattention and hyperactivity-impulsivity domain scores, lifetime ADHD diagnosis, and educational attainment. </w:t>
      </w:r>
    </w:p>
    <w:p w14:paraId="0F81AACA" w14:textId="77777777" w:rsidR="007A174F" w:rsidRPr="00DD0613" w:rsidRDefault="008047A3">
      <w:pPr>
        <w:ind w:left="-141"/>
        <w:rPr>
          <w:b/>
          <w:bCs/>
        </w:rPr>
      </w:pPr>
      <w:r w:rsidRPr="00DD0613">
        <w:rPr>
          <w:b/>
          <w:bCs/>
          <w:noProof/>
        </w:rPr>
        <w:drawing>
          <wp:inline distT="114300" distB="114300" distL="114300" distR="114300" wp14:anchorId="0F81AAE5" wp14:editId="0F81AAE6">
            <wp:extent cx="5262563" cy="6932501"/>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srcRect t="1542" r="2404" b="22685"/>
                    <a:stretch>
                      <a:fillRect/>
                    </a:stretch>
                  </pic:blipFill>
                  <pic:spPr>
                    <a:xfrm>
                      <a:off x="0" y="0"/>
                      <a:ext cx="5262563" cy="6932501"/>
                    </a:xfrm>
                    <a:prstGeom prst="rect">
                      <a:avLst/>
                    </a:prstGeom>
                    <a:ln/>
                  </pic:spPr>
                </pic:pic>
              </a:graphicData>
            </a:graphic>
          </wp:inline>
        </w:drawing>
      </w:r>
    </w:p>
    <w:p w14:paraId="0F81AACB" w14:textId="77777777" w:rsidR="007A174F" w:rsidRPr="00DD0613" w:rsidRDefault="008047A3">
      <w:pPr>
        <w:ind w:left="-141"/>
        <w:rPr>
          <w:sz w:val="20"/>
          <w:szCs w:val="20"/>
        </w:rPr>
      </w:pPr>
      <w:r w:rsidRPr="00DD0613">
        <w:rPr>
          <w:i/>
          <w:iCs/>
          <w:sz w:val="20"/>
          <w:szCs w:val="20"/>
        </w:rPr>
        <w:t xml:space="preserve">Note: ADHD dx - attention-deficit/hyperactivity disorder diagnosis; ADHD HYP/IMP SC - hyperactivity-impulsivity domain score; ADHD INA SC - inattention domain score; EA - educational attainment; </w:t>
      </w:r>
      <w:proofErr w:type="spellStart"/>
      <w:r w:rsidRPr="00DD0613">
        <w:rPr>
          <w:i/>
          <w:iCs/>
          <w:sz w:val="20"/>
          <w:szCs w:val="20"/>
        </w:rPr>
        <w:t>r</w:t>
      </w:r>
      <w:r w:rsidRPr="00DD0613">
        <w:rPr>
          <w:i/>
          <w:iCs/>
          <w:sz w:val="20"/>
          <w:szCs w:val="20"/>
          <w:vertAlign w:val="subscript"/>
        </w:rPr>
        <w:t>g</w:t>
      </w:r>
      <w:proofErr w:type="spellEnd"/>
      <w:r w:rsidRPr="00DD0613">
        <w:rPr>
          <w:i/>
          <w:iCs/>
          <w:sz w:val="20"/>
          <w:szCs w:val="20"/>
        </w:rPr>
        <w:t xml:space="preserve"> - genetic correlation between phenotypes.</w:t>
      </w:r>
    </w:p>
    <w:p w14:paraId="0F81AACC" w14:textId="77777777" w:rsidR="007A174F" w:rsidRPr="00DD0613" w:rsidRDefault="008047A3">
      <w:pPr>
        <w:pStyle w:val="Heading1"/>
      </w:pPr>
      <w:bookmarkStart w:id="7" w:name="_h8ua9fd62dky" w:colFirst="0" w:colLast="0"/>
      <w:bookmarkEnd w:id="7"/>
      <w:r w:rsidRPr="00DD0613">
        <w:lastRenderedPageBreak/>
        <w:t>Supplementary Figure 7. Distributions of the ADHD total symptom (purple), inattention (red), and hyperactivity-impulsivity (blue) domain scores in the Estonian Biobank (</w:t>
      </w:r>
      <w:proofErr w:type="spellStart"/>
      <w:r w:rsidRPr="00DD0613">
        <w:t>EstBB</w:t>
      </w:r>
      <w:proofErr w:type="spellEnd"/>
      <w:r w:rsidRPr="00DD0613">
        <w:t>) and in the Norwegian Mother, Father and Child Cohort Study (</w:t>
      </w:r>
      <w:proofErr w:type="spellStart"/>
      <w:r w:rsidRPr="00DD0613">
        <w:t>MoBa</w:t>
      </w:r>
      <w:proofErr w:type="spellEnd"/>
      <w:r w:rsidRPr="00DD0613">
        <w:t>).</w:t>
      </w:r>
    </w:p>
    <w:p w14:paraId="0F81AACD" w14:textId="77777777" w:rsidR="007A174F" w:rsidRPr="003D1861" w:rsidRDefault="008047A3">
      <w:pPr>
        <w:ind w:left="1440"/>
        <w:rPr>
          <w:b/>
          <w:bCs/>
        </w:rPr>
      </w:pPr>
      <w:proofErr w:type="spellStart"/>
      <w:r w:rsidRPr="003D1861">
        <w:rPr>
          <w:b/>
          <w:bCs/>
        </w:rPr>
        <w:t>EstBB</w:t>
      </w:r>
      <w:proofErr w:type="spellEnd"/>
      <w:r w:rsidRPr="003D1861">
        <w:rPr>
          <w:b/>
          <w:bCs/>
        </w:rPr>
        <w:t xml:space="preserve"> (n=77,276)</w:t>
      </w:r>
      <w:r w:rsidRPr="003D1861">
        <w:rPr>
          <w:b/>
          <w:bCs/>
        </w:rPr>
        <w:tab/>
      </w:r>
      <w:r w:rsidRPr="003D1861">
        <w:rPr>
          <w:b/>
          <w:bCs/>
        </w:rPr>
        <w:tab/>
      </w:r>
      <w:r w:rsidRPr="003D1861">
        <w:rPr>
          <w:b/>
          <w:bCs/>
        </w:rPr>
        <w:tab/>
      </w:r>
      <w:r w:rsidRPr="003D1861">
        <w:rPr>
          <w:b/>
          <w:bCs/>
        </w:rPr>
        <w:tab/>
      </w:r>
      <w:proofErr w:type="spellStart"/>
      <w:r w:rsidRPr="003D1861">
        <w:rPr>
          <w:b/>
          <w:bCs/>
        </w:rPr>
        <w:t>MoBa</w:t>
      </w:r>
      <w:proofErr w:type="spellEnd"/>
      <w:r w:rsidRPr="003D1861">
        <w:rPr>
          <w:b/>
          <w:bCs/>
        </w:rPr>
        <w:t xml:space="preserve"> (n=64,229)</w:t>
      </w:r>
    </w:p>
    <w:p w14:paraId="0F81AACE" w14:textId="77777777" w:rsidR="007A174F" w:rsidRPr="00DD0613" w:rsidRDefault="008047A3">
      <w:pPr>
        <w:ind w:left="-141"/>
        <w:rPr>
          <w:b/>
          <w:bCs/>
        </w:rPr>
      </w:pPr>
      <w:r w:rsidRPr="00DD0613">
        <w:rPr>
          <w:b/>
          <w:bCs/>
          <w:noProof/>
        </w:rPr>
        <w:drawing>
          <wp:inline distT="114300" distB="114300" distL="114300" distR="114300" wp14:anchorId="0F81AAE7" wp14:editId="0F81AAE8">
            <wp:extent cx="5657850" cy="5915025"/>
            <wp:effectExtent l="0" t="0" r="0" b="0"/>
            <wp:docPr id="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a:srcRect l="1763" t="1835" r="3045" b="8300"/>
                    <a:stretch>
                      <a:fillRect/>
                    </a:stretch>
                  </pic:blipFill>
                  <pic:spPr>
                    <a:xfrm>
                      <a:off x="0" y="0"/>
                      <a:ext cx="5657850" cy="5915025"/>
                    </a:xfrm>
                    <a:prstGeom prst="rect">
                      <a:avLst/>
                    </a:prstGeom>
                    <a:ln/>
                  </pic:spPr>
                </pic:pic>
              </a:graphicData>
            </a:graphic>
          </wp:inline>
        </w:drawing>
      </w:r>
    </w:p>
    <w:p w14:paraId="0F81AACF" w14:textId="77777777" w:rsidR="007A174F" w:rsidRPr="00DD0613" w:rsidRDefault="008047A3">
      <w:pPr>
        <w:ind w:left="-141"/>
        <w:rPr>
          <w:i/>
          <w:iCs/>
          <w:sz w:val="20"/>
          <w:szCs w:val="20"/>
        </w:rPr>
      </w:pPr>
      <w:r w:rsidRPr="00DD0613">
        <w:rPr>
          <w:i/>
          <w:iCs/>
          <w:sz w:val="20"/>
          <w:szCs w:val="20"/>
        </w:rPr>
        <w:t xml:space="preserve">Note: a) Distribution of ADHD total symptom scores in </w:t>
      </w:r>
      <w:proofErr w:type="spellStart"/>
      <w:r w:rsidRPr="00DD0613">
        <w:rPr>
          <w:i/>
          <w:iCs/>
          <w:sz w:val="20"/>
          <w:szCs w:val="20"/>
        </w:rPr>
        <w:t>EstBB</w:t>
      </w:r>
      <w:proofErr w:type="spellEnd"/>
      <w:r w:rsidRPr="00DD0613">
        <w:rPr>
          <w:i/>
          <w:iCs/>
          <w:sz w:val="20"/>
          <w:szCs w:val="20"/>
        </w:rPr>
        <w:t xml:space="preserve">; b) Distribution of ADHD total symptom scores in </w:t>
      </w:r>
      <w:proofErr w:type="spellStart"/>
      <w:r w:rsidRPr="00DD0613">
        <w:rPr>
          <w:i/>
          <w:iCs/>
          <w:sz w:val="20"/>
          <w:szCs w:val="20"/>
        </w:rPr>
        <w:t>MoBa</w:t>
      </w:r>
      <w:proofErr w:type="spellEnd"/>
      <w:r w:rsidRPr="00DD0613">
        <w:rPr>
          <w:i/>
          <w:iCs/>
          <w:sz w:val="20"/>
          <w:szCs w:val="20"/>
        </w:rPr>
        <w:t xml:space="preserve">; c) Distribution of inattention domain scores in </w:t>
      </w:r>
      <w:proofErr w:type="spellStart"/>
      <w:r w:rsidRPr="00DD0613">
        <w:rPr>
          <w:i/>
          <w:iCs/>
          <w:sz w:val="20"/>
          <w:szCs w:val="20"/>
        </w:rPr>
        <w:t>EstBB</w:t>
      </w:r>
      <w:proofErr w:type="spellEnd"/>
      <w:r w:rsidRPr="00DD0613">
        <w:rPr>
          <w:i/>
          <w:iCs/>
          <w:sz w:val="20"/>
          <w:szCs w:val="20"/>
        </w:rPr>
        <w:t xml:space="preserve">; d) Distribution of inattention domain scores in </w:t>
      </w:r>
      <w:proofErr w:type="spellStart"/>
      <w:r w:rsidRPr="00DD0613">
        <w:rPr>
          <w:i/>
          <w:iCs/>
          <w:sz w:val="20"/>
          <w:szCs w:val="20"/>
        </w:rPr>
        <w:t>MoBa</w:t>
      </w:r>
      <w:proofErr w:type="spellEnd"/>
      <w:r w:rsidRPr="00DD0613">
        <w:rPr>
          <w:i/>
          <w:iCs/>
          <w:sz w:val="20"/>
          <w:szCs w:val="20"/>
        </w:rPr>
        <w:t xml:space="preserve">; e) Distribution of hyperactivity-impulsivity domain scores in </w:t>
      </w:r>
      <w:proofErr w:type="spellStart"/>
      <w:r w:rsidRPr="00DD0613">
        <w:rPr>
          <w:i/>
          <w:iCs/>
          <w:sz w:val="20"/>
          <w:szCs w:val="20"/>
        </w:rPr>
        <w:t>EstBB</w:t>
      </w:r>
      <w:proofErr w:type="spellEnd"/>
      <w:r w:rsidRPr="00DD0613">
        <w:rPr>
          <w:i/>
          <w:iCs/>
          <w:sz w:val="20"/>
          <w:szCs w:val="20"/>
        </w:rPr>
        <w:t xml:space="preserve">; f) Distribution of hyperactivity-impulsivity domain scores in </w:t>
      </w:r>
      <w:proofErr w:type="spellStart"/>
      <w:r w:rsidRPr="00DD0613">
        <w:rPr>
          <w:i/>
          <w:iCs/>
          <w:sz w:val="20"/>
          <w:szCs w:val="20"/>
        </w:rPr>
        <w:t>MoBa</w:t>
      </w:r>
      <w:proofErr w:type="spellEnd"/>
    </w:p>
    <w:p w14:paraId="0F81AAD0" w14:textId="77777777" w:rsidR="007A174F" w:rsidRPr="00DD0613" w:rsidRDefault="007A174F">
      <w:pPr>
        <w:ind w:left="-141"/>
        <w:rPr>
          <w:i/>
          <w:iCs/>
          <w:sz w:val="20"/>
          <w:szCs w:val="20"/>
        </w:rPr>
      </w:pPr>
    </w:p>
    <w:p w14:paraId="0F81AAD1" w14:textId="77777777" w:rsidR="007A174F" w:rsidRPr="00DD0613" w:rsidRDefault="008047A3">
      <w:pPr>
        <w:pStyle w:val="Heading1"/>
      </w:pPr>
      <w:bookmarkStart w:id="8" w:name="_sh2z8yy0d9dn" w:colFirst="0" w:colLast="0"/>
      <w:bookmarkEnd w:id="8"/>
      <w:r w:rsidRPr="00DD0613">
        <w:lastRenderedPageBreak/>
        <w:t>Supplementary Figure 8. Distributions of inattention domain items' scores in the Estonian Biobank (</w:t>
      </w:r>
      <w:proofErr w:type="spellStart"/>
      <w:r w:rsidRPr="00DD0613">
        <w:t>EstBB</w:t>
      </w:r>
      <w:proofErr w:type="spellEnd"/>
      <w:r w:rsidRPr="00DD0613">
        <w:t>) and in the Norwegian Mother, Father and Child Cohort Study (</w:t>
      </w:r>
      <w:proofErr w:type="spellStart"/>
      <w:r w:rsidRPr="00DD0613">
        <w:t>MoBa</w:t>
      </w:r>
      <w:proofErr w:type="spellEnd"/>
      <w:r w:rsidRPr="00DD0613">
        <w:t>).</w:t>
      </w:r>
    </w:p>
    <w:p w14:paraId="0F81AAD2" w14:textId="77777777" w:rsidR="007A174F" w:rsidRPr="003D1861" w:rsidRDefault="008047A3">
      <w:pPr>
        <w:ind w:left="1440"/>
        <w:rPr>
          <w:b/>
          <w:bCs/>
        </w:rPr>
      </w:pPr>
      <w:proofErr w:type="spellStart"/>
      <w:r w:rsidRPr="003D1861">
        <w:rPr>
          <w:b/>
          <w:bCs/>
        </w:rPr>
        <w:t>EstBB</w:t>
      </w:r>
      <w:proofErr w:type="spellEnd"/>
      <w:r w:rsidRPr="003D1861">
        <w:rPr>
          <w:b/>
          <w:bCs/>
        </w:rPr>
        <w:t xml:space="preserve"> (n=77,276)</w:t>
      </w:r>
      <w:r w:rsidRPr="003D1861">
        <w:rPr>
          <w:b/>
          <w:bCs/>
        </w:rPr>
        <w:tab/>
      </w:r>
      <w:r w:rsidRPr="003D1861">
        <w:rPr>
          <w:b/>
          <w:bCs/>
        </w:rPr>
        <w:tab/>
      </w:r>
      <w:r w:rsidRPr="003D1861">
        <w:rPr>
          <w:b/>
          <w:bCs/>
        </w:rPr>
        <w:tab/>
      </w:r>
      <w:r w:rsidRPr="003D1861">
        <w:rPr>
          <w:b/>
          <w:bCs/>
        </w:rPr>
        <w:tab/>
      </w:r>
      <w:proofErr w:type="spellStart"/>
      <w:r w:rsidRPr="003D1861">
        <w:rPr>
          <w:b/>
          <w:bCs/>
        </w:rPr>
        <w:t>MoBa</w:t>
      </w:r>
      <w:proofErr w:type="spellEnd"/>
      <w:r w:rsidRPr="003D1861">
        <w:rPr>
          <w:b/>
          <w:bCs/>
        </w:rPr>
        <w:t xml:space="preserve"> (n=64,229)</w:t>
      </w:r>
    </w:p>
    <w:p w14:paraId="0F81AAD3" w14:textId="77777777" w:rsidR="007A174F" w:rsidRPr="00DD0613" w:rsidRDefault="008047A3">
      <w:pPr>
        <w:ind w:left="-141"/>
        <w:rPr>
          <w:b/>
          <w:bCs/>
          <w:color w:val="FF0000"/>
        </w:rPr>
      </w:pPr>
      <w:r w:rsidRPr="00DD0613">
        <w:rPr>
          <w:b/>
          <w:bCs/>
          <w:noProof/>
          <w:color w:val="FF0000"/>
        </w:rPr>
        <w:drawing>
          <wp:inline distT="114300" distB="114300" distL="114300" distR="114300" wp14:anchorId="0F81AAE9" wp14:editId="0F81AAEA">
            <wp:extent cx="5453063" cy="6104034"/>
            <wp:effectExtent l="0" t="0" r="0" b="0"/>
            <wp:docPr id="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l="1763" t="1674" r="7532" b="5711"/>
                    <a:stretch>
                      <a:fillRect/>
                    </a:stretch>
                  </pic:blipFill>
                  <pic:spPr>
                    <a:xfrm>
                      <a:off x="0" y="0"/>
                      <a:ext cx="5453063" cy="6104034"/>
                    </a:xfrm>
                    <a:prstGeom prst="rect">
                      <a:avLst/>
                    </a:prstGeom>
                    <a:ln/>
                  </pic:spPr>
                </pic:pic>
              </a:graphicData>
            </a:graphic>
          </wp:inline>
        </w:drawing>
      </w:r>
    </w:p>
    <w:p w14:paraId="0F81AAD4" w14:textId="77777777" w:rsidR="007A174F" w:rsidRPr="00DD0613" w:rsidRDefault="008047A3">
      <w:pPr>
        <w:ind w:left="-141"/>
        <w:rPr>
          <w:b/>
          <w:bCs/>
          <w:sz w:val="20"/>
          <w:szCs w:val="20"/>
        </w:rPr>
      </w:pPr>
      <w:r w:rsidRPr="00DD0613">
        <w:rPr>
          <w:i/>
          <w:iCs/>
          <w:sz w:val="20"/>
          <w:szCs w:val="20"/>
        </w:rPr>
        <w:t xml:space="preserve">Note: a) Distribution of INA-1 scores in </w:t>
      </w:r>
      <w:proofErr w:type="spellStart"/>
      <w:r w:rsidRPr="00DD0613">
        <w:rPr>
          <w:i/>
          <w:iCs/>
          <w:sz w:val="20"/>
          <w:szCs w:val="20"/>
        </w:rPr>
        <w:t>EstBB</w:t>
      </w:r>
      <w:proofErr w:type="spellEnd"/>
      <w:r w:rsidRPr="00DD0613">
        <w:rPr>
          <w:i/>
          <w:iCs/>
          <w:sz w:val="20"/>
          <w:szCs w:val="20"/>
        </w:rPr>
        <w:t xml:space="preserve">; b) Distribution of INA-1 scores in </w:t>
      </w:r>
      <w:proofErr w:type="spellStart"/>
      <w:r w:rsidRPr="00DD0613">
        <w:rPr>
          <w:i/>
          <w:iCs/>
          <w:sz w:val="20"/>
          <w:szCs w:val="20"/>
        </w:rPr>
        <w:t>MoBa</w:t>
      </w:r>
      <w:proofErr w:type="spellEnd"/>
      <w:r w:rsidRPr="00DD0613">
        <w:rPr>
          <w:i/>
          <w:iCs/>
          <w:sz w:val="20"/>
          <w:szCs w:val="20"/>
        </w:rPr>
        <w:t xml:space="preserve">; c) Distribution of INA-2 scores in </w:t>
      </w:r>
      <w:proofErr w:type="spellStart"/>
      <w:r w:rsidRPr="00DD0613">
        <w:rPr>
          <w:i/>
          <w:iCs/>
          <w:sz w:val="20"/>
          <w:szCs w:val="20"/>
        </w:rPr>
        <w:t>EstBB</w:t>
      </w:r>
      <w:proofErr w:type="spellEnd"/>
      <w:r w:rsidRPr="00DD0613">
        <w:rPr>
          <w:i/>
          <w:iCs/>
          <w:sz w:val="20"/>
          <w:szCs w:val="20"/>
        </w:rPr>
        <w:t xml:space="preserve">; d) Distribution of INA-2 scores in </w:t>
      </w:r>
      <w:proofErr w:type="spellStart"/>
      <w:r w:rsidRPr="00DD0613">
        <w:rPr>
          <w:i/>
          <w:iCs/>
          <w:sz w:val="20"/>
          <w:szCs w:val="20"/>
        </w:rPr>
        <w:t>MoBa</w:t>
      </w:r>
      <w:proofErr w:type="spellEnd"/>
      <w:r w:rsidRPr="00DD0613">
        <w:rPr>
          <w:i/>
          <w:iCs/>
          <w:sz w:val="20"/>
          <w:szCs w:val="20"/>
        </w:rPr>
        <w:t xml:space="preserve">; e) Distribution of INA-3 scores in </w:t>
      </w:r>
      <w:proofErr w:type="spellStart"/>
      <w:r w:rsidRPr="00DD0613">
        <w:rPr>
          <w:i/>
          <w:iCs/>
          <w:sz w:val="20"/>
          <w:szCs w:val="20"/>
        </w:rPr>
        <w:t>EstBB</w:t>
      </w:r>
      <w:proofErr w:type="spellEnd"/>
      <w:r w:rsidRPr="00DD0613">
        <w:rPr>
          <w:i/>
          <w:iCs/>
          <w:sz w:val="20"/>
          <w:szCs w:val="20"/>
        </w:rPr>
        <w:t xml:space="preserve">; f) Distribution of INA-3 scores in </w:t>
      </w:r>
      <w:proofErr w:type="spellStart"/>
      <w:r w:rsidRPr="00DD0613">
        <w:rPr>
          <w:i/>
          <w:iCs/>
          <w:sz w:val="20"/>
          <w:szCs w:val="20"/>
        </w:rPr>
        <w:t>MoBa</w:t>
      </w:r>
      <w:proofErr w:type="spellEnd"/>
      <w:r w:rsidRPr="00DD0613">
        <w:rPr>
          <w:i/>
          <w:iCs/>
          <w:sz w:val="20"/>
          <w:szCs w:val="20"/>
        </w:rPr>
        <w:t xml:space="preserve">; g) Distribution of INA-4 scores in </w:t>
      </w:r>
      <w:proofErr w:type="spellStart"/>
      <w:r w:rsidRPr="00DD0613">
        <w:rPr>
          <w:i/>
          <w:iCs/>
          <w:sz w:val="20"/>
          <w:szCs w:val="20"/>
        </w:rPr>
        <w:t>EstBB</w:t>
      </w:r>
      <w:proofErr w:type="spellEnd"/>
      <w:r w:rsidRPr="00DD0613">
        <w:rPr>
          <w:i/>
          <w:iCs/>
          <w:sz w:val="20"/>
          <w:szCs w:val="20"/>
        </w:rPr>
        <w:t xml:space="preserve">; h) Distribution of INA-4 scores in </w:t>
      </w:r>
      <w:proofErr w:type="spellStart"/>
      <w:r w:rsidRPr="00DD0613">
        <w:rPr>
          <w:i/>
          <w:iCs/>
          <w:sz w:val="20"/>
          <w:szCs w:val="20"/>
        </w:rPr>
        <w:t>MoBa</w:t>
      </w:r>
      <w:proofErr w:type="spellEnd"/>
      <w:r w:rsidRPr="00DD0613">
        <w:rPr>
          <w:i/>
          <w:iCs/>
          <w:sz w:val="20"/>
          <w:szCs w:val="20"/>
        </w:rPr>
        <w:t xml:space="preserve">; INA-1 – „How often do you have trouble wrapping up the final details of a project, once the challenging parts have been done?“; INA-2 – „How often do you have difficulty getting things in order when you have to do a task that requires organization?“; INA-3 – „How often do you have problems remembering appointments or obligations“; INA-4 – „When you have a task that requires a lot of thought, how often do you avoid or delay getting started?“ </w:t>
      </w:r>
    </w:p>
    <w:p w14:paraId="0F81AAD5" w14:textId="77777777" w:rsidR="007A174F" w:rsidRPr="00DD0613" w:rsidRDefault="008047A3">
      <w:pPr>
        <w:pStyle w:val="Heading1"/>
      </w:pPr>
      <w:bookmarkStart w:id="9" w:name="_138yhvdrzz7b" w:colFirst="0" w:colLast="0"/>
      <w:bookmarkEnd w:id="9"/>
      <w:r w:rsidRPr="00DD0613">
        <w:lastRenderedPageBreak/>
        <w:t>Supplementary Figure 9. Distributions of hyperactivity-impulsivity domain items' scores in the Estonian Biobank (</w:t>
      </w:r>
      <w:proofErr w:type="spellStart"/>
      <w:r w:rsidRPr="00DD0613">
        <w:t>EstBB</w:t>
      </w:r>
      <w:proofErr w:type="spellEnd"/>
      <w:r w:rsidRPr="00DD0613">
        <w:t>) and in the Norwegian Mother, Father and Child Cohort Study (</w:t>
      </w:r>
      <w:proofErr w:type="spellStart"/>
      <w:r w:rsidRPr="00DD0613">
        <w:t>MoBa</w:t>
      </w:r>
      <w:proofErr w:type="spellEnd"/>
      <w:r w:rsidRPr="00DD0613">
        <w:t>).</w:t>
      </w:r>
    </w:p>
    <w:p w14:paraId="0F81AAD6" w14:textId="77777777" w:rsidR="007A174F" w:rsidRPr="003D1861" w:rsidRDefault="008047A3">
      <w:pPr>
        <w:ind w:left="1440"/>
        <w:rPr>
          <w:b/>
          <w:bCs/>
        </w:rPr>
      </w:pPr>
      <w:proofErr w:type="spellStart"/>
      <w:r w:rsidRPr="003D1861">
        <w:rPr>
          <w:b/>
          <w:bCs/>
        </w:rPr>
        <w:t>EstBB</w:t>
      </w:r>
      <w:proofErr w:type="spellEnd"/>
      <w:r w:rsidRPr="003D1861">
        <w:rPr>
          <w:b/>
          <w:bCs/>
        </w:rPr>
        <w:t xml:space="preserve"> (n=77,276)</w:t>
      </w:r>
      <w:r w:rsidRPr="003D1861">
        <w:rPr>
          <w:b/>
          <w:bCs/>
        </w:rPr>
        <w:tab/>
      </w:r>
      <w:r w:rsidRPr="003D1861">
        <w:rPr>
          <w:b/>
          <w:bCs/>
        </w:rPr>
        <w:tab/>
      </w:r>
      <w:r w:rsidRPr="003D1861">
        <w:rPr>
          <w:b/>
          <w:bCs/>
        </w:rPr>
        <w:tab/>
      </w:r>
      <w:r w:rsidRPr="003D1861">
        <w:rPr>
          <w:b/>
          <w:bCs/>
        </w:rPr>
        <w:tab/>
      </w:r>
      <w:proofErr w:type="spellStart"/>
      <w:r w:rsidRPr="003D1861">
        <w:rPr>
          <w:b/>
          <w:bCs/>
        </w:rPr>
        <w:t>MoBa</w:t>
      </w:r>
      <w:proofErr w:type="spellEnd"/>
      <w:r w:rsidRPr="003D1861">
        <w:rPr>
          <w:b/>
          <w:bCs/>
        </w:rPr>
        <w:t xml:space="preserve"> (n=64,229)</w:t>
      </w:r>
    </w:p>
    <w:p w14:paraId="0F81AAD7" w14:textId="77777777" w:rsidR="007A174F" w:rsidRPr="00DD0613" w:rsidRDefault="008047A3">
      <w:pPr>
        <w:ind w:left="-141"/>
        <w:rPr>
          <w:b/>
          <w:bCs/>
        </w:rPr>
      </w:pPr>
      <w:r w:rsidRPr="00DD0613">
        <w:rPr>
          <w:b/>
          <w:bCs/>
          <w:noProof/>
        </w:rPr>
        <w:drawing>
          <wp:inline distT="114300" distB="114300" distL="114300" distR="114300" wp14:anchorId="0F81AAEB" wp14:editId="0F81AAEC">
            <wp:extent cx="5676900" cy="3474437"/>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l="1763" t="928" r="2724" b="46290"/>
                    <a:stretch>
                      <a:fillRect/>
                    </a:stretch>
                  </pic:blipFill>
                  <pic:spPr>
                    <a:xfrm>
                      <a:off x="0" y="0"/>
                      <a:ext cx="5676900" cy="3474437"/>
                    </a:xfrm>
                    <a:prstGeom prst="rect">
                      <a:avLst/>
                    </a:prstGeom>
                    <a:ln/>
                  </pic:spPr>
                </pic:pic>
              </a:graphicData>
            </a:graphic>
          </wp:inline>
        </w:drawing>
      </w:r>
    </w:p>
    <w:p w14:paraId="0F81AAD8" w14:textId="77777777" w:rsidR="007A174F" w:rsidRPr="00DD0613" w:rsidRDefault="008047A3">
      <w:pPr>
        <w:ind w:left="-141"/>
        <w:rPr>
          <w:i/>
          <w:iCs/>
          <w:sz w:val="20"/>
          <w:szCs w:val="20"/>
        </w:rPr>
      </w:pPr>
      <w:r w:rsidRPr="00DD0613">
        <w:rPr>
          <w:i/>
          <w:iCs/>
          <w:sz w:val="20"/>
          <w:szCs w:val="20"/>
        </w:rPr>
        <w:t xml:space="preserve">Note: a) Distribution of HYP/IMP-1 scores in </w:t>
      </w:r>
      <w:proofErr w:type="spellStart"/>
      <w:r w:rsidRPr="00DD0613">
        <w:rPr>
          <w:i/>
          <w:iCs/>
          <w:sz w:val="20"/>
          <w:szCs w:val="20"/>
        </w:rPr>
        <w:t>EstBB</w:t>
      </w:r>
      <w:proofErr w:type="spellEnd"/>
      <w:r w:rsidRPr="00DD0613">
        <w:rPr>
          <w:i/>
          <w:iCs/>
          <w:sz w:val="20"/>
          <w:szCs w:val="20"/>
        </w:rPr>
        <w:t xml:space="preserve">; b) Distribution of HYP/IMP-1 scores in </w:t>
      </w:r>
      <w:proofErr w:type="spellStart"/>
      <w:r w:rsidRPr="00DD0613">
        <w:rPr>
          <w:i/>
          <w:iCs/>
          <w:sz w:val="20"/>
          <w:szCs w:val="20"/>
        </w:rPr>
        <w:t>MoBa</w:t>
      </w:r>
      <w:proofErr w:type="spellEnd"/>
      <w:r w:rsidRPr="00DD0613">
        <w:rPr>
          <w:i/>
          <w:iCs/>
          <w:sz w:val="20"/>
          <w:szCs w:val="20"/>
        </w:rPr>
        <w:t xml:space="preserve">; c) Distribution of HYP/IMP-2 scores in </w:t>
      </w:r>
      <w:proofErr w:type="spellStart"/>
      <w:r w:rsidRPr="00DD0613">
        <w:rPr>
          <w:i/>
          <w:iCs/>
          <w:sz w:val="20"/>
          <w:szCs w:val="20"/>
        </w:rPr>
        <w:t>EstBB</w:t>
      </w:r>
      <w:proofErr w:type="spellEnd"/>
      <w:r w:rsidRPr="00DD0613">
        <w:rPr>
          <w:i/>
          <w:iCs/>
          <w:sz w:val="20"/>
          <w:szCs w:val="20"/>
        </w:rPr>
        <w:t xml:space="preserve">; d) Distribution of HYP/IMP-2 scores in </w:t>
      </w:r>
      <w:proofErr w:type="spellStart"/>
      <w:r w:rsidRPr="00DD0613">
        <w:rPr>
          <w:i/>
          <w:iCs/>
          <w:sz w:val="20"/>
          <w:szCs w:val="20"/>
        </w:rPr>
        <w:t>MoBa</w:t>
      </w:r>
      <w:proofErr w:type="spellEnd"/>
      <w:r w:rsidRPr="00DD0613">
        <w:rPr>
          <w:i/>
          <w:iCs/>
          <w:sz w:val="20"/>
          <w:szCs w:val="20"/>
        </w:rPr>
        <w:t>; HYP/IMP-1 – „How often do you fidget or squirm with your hands or feet when you have to sit down for a long time?“; HYP/IMP-2 – „How often do you feel overly active and compelled to do things, like you were driven by a motor?“.</w:t>
      </w:r>
    </w:p>
    <w:p w14:paraId="0F81AAD9" w14:textId="77777777" w:rsidR="007A174F" w:rsidRPr="00DD0613" w:rsidRDefault="007A174F">
      <w:pPr>
        <w:ind w:left="-141"/>
        <w:rPr>
          <w:b/>
          <w:bCs/>
          <w:color w:val="1D1C1D"/>
        </w:rPr>
      </w:pPr>
    </w:p>
    <w:p w14:paraId="0F81AADA" w14:textId="77777777" w:rsidR="007A174F" w:rsidRPr="00DD0613" w:rsidRDefault="007A174F">
      <w:pPr>
        <w:ind w:left="-141"/>
        <w:rPr>
          <w:i/>
          <w:iCs/>
          <w:sz w:val="20"/>
          <w:szCs w:val="20"/>
        </w:rPr>
      </w:pPr>
    </w:p>
    <w:sectPr w:rsidR="007A174F" w:rsidRPr="00DD0613">
      <w:pgSz w:w="12220" w:h="15820"/>
      <w:pgMar w:top="1133"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02126" w14:textId="77777777" w:rsidR="006F0FE1" w:rsidRPr="00DD0613" w:rsidRDefault="006F0FE1">
      <w:pPr>
        <w:spacing w:after="0" w:line="240" w:lineRule="auto"/>
      </w:pPr>
      <w:r w:rsidRPr="00DD0613">
        <w:separator/>
      </w:r>
    </w:p>
  </w:endnote>
  <w:endnote w:type="continuationSeparator" w:id="0">
    <w:p w14:paraId="477388D3" w14:textId="77777777" w:rsidR="006F0FE1" w:rsidRPr="00DD0613" w:rsidRDefault="006F0FE1">
      <w:pPr>
        <w:spacing w:after="0" w:line="240" w:lineRule="auto"/>
      </w:pPr>
      <w:r w:rsidRPr="00DD06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64F9CB55-8DD5-4709-AFBE-4E149353A64E}"/>
    <w:embedBold r:id="rId2" w:fontKey="{060576C4-E896-49E4-9149-2AA6A2597327}"/>
    <w:embedItalic r:id="rId3" w:fontKey="{042E4BD1-E1DF-4C1A-B561-61CC069D529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Italic r:id="rId4" w:fontKey="{BA422294-D4D5-426E-A2A7-FAB067C8E937}"/>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embedRegular r:id="rId5" w:fontKey="{27636750-3B09-4B04-8929-938486F36A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1191819"/>
      <w:docPartObj>
        <w:docPartGallery w:val="Page Numbers (Bottom of Page)"/>
        <w:docPartUnique/>
      </w:docPartObj>
    </w:sdtPr>
    <w:sdtEndPr>
      <w:rPr>
        <w:noProof/>
      </w:rPr>
    </w:sdtEndPr>
    <w:sdtContent>
      <w:p w14:paraId="142B39BF" w14:textId="64BFD428" w:rsidR="003E0CE7" w:rsidRDefault="003E0CE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C12CB5" w14:textId="77777777" w:rsidR="003E0CE7" w:rsidRDefault="003E0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C4A86" w14:textId="77777777" w:rsidR="006F0FE1" w:rsidRPr="00DD0613" w:rsidRDefault="006F0FE1">
      <w:pPr>
        <w:spacing w:after="0" w:line="240" w:lineRule="auto"/>
      </w:pPr>
      <w:r w:rsidRPr="00DD0613">
        <w:separator/>
      </w:r>
    </w:p>
  </w:footnote>
  <w:footnote w:type="continuationSeparator" w:id="0">
    <w:p w14:paraId="476E8901" w14:textId="77777777" w:rsidR="006F0FE1" w:rsidRPr="00DD0613" w:rsidRDefault="006F0FE1">
      <w:pPr>
        <w:spacing w:after="0" w:line="240" w:lineRule="auto"/>
      </w:pPr>
      <w:r w:rsidRPr="00DD0613">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74F"/>
    <w:rsid w:val="0019276D"/>
    <w:rsid w:val="002B6270"/>
    <w:rsid w:val="003C695A"/>
    <w:rsid w:val="003D1861"/>
    <w:rsid w:val="003E0CE7"/>
    <w:rsid w:val="00452468"/>
    <w:rsid w:val="005B3ADF"/>
    <w:rsid w:val="006D5476"/>
    <w:rsid w:val="006F0FE1"/>
    <w:rsid w:val="007A174F"/>
    <w:rsid w:val="008047A3"/>
    <w:rsid w:val="008E7C64"/>
    <w:rsid w:val="0090405E"/>
    <w:rsid w:val="00A32580"/>
    <w:rsid w:val="00AC0775"/>
    <w:rsid w:val="00D22DDF"/>
    <w:rsid w:val="00D361CC"/>
    <w:rsid w:val="00DD0613"/>
    <w:rsid w:val="00F438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1AA9D"/>
  <w15:docId w15:val="{ED878A4C-185A-4F0F-98C2-30269EB53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t-EE"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uiPriority w:val="9"/>
    <w:qFormat/>
    <w:pPr>
      <w:keepNext/>
      <w:keepLines/>
      <w:ind w:left="-141"/>
      <w:outlineLvl w:val="0"/>
    </w:pPr>
    <w:rPr>
      <w:b/>
      <w:bCs/>
      <w:color w:val="1D1C1D"/>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3E0CE7"/>
    <w:pPr>
      <w:tabs>
        <w:tab w:val="center" w:pos="4536"/>
        <w:tab w:val="right" w:pos="9072"/>
      </w:tabs>
      <w:spacing w:after="0" w:line="240" w:lineRule="auto"/>
    </w:pPr>
  </w:style>
  <w:style w:type="character" w:customStyle="1" w:styleId="HeaderChar">
    <w:name w:val="Header Char"/>
    <w:basedOn w:val="DefaultParagraphFont"/>
    <w:link w:val="Header"/>
    <w:uiPriority w:val="99"/>
    <w:rsid w:val="003E0CE7"/>
    <w:rPr>
      <w:lang w:val="en-GB"/>
    </w:rPr>
  </w:style>
  <w:style w:type="paragraph" w:styleId="Footer">
    <w:name w:val="footer"/>
    <w:basedOn w:val="Normal"/>
    <w:link w:val="FooterChar"/>
    <w:uiPriority w:val="99"/>
    <w:unhideWhenUsed/>
    <w:rsid w:val="003E0CE7"/>
    <w:pPr>
      <w:tabs>
        <w:tab w:val="center" w:pos="4536"/>
        <w:tab w:val="right" w:pos="9072"/>
      </w:tabs>
      <w:spacing w:after="0" w:line="240" w:lineRule="auto"/>
    </w:pPr>
  </w:style>
  <w:style w:type="character" w:customStyle="1" w:styleId="FooterChar">
    <w:name w:val="Footer Char"/>
    <w:basedOn w:val="DefaultParagraphFont"/>
    <w:link w:val="Footer"/>
    <w:uiPriority w:val="99"/>
    <w:rsid w:val="003E0CE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7.jp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6.jp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5.jpg"/><Relationship Id="rId5" Type="http://schemas.openxmlformats.org/officeDocument/2006/relationships/endnotes" Target="endnotes.xml"/><Relationship Id="rId15" Type="http://schemas.openxmlformats.org/officeDocument/2006/relationships/image" Target="media/image9.jpg"/><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8.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1181</Words>
  <Characters>6732</Characters>
  <Application>Microsoft Office Word</Application>
  <DocSecurity>0</DocSecurity>
  <Lines>56</Lines>
  <Paragraphs>15</Paragraphs>
  <ScaleCrop>false</ScaleCrop>
  <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Triinu Varvas</cp:lastModifiedBy>
  <cp:revision>13</cp:revision>
  <dcterms:created xsi:type="dcterms:W3CDTF">2026-05-25T10:40:00Z</dcterms:created>
  <dcterms:modified xsi:type="dcterms:W3CDTF">2026-05-28T14:40:00Z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0x01010033A7BE741D98B5439AA2498196DC6C73</vt:lpwstr>
  </property>
</Properties>
</file>