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4085" w14:textId="77777777" w:rsidR="00877F70" w:rsidRPr="007B63DF" w:rsidRDefault="00877F70" w:rsidP="00877F70">
      <w:pPr>
        <w:spacing w:after="160" w:line="259" w:lineRule="auto"/>
        <w:ind w:left="-141"/>
        <w:rPr>
          <w:rFonts w:ascii="Calibri" w:eastAsia="Calibri" w:hAnsi="Calibri" w:cs="Calibri"/>
          <w:b/>
          <w:bCs/>
          <w:sz w:val="24"/>
          <w:szCs w:val="24"/>
        </w:rPr>
      </w:pPr>
      <w:r w:rsidRPr="007B63DF">
        <w:rPr>
          <w:rFonts w:ascii="Calibri" w:eastAsia="Calibri" w:hAnsi="Calibri" w:cs="Calibri"/>
          <w:b/>
          <w:bCs/>
          <w:sz w:val="24"/>
          <w:szCs w:val="24"/>
        </w:rPr>
        <w:t>Extended Data</w:t>
      </w:r>
    </w:p>
    <w:p w14:paraId="49B4B01B" w14:textId="77777777" w:rsidR="00133F27" w:rsidRPr="00133F27" w:rsidRDefault="00133F27" w:rsidP="00133F27">
      <w:pPr>
        <w:spacing w:after="160" w:line="259" w:lineRule="auto"/>
        <w:ind w:left="-141"/>
        <w:rPr>
          <w:rFonts w:ascii="Calibri" w:eastAsia="Calibri" w:hAnsi="Calibri" w:cs="Calibri"/>
          <w:b/>
          <w:bCs/>
        </w:rPr>
      </w:pPr>
      <w:r w:rsidRPr="00133F27">
        <w:rPr>
          <w:rFonts w:ascii="Calibri" w:eastAsia="Calibri" w:hAnsi="Calibri" w:cs="Calibri"/>
          <w:b/>
          <w:bCs/>
        </w:rPr>
        <w:t>Genome-wide meta-analysis of ADHD symptoms in the adult general population reveals distinct genetics of inattention and hyperactivity-impulsivity</w:t>
      </w:r>
    </w:p>
    <w:p w14:paraId="1AB6C40C" w14:textId="77777777" w:rsidR="006F4E07" w:rsidRDefault="006F4E07" w:rsidP="00B65D5A">
      <w:pPr>
        <w:spacing w:after="160" w:line="259" w:lineRule="auto"/>
        <w:ind w:left="-141"/>
        <w:rPr>
          <w:rFonts w:ascii="Calibri" w:eastAsia="Calibri" w:hAnsi="Calibri" w:cs="Calibri"/>
          <w:b/>
          <w:bCs/>
        </w:rPr>
      </w:pPr>
    </w:p>
    <w:p w14:paraId="2CA90EE5" w14:textId="77777777" w:rsidR="00AB38F2" w:rsidRPr="007B63DF" w:rsidRDefault="00D26AB2">
      <w:pPr>
        <w:spacing w:after="160" w:line="259" w:lineRule="auto"/>
        <w:ind w:left="-141"/>
        <w:rPr>
          <w:rFonts w:ascii="Calibri" w:eastAsia="Calibri" w:hAnsi="Calibri" w:cs="Calibri"/>
          <w:color w:val="1D1C1D"/>
        </w:rPr>
      </w:pPr>
      <w:r w:rsidRPr="007B63DF">
        <w:rPr>
          <w:rFonts w:ascii="Calibri" w:eastAsia="Calibri" w:hAnsi="Calibri" w:cs="Calibri"/>
          <w:b/>
          <w:bCs/>
          <w:color w:val="1D1C1D"/>
        </w:rPr>
        <w:t>Extended Data Table 1. Association results for the lead variants in the genome-wide association meta-analysis of adult ADHD symptom scores.</w:t>
      </w:r>
    </w:p>
    <w:tbl>
      <w:tblPr>
        <w:tblW w:w="8741" w:type="dxa"/>
        <w:tblInd w:w="-142" w:type="dxa"/>
        <w:tblCellMar>
          <w:left w:w="0" w:type="dxa"/>
          <w:right w:w="0" w:type="dxa"/>
        </w:tblCellMar>
        <w:tblLook w:val="0420" w:firstRow="1" w:lastRow="0" w:firstColumn="0" w:lastColumn="0" w:noHBand="0" w:noVBand="1"/>
      </w:tblPr>
      <w:tblGrid>
        <w:gridCol w:w="992"/>
        <w:gridCol w:w="848"/>
        <w:gridCol w:w="315"/>
        <w:gridCol w:w="954"/>
        <w:gridCol w:w="213"/>
        <w:gridCol w:w="364"/>
        <w:gridCol w:w="567"/>
        <w:gridCol w:w="773"/>
        <w:gridCol w:w="535"/>
        <w:gridCol w:w="530"/>
        <w:gridCol w:w="832"/>
        <w:gridCol w:w="1818"/>
      </w:tblGrid>
      <w:tr w:rsidR="00453AD5" w:rsidRPr="007B63DF" w14:paraId="3C2C50D3" w14:textId="77777777" w:rsidTr="00C22397">
        <w:trPr>
          <w:trHeight w:val="384"/>
        </w:trPr>
        <w:tc>
          <w:tcPr>
            <w:tcW w:w="992" w:type="dxa"/>
            <w:tcBorders>
              <w:top w:val="single" w:sz="8" w:space="0" w:color="000000"/>
              <w:left w:val="nil"/>
              <w:bottom w:val="single" w:sz="8" w:space="0" w:color="000000"/>
              <w:right w:val="single" w:sz="4" w:space="0" w:color="000000"/>
            </w:tcBorders>
            <w:tcMar>
              <w:top w:w="15" w:type="dxa"/>
              <w:left w:w="19" w:type="dxa"/>
              <w:bottom w:w="0" w:type="dxa"/>
              <w:right w:w="19" w:type="dxa"/>
            </w:tcMar>
            <w:vAlign w:val="center"/>
            <w:hideMark/>
          </w:tcPr>
          <w:p w14:paraId="73CFB26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Phenotype</w:t>
            </w:r>
          </w:p>
        </w:tc>
        <w:tc>
          <w:tcPr>
            <w:tcW w:w="848" w:type="dxa"/>
            <w:tcBorders>
              <w:top w:val="single" w:sz="8" w:space="0" w:color="000000"/>
              <w:left w:val="single" w:sz="4" w:space="0" w:color="000000"/>
              <w:bottom w:val="single" w:sz="8" w:space="0" w:color="000000"/>
              <w:right w:val="nil"/>
            </w:tcBorders>
            <w:tcMar>
              <w:top w:w="15" w:type="dxa"/>
              <w:left w:w="19" w:type="dxa"/>
              <w:bottom w:w="0" w:type="dxa"/>
              <w:right w:w="19" w:type="dxa"/>
            </w:tcMar>
            <w:vAlign w:val="center"/>
            <w:hideMark/>
          </w:tcPr>
          <w:p w14:paraId="01FB4846" w14:textId="77777777" w:rsidR="00453AD5" w:rsidRPr="007B63DF" w:rsidRDefault="00453AD5" w:rsidP="00453AD5">
            <w:pPr>
              <w:spacing w:line="240" w:lineRule="auto"/>
              <w:textAlignment w:val="bottom"/>
              <w:rPr>
                <w:rFonts w:ascii="Calibri" w:eastAsia="Times New Roman" w:hAnsi="Calibri" w:cs="Calibri"/>
                <w:sz w:val="16"/>
                <w:szCs w:val="16"/>
              </w:rPr>
            </w:pPr>
            <w:proofErr w:type="spellStart"/>
            <w:r w:rsidRPr="007B63DF">
              <w:rPr>
                <w:rFonts w:ascii="Calibri" w:eastAsia="Calibri" w:hAnsi="Calibri" w:cs="Calibri"/>
                <w:b/>
                <w:bCs/>
                <w:color w:val="000000" w:themeColor="text1"/>
                <w:kern w:val="24"/>
                <w:sz w:val="16"/>
                <w:szCs w:val="16"/>
              </w:rPr>
              <w:t>rsID</w:t>
            </w:r>
            <w:proofErr w:type="spellEnd"/>
          </w:p>
        </w:tc>
        <w:tc>
          <w:tcPr>
            <w:tcW w:w="315"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201063D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CHR</w:t>
            </w:r>
          </w:p>
        </w:tc>
        <w:tc>
          <w:tcPr>
            <w:tcW w:w="954"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2FD33B1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Position</w:t>
            </w:r>
          </w:p>
        </w:tc>
        <w:tc>
          <w:tcPr>
            <w:tcW w:w="213"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558E1E1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EA</w:t>
            </w:r>
          </w:p>
        </w:tc>
        <w:tc>
          <w:tcPr>
            <w:tcW w:w="364"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48246E0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NEA</w:t>
            </w:r>
          </w:p>
        </w:tc>
        <w:tc>
          <w:tcPr>
            <w:tcW w:w="567"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389E0C6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MAF (EUR)</w:t>
            </w:r>
          </w:p>
        </w:tc>
        <w:tc>
          <w:tcPr>
            <w:tcW w:w="773"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224EFA61"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P-VALUE</w:t>
            </w:r>
          </w:p>
        </w:tc>
        <w:tc>
          <w:tcPr>
            <w:tcW w:w="535"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4AE813B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BETA</w:t>
            </w:r>
          </w:p>
        </w:tc>
        <w:tc>
          <w:tcPr>
            <w:tcW w:w="530"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4449EB7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SE</w:t>
            </w:r>
          </w:p>
        </w:tc>
        <w:tc>
          <w:tcPr>
            <w:tcW w:w="832"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62DBEC3B"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Prioritised gene(s)</w:t>
            </w:r>
          </w:p>
        </w:tc>
        <w:tc>
          <w:tcPr>
            <w:tcW w:w="1818" w:type="dxa"/>
            <w:tcBorders>
              <w:top w:val="single" w:sz="8" w:space="0" w:color="000000"/>
              <w:left w:val="nil"/>
              <w:bottom w:val="single" w:sz="8" w:space="0" w:color="000000"/>
              <w:right w:val="nil"/>
            </w:tcBorders>
            <w:tcMar>
              <w:top w:w="15" w:type="dxa"/>
              <w:left w:w="19" w:type="dxa"/>
              <w:bottom w:w="0" w:type="dxa"/>
              <w:right w:w="19" w:type="dxa"/>
            </w:tcMar>
            <w:vAlign w:val="center"/>
            <w:hideMark/>
          </w:tcPr>
          <w:p w14:paraId="2A027AC3"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Reasons for prioritisation</w:t>
            </w:r>
          </w:p>
        </w:tc>
      </w:tr>
      <w:tr w:rsidR="00453AD5" w:rsidRPr="007B63DF" w14:paraId="237C41AC" w14:textId="77777777" w:rsidTr="00C22397">
        <w:trPr>
          <w:trHeight w:val="384"/>
        </w:trPr>
        <w:tc>
          <w:tcPr>
            <w:tcW w:w="992" w:type="dxa"/>
            <w:vMerge w:val="restart"/>
            <w:tcBorders>
              <w:top w:val="single" w:sz="8" w:space="0" w:color="000000"/>
              <w:left w:val="nil"/>
              <w:bottom w:val="single" w:sz="8" w:space="0" w:color="000000"/>
              <w:right w:val="single" w:sz="4" w:space="0" w:color="000000"/>
            </w:tcBorders>
            <w:tcMar>
              <w:top w:w="15" w:type="dxa"/>
              <w:left w:w="19" w:type="dxa"/>
              <w:bottom w:w="0" w:type="dxa"/>
              <w:right w:w="19" w:type="dxa"/>
            </w:tcMar>
            <w:vAlign w:val="center"/>
            <w:hideMark/>
          </w:tcPr>
          <w:p w14:paraId="0B257B28"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 xml:space="preserve">Total </w:t>
            </w:r>
          </w:p>
          <w:p w14:paraId="37F27277"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symptom score</w:t>
            </w:r>
          </w:p>
        </w:tc>
        <w:tc>
          <w:tcPr>
            <w:tcW w:w="848" w:type="dxa"/>
            <w:tcBorders>
              <w:top w:val="single" w:sz="8" w:space="0" w:color="000000"/>
              <w:left w:val="single" w:sz="4" w:space="0" w:color="000000"/>
              <w:bottom w:val="single" w:sz="8" w:space="0" w:color="D1D1D1"/>
              <w:right w:val="nil"/>
            </w:tcBorders>
            <w:tcMar>
              <w:top w:w="15" w:type="dxa"/>
              <w:left w:w="19" w:type="dxa"/>
              <w:bottom w:w="0" w:type="dxa"/>
              <w:right w:w="19" w:type="dxa"/>
            </w:tcMar>
            <w:vAlign w:val="center"/>
            <w:hideMark/>
          </w:tcPr>
          <w:p w14:paraId="6B1E1D43"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rs7450556</w:t>
            </w:r>
          </w:p>
        </w:tc>
        <w:tc>
          <w:tcPr>
            <w:tcW w:w="315"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7D5591F7"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6</w:t>
            </w:r>
          </w:p>
        </w:tc>
        <w:tc>
          <w:tcPr>
            <w:tcW w:w="954"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56CDB00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26299900</w:t>
            </w:r>
          </w:p>
        </w:tc>
        <w:tc>
          <w:tcPr>
            <w:tcW w:w="213"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2BE7142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364"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5AFBD4B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567"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0A1C0FBB"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0.45</w:t>
            </w:r>
          </w:p>
        </w:tc>
        <w:tc>
          <w:tcPr>
            <w:tcW w:w="773"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7194229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2.58e-14</w:t>
            </w:r>
          </w:p>
        </w:tc>
        <w:tc>
          <w:tcPr>
            <w:tcW w:w="535"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5AFFFAC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0.0280</w:t>
            </w:r>
          </w:p>
        </w:tc>
        <w:tc>
          <w:tcPr>
            <w:tcW w:w="530"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2943C0B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0.0037</w:t>
            </w:r>
          </w:p>
        </w:tc>
        <w:tc>
          <w:tcPr>
            <w:tcW w:w="832"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2744F6F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H4C8, HIST1H2BE</w:t>
            </w:r>
          </w:p>
        </w:tc>
        <w:tc>
          <w:tcPr>
            <w:tcW w:w="1818"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1BC303FA"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 xml:space="preserve">Nearest gene, </w:t>
            </w:r>
            <w:r w:rsidRPr="007B63DF">
              <w:rPr>
                <w:rFonts w:ascii="Calibri" w:eastAsia="Calibri" w:hAnsi="Calibri" w:cs="Calibri"/>
                <w:i/>
                <w:iCs/>
                <w:color w:val="000000" w:themeColor="text1"/>
                <w:kern w:val="24"/>
                <w:sz w:val="16"/>
                <w:szCs w:val="16"/>
              </w:rPr>
              <w:t>HIST1H2BE</w:t>
            </w:r>
            <w:r w:rsidRPr="007B63DF">
              <w:rPr>
                <w:rFonts w:ascii="Calibri" w:eastAsia="Calibri" w:hAnsi="Calibri" w:cs="Calibri"/>
                <w:color w:val="000000" w:themeColor="text1"/>
                <w:kern w:val="24"/>
                <w:sz w:val="16"/>
                <w:szCs w:val="16"/>
              </w:rPr>
              <w:t xml:space="preserve"> has a coding variant in high LD with the lead variant</w:t>
            </w:r>
          </w:p>
        </w:tc>
      </w:tr>
      <w:tr w:rsidR="00453AD5" w:rsidRPr="007B63DF" w14:paraId="3961F9BE"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70F031A2"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49ACFF00"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rs34862781</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CBF7340"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7B5265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13305263</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6B8C5AA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A</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27F89D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G</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1D80BF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0.44</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850F80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7.6e-11</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547EC8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-0.0236</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34AA60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0.0036</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1D12FD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ARNTL/</w:t>
            </w:r>
          </w:p>
          <w:p w14:paraId="0125334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BMAL1</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B2C310A"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biological role, mice evidence</w:t>
            </w:r>
          </w:p>
        </w:tc>
      </w:tr>
      <w:tr w:rsidR="00453AD5" w:rsidRPr="007B63DF" w14:paraId="3D892E85"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7EB6BA56"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43176257"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rs11039398</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3246910"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6DF734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47822217</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555B34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3CB476A"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387F962F"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0.29</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1B1596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4.28e-09</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BBF6D1A"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0.0237</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9C9707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0.0040</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FED306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FNBP4</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69675DDF"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biological role</w:t>
            </w:r>
          </w:p>
        </w:tc>
      </w:tr>
      <w:tr w:rsidR="00453AD5" w:rsidRPr="007B63DF" w14:paraId="349BF4DF"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52CA7D7B"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3D3CB75E"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rs2513637</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D536943"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63FA208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115403577</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DBFD30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A</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30FC5E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F2718C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0.16</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9EDCA6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2.53e-08</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3279C76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0.0287</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4E37E1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0.0051</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6689FE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 xml:space="preserve">CADM1 </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6CC3F10"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associated previously with ADHD, mice evidence</w:t>
            </w:r>
          </w:p>
        </w:tc>
      </w:tr>
      <w:tr w:rsidR="00453AD5" w:rsidRPr="007B63DF" w14:paraId="64B7FA86"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5E0DE15B"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000000"/>
              <w:right w:val="nil"/>
            </w:tcBorders>
            <w:tcMar>
              <w:top w:w="15" w:type="dxa"/>
              <w:left w:w="19" w:type="dxa"/>
              <w:bottom w:w="0" w:type="dxa"/>
              <w:right w:w="19" w:type="dxa"/>
            </w:tcMar>
            <w:vAlign w:val="center"/>
            <w:hideMark/>
          </w:tcPr>
          <w:p w14:paraId="558B51CC"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rs4074982</w:t>
            </w:r>
          </w:p>
        </w:tc>
        <w:tc>
          <w:tcPr>
            <w:tcW w:w="315"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5CCDF4F8"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17</w:t>
            </w:r>
          </w:p>
        </w:tc>
        <w:tc>
          <w:tcPr>
            <w:tcW w:w="954"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643BC39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79070972</w:t>
            </w:r>
          </w:p>
        </w:tc>
        <w:tc>
          <w:tcPr>
            <w:tcW w:w="213"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63CAFDC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364"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7D767C2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G</w:t>
            </w:r>
          </w:p>
        </w:tc>
        <w:tc>
          <w:tcPr>
            <w:tcW w:w="567"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4586D61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0.27</w:t>
            </w:r>
          </w:p>
        </w:tc>
        <w:tc>
          <w:tcPr>
            <w:tcW w:w="773"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60D0010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1.7e-08</w:t>
            </w:r>
          </w:p>
        </w:tc>
        <w:tc>
          <w:tcPr>
            <w:tcW w:w="535"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6C5419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-0.0226</w:t>
            </w:r>
          </w:p>
        </w:tc>
        <w:tc>
          <w:tcPr>
            <w:tcW w:w="530"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7873017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0.0040</w:t>
            </w:r>
          </w:p>
        </w:tc>
        <w:tc>
          <w:tcPr>
            <w:tcW w:w="832"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6F0C45D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BAIAP2</w:t>
            </w:r>
          </w:p>
        </w:tc>
        <w:tc>
          <w:tcPr>
            <w:tcW w:w="1818"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44E01CA7"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associated previously with ADHD, mice evidence</w:t>
            </w:r>
          </w:p>
        </w:tc>
      </w:tr>
      <w:tr w:rsidR="00453AD5" w:rsidRPr="007B63DF" w14:paraId="74610609" w14:textId="77777777" w:rsidTr="00C22397">
        <w:trPr>
          <w:trHeight w:val="384"/>
        </w:trPr>
        <w:tc>
          <w:tcPr>
            <w:tcW w:w="992" w:type="dxa"/>
            <w:vMerge w:val="restart"/>
            <w:tcBorders>
              <w:top w:val="single" w:sz="8" w:space="0" w:color="000000"/>
              <w:left w:val="nil"/>
              <w:bottom w:val="single" w:sz="8" w:space="0" w:color="000000"/>
              <w:right w:val="single" w:sz="4" w:space="0" w:color="000000"/>
            </w:tcBorders>
            <w:tcMar>
              <w:top w:w="15" w:type="dxa"/>
              <w:left w:w="19" w:type="dxa"/>
              <w:bottom w:w="0" w:type="dxa"/>
              <w:right w:w="19" w:type="dxa"/>
            </w:tcMar>
            <w:vAlign w:val="center"/>
            <w:hideMark/>
          </w:tcPr>
          <w:p w14:paraId="0112C7F1"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 xml:space="preserve">Inattention domain </w:t>
            </w:r>
          </w:p>
          <w:p w14:paraId="488D132F"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score</w:t>
            </w:r>
          </w:p>
        </w:tc>
        <w:tc>
          <w:tcPr>
            <w:tcW w:w="848" w:type="dxa"/>
            <w:tcBorders>
              <w:top w:val="single" w:sz="8" w:space="0" w:color="000000"/>
              <w:left w:val="single" w:sz="4" w:space="0" w:color="000000"/>
              <w:bottom w:val="single" w:sz="8" w:space="0" w:color="D1D1D1"/>
              <w:right w:val="nil"/>
            </w:tcBorders>
            <w:tcMar>
              <w:top w:w="15" w:type="dxa"/>
              <w:left w:w="19" w:type="dxa"/>
              <w:bottom w:w="0" w:type="dxa"/>
              <w:right w:w="19" w:type="dxa"/>
            </w:tcMar>
            <w:vAlign w:val="center"/>
            <w:hideMark/>
          </w:tcPr>
          <w:p w14:paraId="6725D979"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rs72659756</w:t>
            </w:r>
          </w:p>
        </w:tc>
        <w:tc>
          <w:tcPr>
            <w:tcW w:w="315"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3214F5BD"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w:t>
            </w:r>
          </w:p>
        </w:tc>
        <w:tc>
          <w:tcPr>
            <w:tcW w:w="954"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6924140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23590183</w:t>
            </w:r>
          </w:p>
        </w:tc>
        <w:tc>
          <w:tcPr>
            <w:tcW w:w="213"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2821052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364"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15CF238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567"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46939A2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0.09</w:t>
            </w:r>
          </w:p>
        </w:tc>
        <w:tc>
          <w:tcPr>
            <w:tcW w:w="773"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278DEAB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1.86e-08</w:t>
            </w:r>
          </w:p>
        </w:tc>
        <w:tc>
          <w:tcPr>
            <w:tcW w:w="535"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0A73385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-0.0338</w:t>
            </w:r>
          </w:p>
        </w:tc>
        <w:tc>
          <w:tcPr>
            <w:tcW w:w="530"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0144453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0.0060</w:t>
            </w:r>
          </w:p>
        </w:tc>
        <w:tc>
          <w:tcPr>
            <w:tcW w:w="832"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3320BF0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 xml:space="preserve">HTR1D </w:t>
            </w:r>
          </w:p>
        </w:tc>
        <w:tc>
          <w:tcPr>
            <w:tcW w:w="1818"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0A4E2EAB"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biological role</w:t>
            </w:r>
          </w:p>
        </w:tc>
      </w:tr>
      <w:tr w:rsidR="00453AD5" w:rsidRPr="007B63DF" w14:paraId="2EFFE6C6"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49317A66"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0A316550"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rs1469249</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40861C4"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5</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09B5C6A"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113837198</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33541E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A</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D2DE3E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G</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648CFC7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0.20</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FBE62A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1.3e-08</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5DAAEE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-0.0255</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1759E4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0.0045</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845DE0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KCNN2</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4B62F939"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biological role</w:t>
            </w:r>
          </w:p>
        </w:tc>
      </w:tr>
      <w:tr w:rsidR="00453AD5" w:rsidRPr="007B63DF" w14:paraId="28450B91"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2A44FAAB"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33514990"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rs7450556</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07FF22D"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6</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77A928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26299900</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453E0EB"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0E860B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DD392B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0.45</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8B14E7A"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1.7e-14</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51C74CA"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0.0280</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4FB9346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0.0037</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F1B8CF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H4C8, HIST1H2BE</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EFC8347"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 xml:space="preserve">Nearest gene, </w:t>
            </w:r>
            <w:r w:rsidRPr="007B63DF">
              <w:rPr>
                <w:rFonts w:ascii="Calibri" w:eastAsia="Calibri" w:hAnsi="Calibri" w:cs="Calibri"/>
                <w:i/>
                <w:iCs/>
                <w:color w:val="000000" w:themeColor="text1"/>
                <w:kern w:val="24"/>
                <w:sz w:val="16"/>
                <w:szCs w:val="16"/>
              </w:rPr>
              <w:t>HIST1H2BE</w:t>
            </w:r>
            <w:r w:rsidRPr="007B63DF">
              <w:rPr>
                <w:rFonts w:ascii="Calibri" w:eastAsia="Calibri" w:hAnsi="Calibri" w:cs="Calibri"/>
                <w:color w:val="000000" w:themeColor="text1"/>
                <w:kern w:val="24"/>
                <w:sz w:val="16"/>
                <w:szCs w:val="16"/>
              </w:rPr>
              <w:t xml:space="preserve"> has a coding variant in high LD with the lead variant</w:t>
            </w:r>
          </w:p>
        </w:tc>
      </w:tr>
      <w:tr w:rsidR="00453AD5" w:rsidRPr="007B63DF" w14:paraId="3DE8727F"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7BD98C2B"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63E34D4C"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rs35608615</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2194A3B"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6</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3F41894F"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27040402</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03D674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EB0D96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G</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4190210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0.11</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14ED0C5"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2.05e-08</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7ABF24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-0.0345</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A797589"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0.0062</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09F0561"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H2BC11</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F9E106A"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w:t>
            </w:r>
          </w:p>
        </w:tc>
      </w:tr>
      <w:tr w:rsidR="00453AD5" w:rsidRPr="007B63DF" w14:paraId="53F4DD62"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197D50A0"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778ABF79"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rs55690788</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0E06B6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6</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C847421"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28436145</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6067F48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F1D818B"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79FF6D6F"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0.08</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716478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2.66e-08</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CC2671A"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-0.0392</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8FA034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0.0070</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4A5B679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ZSCAN23</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FA12428"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w:t>
            </w:r>
          </w:p>
        </w:tc>
      </w:tr>
      <w:tr w:rsidR="00453AD5" w:rsidRPr="007B63DF" w14:paraId="3DE1CD82"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73DDE40C"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D1D1D1"/>
              <w:right w:val="nil"/>
            </w:tcBorders>
            <w:tcMar>
              <w:top w:w="15" w:type="dxa"/>
              <w:left w:w="19" w:type="dxa"/>
              <w:bottom w:w="0" w:type="dxa"/>
              <w:right w:w="19" w:type="dxa"/>
            </w:tcMar>
            <w:vAlign w:val="center"/>
            <w:hideMark/>
          </w:tcPr>
          <w:p w14:paraId="22828C55"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rs7114011</w:t>
            </w:r>
          </w:p>
        </w:tc>
        <w:tc>
          <w:tcPr>
            <w:tcW w:w="31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054E68FB"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w:t>
            </w:r>
          </w:p>
        </w:tc>
        <w:tc>
          <w:tcPr>
            <w:tcW w:w="95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C1E1F5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47811309</w:t>
            </w:r>
          </w:p>
        </w:tc>
        <w:tc>
          <w:tcPr>
            <w:tcW w:w="21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AA4B18F"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364"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3B3C7ED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A</w:t>
            </w:r>
          </w:p>
        </w:tc>
        <w:tc>
          <w:tcPr>
            <w:tcW w:w="567"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ADAA0F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0.29</w:t>
            </w:r>
          </w:p>
        </w:tc>
        <w:tc>
          <w:tcPr>
            <w:tcW w:w="773"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505D4F8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3.81e-09</w:t>
            </w:r>
          </w:p>
        </w:tc>
        <w:tc>
          <w:tcPr>
            <w:tcW w:w="535"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26C0282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0.0237</w:t>
            </w:r>
          </w:p>
        </w:tc>
        <w:tc>
          <w:tcPr>
            <w:tcW w:w="530"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34D08E7F"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0.0040</w:t>
            </w:r>
          </w:p>
        </w:tc>
        <w:tc>
          <w:tcPr>
            <w:tcW w:w="832"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3FF7786D"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FNBP4</w:t>
            </w:r>
          </w:p>
        </w:tc>
        <w:tc>
          <w:tcPr>
            <w:tcW w:w="1818" w:type="dxa"/>
            <w:tcBorders>
              <w:top w:val="single" w:sz="8" w:space="0" w:color="D1D1D1"/>
              <w:left w:val="nil"/>
              <w:bottom w:val="single" w:sz="8" w:space="0" w:color="D1D1D1"/>
              <w:right w:val="nil"/>
            </w:tcBorders>
            <w:tcMar>
              <w:top w:w="15" w:type="dxa"/>
              <w:left w:w="19" w:type="dxa"/>
              <w:bottom w:w="0" w:type="dxa"/>
              <w:right w:w="19" w:type="dxa"/>
            </w:tcMar>
            <w:vAlign w:val="center"/>
            <w:hideMark/>
          </w:tcPr>
          <w:p w14:paraId="13D3C2B8"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biological role</w:t>
            </w:r>
          </w:p>
        </w:tc>
      </w:tr>
      <w:tr w:rsidR="00453AD5" w:rsidRPr="007B63DF" w14:paraId="6CD6F5FA"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1A95C4B4"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000000"/>
              <w:right w:val="nil"/>
            </w:tcBorders>
            <w:tcMar>
              <w:top w:w="15" w:type="dxa"/>
              <w:left w:w="19" w:type="dxa"/>
              <w:bottom w:w="0" w:type="dxa"/>
              <w:right w:w="19" w:type="dxa"/>
            </w:tcMar>
            <w:vAlign w:val="center"/>
            <w:hideMark/>
          </w:tcPr>
          <w:p w14:paraId="7EA7E403"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rs7928019</w:t>
            </w:r>
          </w:p>
        </w:tc>
        <w:tc>
          <w:tcPr>
            <w:tcW w:w="315"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09E330E4"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w:t>
            </w:r>
          </w:p>
        </w:tc>
        <w:tc>
          <w:tcPr>
            <w:tcW w:w="954"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6BD7609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115400922</w:t>
            </w:r>
          </w:p>
        </w:tc>
        <w:tc>
          <w:tcPr>
            <w:tcW w:w="213"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40A1387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A</w:t>
            </w:r>
          </w:p>
        </w:tc>
        <w:tc>
          <w:tcPr>
            <w:tcW w:w="364"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03FF8B9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G</w:t>
            </w:r>
          </w:p>
        </w:tc>
        <w:tc>
          <w:tcPr>
            <w:tcW w:w="567"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7D9AE456"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0.16</w:t>
            </w:r>
          </w:p>
        </w:tc>
        <w:tc>
          <w:tcPr>
            <w:tcW w:w="773"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3A36B83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5.95e-10</w:t>
            </w:r>
          </w:p>
        </w:tc>
        <w:tc>
          <w:tcPr>
            <w:tcW w:w="535"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604520DE"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0.0320</w:t>
            </w:r>
          </w:p>
        </w:tc>
        <w:tc>
          <w:tcPr>
            <w:tcW w:w="530"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570AC22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0.0052</w:t>
            </w:r>
          </w:p>
        </w:tc>
        <w:tc>
          <w:tcPr>
            <w:tcW w:w="832"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52C76CBF"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CADM1</w:t>
            </w:r>
          </w:p>
        </w:tc>
        <w:tc>
          <w:tcPr>
            <w:tcW w:w="1818"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47A3AAA9"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associated previously with ADHD, mice evidence</w:t>
            </w:r>
          </w:p>
        </w:tc>
      </w:tr>
      <w:tr w:rsidR="00453AD5" w:rsidRPr="007B63DF" w14:paraId="39D134FD" w14:textId="77777777" w:rsidTr="00C22397">
        <w:trPr>
          <w:trHeight w:val="384"/>
        </w:trPr>
        <w:tc>
          <w:tcPr>
            <w:tcW w:w="992" w:type="dxa"/>
            <w:vMerge w:val="restart"/>
            <w:tcBorders>
              <w:top w:val="single" w:sz="8" w:space="0" w:color="000000"/>
              <w:left w:val="nil"/>
              <w:bottom w:val="single" w:sz="8" w:space="0" w:color="000000"/>
              <w:right w:val="single" w:sz="4" w:space="0" w:color="000000"/>
            </w:tcBorders>
            <w:tcMar>
              <w:top w:w="15" w:type="dxa"/>
              <w:left w:w="19" w:type="dxa"/>
              <w:bottom w:w="0" w:type="dxa"/>
              <w:right w:w="19" w:type="dxa"/>
            </w:tcMar>
            <w:vAlign w:val="center"/>
            <w:hideMark/>
          </w:tcPr>
          <w:p w14:paraId="0DA756D5"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Hyperactivity-</w:t>
            </w:r>
          </w:p>
          <w:p w14:paraId="67BAE924"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 xml:space="preserve">impulsivity domain </w:t>
            </w:r>
          </w:p>
          <w:p w14:paraId="088EFA06"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b/>
                <w:bCs/>
                <w:color w:val="000000" w:themeColor="text1"/>
                <w:kern w:val="24"/>
                <w:sz w:val="16"/>
                <w:szCs w:val="16"/>
              </w:rPr>
              <w:t>score</w:t>
            </w:r>
          </w:p>
        </w:tc>
        <w:tc>
          <w:tcPr>
            <w:tcW w:w="848" w:type="dxa"/>
            <w:tcBorders>
              <w:top w:val="single" w:sz="8" w:space="0" w:color="000000"/>
              <w:left w:val="single" w:sz="4" w:space="0" w:color="000000"/>
              <w:bottom w:val="single" w:sz="8" w:space="0" w:color="D1D1D1"/>
              <w:right w:val="nil"/>
            </w:tcBorders>
            <w:tcMar>
              <w:top w:w="15" w:type="dxa"/>
              <w:left w:w="19" w:type="dxa"/>
              <w:bottom w:w="0" w:type="dxa"/>
              <w:right w:w="19" w:type="dxa"/>
            </w:tcMar>
            <w:vAlign w:val="center"/>
            <w:hideMark/>
          </w:tcPr>
          <w:p w14:paraId="701A79E4"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rs10229691</w:t>
            </w:r>
          </w:p>
        </w:tc>
        <w:tc>
          <w:tcPr>
            <w:tcW w:w="315"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42C30522"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7</w:t>
            </w:r>
          </w:p>
        </w:tc>
        <w:tc>
          <w:tcPr>
            <w:tcW w:w="954"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4EA8B301"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114024179</w:t>
            </w:r>
          </w:p>
        </w:tc>
        <w:tc>
          <w:tcPr>
            <w:tcW w:w="213"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38E81C6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A</w:t>
            </w:r>
          </w:p>
        </w:tc>
        <w:tc>
          <w:tcPr>
            <w:tcW w:w="364"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3B96A2F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G</w:t>
            </w:r>
          </w:p>
        </w:tc>
        <w:tc>
          <w:tcPr>
            <w:tcW w:w="567"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1CF6A7C3"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0.36</w:t>
            </w:r>
          </w:p>
        </w:tc>
        <w:tc>
          <w:tcPr>
            <w:tcW w:w="773"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3D8EA900"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1.6e-09</w:t>
            </w:r>
          </w:p>
        </w:tc>
        <w:tc>
          <w:tcPr>
            <w:tcW w:w="535"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24F6319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0.0219</w:t>
            </w:r>
          </w:p>
        </w:tc>
        <w:tc>
          <w:tcPr>
            <w:tcW w:w="530"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13D8C6A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0.0036</w:t>
            </w:r>
          </w:p>
        </w:tc>
        <w:tc>
          <w:tcPr>
            <w:tcW w:w="832"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7E4A6808"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FOXP2</w:t>
            </w:r>
          </w:p>
        </w:tc>
        <w:tc>
          <w:tcPr>
            <w:tcW w:w="1818" w:type="dxa"/>
            <w:tcBorders>
              <w:top w:val="single" w:sz="8" w:space="0" w:color="000000"/>
              <w:left w:val="nil"/>
              <w:bottom w:val="single" w:sz="8" w:space="0" w:color="D1D1D1"/>
              <w:right w:val="nil"/>
            </w:tcBorders>
            <w:tcMar>
              <w:top w:w="15" w:type="dxa"/>
              <w:left w:w="19" w:type="dxa"/>
              <w:bottom w:w="0" w:type="dxa"/>
              <w:right w:w="19" w:type="dxa"/>
            </w:tcMar>
            <w:vAlign w:val="center"/>
            <w:hideMark/>
          </w:tcPr>
          <w:p w14:paraId="0785F9EA" w14:textId="77777777" w:rsidR="00453AD5" w:rsidRPr="007B63DF" w:rsidRDefault="00453AD5" w:rsidP="00453AD5">
            <w:pPr>
              <w:spacing w:line="240" w:lineRule="auto"/>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consistently reported with ADHD, mice evidence</w:t>
            </w:r>
          </w:p>
        </w:tc>
      </w:tr>
      <w:tr w:rsidR="00453AD5" w:rsidRPr="007B63DF" w14:paraId="2E48B782" w14:textId="77777777" w:rsidTr="00C22397">
        <w:trPr>
          <w:trHeight w:val="384"/>
        </w:trPr>
        <w:tc>
          <w:tcPr>
            <w:tcW w:w="992" w:type="dxa"/>
            <w:vMerge/>
            <w:tcBorders>
              <w:top w:val="single" w:sz="8" w:space="0" w:color="000000"/>
              <w:left w:val="nil"/>
              <w:bottom w:val="single" w:sz="8" w:space="0" w:color="000000"/>
              <w:right w:val="single" w:sz="4" w:space="0" w:color="000000"/>
            </w:tcBorders>
            <w:vAlign w:val="center"/>
            <w:hideMark/>
          </w:tcPr>
          <w:p w14:paraId="29EAA37B" w14:textId="77777777" w:rsidR="00453AD5" w:rsidRPr="007B63DF" w:rsidRDefault="00453AD5" w:rsidP="00453AD5">
            <w:pPr>
              <w:spacing w:line="240" w:lineRule="auto"/>
              <w:rPr>
                <w:rFonts w:ascii="Calibri" w:eastAsia="Times New Roman" w:hAnsi="Calibri" w:cs="Calibri"/>
                <w:sz w:val="16"/>
                <w:szCs w:val="16"/>
              </w:rPr>
            </w:pPr>
          </w:p>
        </w:tc>
        <w:tc>
          <w:tcPr>
            <w:tcW w:w="848" w:type="dxa"/>
            <w:tcBorders>
              <w:top w:val="single" w:sz="8" w:space="0" w:color="D1D1D1"/>
              <w:left w:val="single" w:sz="4" w:space="0" w:color="000000"/>
              <w:bottom w:val="single" w:sz="8" w:space="0" w:color="000000"/>
              <w:right w:val="nil"/>
            </w:tcBorders>
            <w:tcMar>
              <w:top w:w="15" w:type="dxa"/>
              <w:left w:w="19" w:type="dxa"/>
              <w:bottom w:w="0" w:type="dxa"/>
              <w:right w:w="19" w:type="dxa"/>
            </w:tcMar>
            <w:vAlign w:val="center"/>
            <w:hideMark/>
          </w:tcPr>
          <w:p w14:paraId="298E69CC"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rs11022718</w:t>
            </w:r>
          </w:p>
        </w:tc>
        <w:tc>
          <w:tcPr>
            <w:tcW w:w="315"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577D6EDB"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11</w:t>
            </w:r>
          </w:p>
        </w:tc>
        <w:tc>
          <w:tcPr>
            <w:tcW w:w="954"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0212A6CC" w14:textId="77777777" w:rsidR="00453AD5" w:rsidRPr="007B63DF" w:rsidRDefault="00453AD5" w:rsidP="00453AD5">
            <w:pPr>
              <w:spacing w:line="240" w:lineRule="auto"/>
              <w:jc w:val="center"/>
              <w:textAlignment w:val="center"/>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13268144</w:t>
            </w:r>
          </w:p>
        </w:tc>
        <w:tc>
          <w:tcPr>
            <w:tcW w:w="213"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0958E6B"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T</w:t>
            </w:r>
          </w:p>
        </w:tc>
        <w:tc>
          <w:tcPr>
            <w:tcW w:w="364"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4855C18"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C</w:t>
            </w:r>
          </w:p>
        </w:tc>
        <w:tc>
          <w:tcPr>
            <w:tcW w:w="567"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B2AB83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0.20</w:t>
            </w:r>
          </w:p>
        </w:tc>
        <w:tc>
          <w:tcPr>
            <w:tcW w:w="773"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0E927D7"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4.06e-08</w:t>
            </w:r>
          </w:p>
        </w:tc>
        <w:tc>
          <w:tcPr>
            <w:tcW w:w="535"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BAA1622"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0.0246</w:t>
            </w:r>
          </w:p>
        </w:tc>
        <w:tc>
          <w:tcPr>
            <w:tcW w:w="530"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371FE49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0.0045</w:t>
            </w:r>
          </w:p>
        </w:tc>
        <w:tc>
          <w:tcPr>
            <w:tcW w:w="832"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5D90CD84"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ARNTL/</w:t>
            </w:r>
          </w:p>
          <w:p w14:paraId="1729334C" w14:textId="77777777" w:rsidR="00453AD5" w:rsidRPr="007B63DF" w:rsidRDefault="00453AD5" w:rsidP="00453AD5">
            <w:pPr>
              <w:spacing w:line="240" w:lineRule="auto"/>
              <w:jc w:val="center"/>
              <w:textAlignment w:val="bottom"/>
              <w:rPr>
                <w:rFonts w:ascii="Calibri" w:eastAsia="Times New Roman" w:hAnsi="Calibri" w:cs="Calibri"/>
                <w:sz w:val="16"/>
                <w:szCs w:val="16"/>
              </w:rPr>
            </w:pPr>
            <w:r w:rsidRPr="007B63DF">
              <w:rPr>
                <w:rFonts w:ascii="Calibri" w:eastAsia="Calibri" w:hAnsi="Calibri" w:cs="Calibri"/>
                <w:i/>
                <w:iCs/>
                <w:color w:val="000000" w:themeColor="text1"/>
                <w:kern w:val="24"/>
                <w:sz w:val="16"/>
                <w:szCs w:val="16"/>
              </w:rPr>
              <w:t>BMAL1</w:t>
            </w:r>
          </w:p>
        </w:tc>
        <w:tc>
          <w:tcPr>
            <w:tcW w:w="1818" w:type="dxa"/>
            <w:tcBorders>
              <w:top w:val="single" w:sz="8" w:space="0" w:color="D1D1D1"/>
              <w:left w:val="nil"/>
              <w:bottom w:val="single" w:sz="8" w:space="0" w:color="000000"/>
              <w:right w:val="nil"/>
            </w:tcBorders>
            <w:tcMar>
              <w:top w:w="15" w:type="dxa"/>
              <w:left w:w="19" w:type="dxa"/>
              <w:bottom w:w="0" w:type="dxa"/>
              <w:right w:w="19" w:type="dxa"/>
            </w:tcMar>
            <w:vAlign w:val="center"/>
            <w:hideMark/>
          </w:tcPr>
          <w:p w14:paraId="22A1A521" w14:textId="77777777" w:rsidR="00453AD5" w:rsidRPr="007B63DF" w:rsidRDefault="00453AD5" w:rsidP="00453AD5">
            <w:pPr>
              <w:spacing w:line="240" w:lineRule="auto"/>
              <w:textAlignment w:val="bottom"/>
              <w:rPr>
                <w:rFonts w:ascii="Calibri" w:eastAsia="Times New Roman" w:hAnsi="Calibri" w:cs="Calibri"/>
                <w:sz w:val="16"/>
                <w:szCs w:val="16"/>
              </w:rPr>
            </w:pPr>
            <w:r w:rsidRPr="007B63DF">
              <w:rPr>
                <w:rFonts w:ascii="Calibri" w:eastAsia="Calibri" w:hAnsi="Calibri" w:cs="Calibri"/>
                <w:color w:val="000000" w:themeColor="text1"/>
                <w:kern w:val="24"/>
                <w:sz w:val="16"/>
                <w:szCs w:val="16"/>
              </w:rPr>
              <w:t>Nearest gene, biological role, mice evidence</w:t>
            </w:r>
          </w:p>
        </w:tc>
      </w:tr>
    </w:tbl>
    <w:p w14:paraId="4C9F5433" w14:textId="77777777" w:rsidR="00DD06BE" w:rsidRDefault="00DD06BE">
      <w:pPr>
        <w:spacing w:after="160" w:line="240" w:lineRule="auto"/>
        <w:ind w:left="-141"/>
        <w:jc w:val="both"/>
        <w:rPr>
          <w:rFonts w:ascii="Calibri" w:eastAsia="Calibri" w:hAnsi="Calibri" w:cs="Calibri"/>
          <w:i/>
          <w:iCs/>
          <w:sz w:val="20"/>
          <w:szCs w:val="20"/>
        </w:rPr>
      </w:pPr>
    </w:p>
    <w:p w14:paraId="2CA90EE7" w14:textId="54369281" w:rsidR="00AB38F2" w:rsidRPr="007B63DF" w:rsidRDefault="00D26AB2">
      <w:pPr>
        <w:spacing w:after="160" w:line="240" w:lineRule="auto"/>
        <w:ind w:left="-141"/>
        <w:jc w:val="both"/>
        <w:rPr>
          <w:rFonts w:ascii="Calibri" w:eastAsia="Calibri" w:hAnsi="Calibri" w:cs="Calibri"/>
          <w:b/>
          <w:bCs/>
          <w:i/>
          <w:iCs/>
          <w:sz w:val="24"/>
          <w:szCs w:val="24"/>
        </w:rPr>
      </w:pPr>
      <w:r w:rsidRPr="007B63DF">
        <w:rPr>
          <w:rFonts w:ascii="Calibri" w:eastAsia="Calibri" w:hAnsi="Calibri" w:cs="Calibri"/>
          <w:i/>
          <w:iCs/>
          <w:sz w:val="20"/>
          <w:szCs w:val="20"/>
        </w:rPr>
        <w:t xml:space="preserve">Note: Positions are based on GRCh37. </w:t>
      </w:r>
      <w:proofErr w:type="spellStart"/>
      <w:r w:rsidRPr="007B63DF">
        <w:rPr>
          <w:rFonts w:ascii="Calibri" w:eastAsia="Calibri" w:hAnsi="Calibri" w:cs="Calibri"/>
          <w:i/>
          <w:iCs/>
          <w:sz w:val="20"/>
          <w:szCs w:val="20"/>
        </w:rPr>
        <w:t>rsID</w:t>
      </w:r>
      <w:proofErr w:type="spellEnd"/>
      <w:r w:rsidRPr="007B63DF">
        <w:rPr>
          <w:rFonts w:ascii="Calibri" w:eastAsia="Calibri" w:hAnsi="Calibri" w:cs="Calibri"/>
          <w:i/>
          <w:iCs/>
          <w:sz w:val="20"/>
          <w:szCs w:val="20"/>
        </w:rPr>
        <w:t xml:space="preserve"> - lead variant, CHR - chromosome, EA - effect allele, NEA - non-effect allele, MAF (EUR) - minor allele frequency in non-Finnish European population, P-VALUE - p-value, BETA - effect size, SE - standard error of the effect size, LD - linkage disequilibrium, ADHD - attention-deficit/hyperactivity disorder.</w:t>
      </w:r>
    </w:p>
    <w:p w14:paraId="2CA90EE8" w14:textId="77777777" w:rsidR="00AB38F2" w:rsidRPr="007B63DF" w:rsidRDefault="00AB38F2">
      <w:pPr>
        <w:spacing w:after="160" w:line="259" w:lineRule="auto"/>
        <w:ind w:left="-141"/>
        <w:rPr>
          <w:rFonts w:ascii="Calibri" w:eastAsia="Calibri" w:hAnsi="Calibri" w:cs="Calibri"/>
          <w:b/>
          <w:bCs/>
          <w:color w:val="1D1C1D"/>
        </w:rPr>
      </w:pPr>
    </w:p>
    <w:p w14:paraId="2CA90EE9" w14:textId="77777777" w:rsidR="00AB38F2" w:rsidRPr="007B63DF" w:rsidRDefault="00D26AB2">
      <w:pPr>
        <w:spacing w:after="160" w:line="259" w:lineRule="auto"/>
        <w:ind w:left="-141"/>
        <w:rPr>
          <w:rFonts w:ascii="Calibri" w:eastAsia="Calibri" w:hAnsi="Calibri" w:cs="Calibri"/>
          <w:b/>
          <w:bCs/>
          <w:color w:val="1D1C1D"/>
        </w:rPr>
      </w:pPr>
      <w:r w:rsidRPr="007B63DF">
        <w:br w:type="page"/>
      </w:r>
    </w:p>
    <w:p w14:paraId="2CA90EEA" w14:textId="77777777" w:rsidR="00AB38F2" w:rsidRPr="007B63DF" w:rsidRDefault="00D26AB2">
      <w:pPr>
        <w:spacing w:after="160" w:line="259" w:lineRule="auto"/>
        <w:ind w:left="-141"/>
        <w:rPr>
          <w:rFonts w:ascii="Calibri" w:eastAsia="Calibri" w:hAnsi="Calibri" w:cs="Calibri"/>
          <w:color w:val="1D1C1D"/>
        </w:rPr>
      </w:pPr>
      <w:r w:rsidRPr="007B63DF">
        <w:rPr>
          <w:rFonts w:ascii="Calibri" w:eastAsia="Calibri" w:hAnsi="Calibri" w:cs="Calibri"/>
          <w:b/>
          <w:bCs/>
          <w:color w:val="1D1C1D"/>
        </w:rPr>
        <w:lastRenderedPageBreak/>
        <w:t>Extended Data Figure 1. GWAS meta-analysis Manhattan plots of individual adult ADHD symptoms.</w:t>
      </w:r>
    </w:p>
    <w:p w14:paraId="2CA90EEB" w14:textId="77777777" w:rsidR="00AB38F2" w:rsidRPr="007B63DF" w:rsidRDefault="00D26AB2">
      <w:pPr>
        <w:spacing w:after="160" w:line="259" w:lineRule="auto"/>
        <w:ind w:left="-141"/>
        <w:rPr>
          <w:rFonts w:ascii="Calibri" w:eastAsia="Calibri" w:hAnsi="Calibri" w:cs="Calibri"/>
        </w:rPr>
      </w:pPr>
      <w:r w:rsidRPr="007B63DF">
        <w:rPr>
          <w:rFonts w:ascii="Calibri" w:eastAsia="Calibri" w:hAnsi="Calibri" w:cs="Calibri"/>
          <w:noProof/>
        </w:rPr>
        <w:drawing>
          <wp:inline distT="114300" distB="114300" distL="114300" distR="114300" wp14:anchorId="2CA90EFF" wp14:editId="2CA90F00">
            <wp:extent cx="5700713" cy="53086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2990" r="2824" b="1674"/>
                    <a:stretch>
                      <a:fillRect/>
                    </a:stretch>
                  </pic:blipFill>
                  <pic:spPr>
                    <a:xfrm>
                      <a:off x="0" y="0"/>
                      <a:ext cx="5700713" cy="5308600"/>
                    </a:xfrm>
                    <a:prstGeom prst="rect">
                      <a:avLst/>
                    </a:prstGeom>
                    <a:ln/>
                  </pic:spPr>
                </pic:pic>
              </a:graphicData>
            </a:graphic>
          </wp:inline>
        </w:drawing>
      </w:r>
    </w:p>
    <w:p w14:paraId="2CA90EEC" w14:textId="77777777" w:rsidR="00AB38F2" w:rsidRPr="007B63DF" w:rsidRDefault="00D26AB2">
      <w:pPr>
        <w:spacing w:after="160" w:line="259" w:lineRule="auto"/>
        <w:ind w:left="-141"/>
        <w:rPr>
          <w:rFonts w:ascii="Calibri" w:eastAsia="Calibri" w:hAnsi="Calibri" w:cs="Calibri"/>
          <w:sz w:val="20"/>
          <w:szCs w:val="20"/>
        </w:rPr>
      </w:pPr>
      <w:r w:rsidRPr="007B63DF">
        <w:rPr>
          <w:rFonts w:ascii="Calibri" w:eastAsia="Calibri" w:hAnsi="Calibri" w:cs="Calibri"/>
          <w:i/>
          <w:iCs/>
          <w:sz w:val="20"/>
          <w:szCs w:val="20"/>
        </w:rPr>
        <w:t>Note: Items – a) „How often do you have trouble wrapping up the final details of a project, once the challenging parts have been done?“ b) „How often do you have difficulty getting things in order when you have to do a task that requires organization?“ c) „How often do you have problems remembering appointments or obligations“ d) „When you have a task that requires a lot of thought, how often do you avoid or delay getting started?“ e) „How often do you fidget or squirm with your hands or feet when you have to sit down for a long time?“ f) „How often do you feel overly active and compelled to do things, like you were driven by a motor?“; Dashed line represents the genome-wide significance threshold of the association p-value 5x10-8.</w:t>
      </w:r>
    </w:p>
    <w:p w14:paraId="2CA90EED" w14:textId="77777777" w:rsidR="00AB38F2" w:rsidRPr="007B63DF" w:rsidRDefault="00AB38F2">
      <w:pPr>
        <w:spacing w:line="259" w:lineRule="auto"/>
        <w:rPr>
          <w:rFonts w:ascii="Calibri" w:eastAsia="Calibri" w:hAnsi="Calibri" w:cs="Calibri"/>
          <w:b/>
          <w:bCs/>
          <w:color w:val="1D1C1D"/>
        </w:rPr>
      </w:pPr>
    </w:p>
    <w:p w14:paraId="2CA90EEE" w14:textId="77777777" w:rsidR="00AB38F2" w:rsidRPr="007B63DF" w:rsidRDefault="00AB38F2">
      <w:pPr>
        <w:spacing w:line="259" w:lineRule="auto"/>
        <w:rPr>
          <w:rFonts w:ascii="Calibri" w:eastAsia="Calibri" w:hAnsi="Calibri" w:cs="Calibri"/>
          <w:b/>
          <w:bCs/>
          <w:color w:val="1D1C1D"/>
        </w:rPr>
      </w:pPr>
    </w:p>
    <w:p w14:paraId="2CA90EEF" w14:textId="77777777" w:rsidR="00AB38F2" w:rsidRPr="007B63DF" w:rsidRDefault="00AB38F2">
      <w:pPr>
        <w:spacing w:line="259" w:lineRule="auto"/>
        <w:rPr>
          <w:rFonts w:ascii="Calibri" w:eastAsia="Calibri" w:hAnsi="Calibri" w:cs="Calibri"/>
          <w:b/>
          <w:bCs/>
          <w:color w:val="1D1C1D"/>
        </w:rPr>
      </w:pPr>
    </w:p>
    <w:p w14:paraId="2CA90EF0" w14:textId="77777777" w:rsidR="00AB38F2" w:rsidRPr="007B63DF" w:rsidRDefault="00D26AB2">
      <w:pPr>
        <w:spacing w:line="259" w:lineRule="auto"/>
        <w:rPr>
          <w:rFonts w:ascii="Calibri" w:eastAsia="Calibri" w:hAnsi="Calibri" w:cs="Calibri"/>
          <w:b/>
          <w:bCs/>
          <w:color w:val="1D1C1D"/>
        </w:rPr>
      </w:pPr>
      <w:r w:rsidRPr="007B63DF">
        <w:br w:type="page"/>
      </w:r>
    </w:p>
    <w:p w14:paraId="2CA90EF1"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color w:val="1D1C1D"/>
        </w:rPr>
        <w:lastRenderedPageBreak/>
        <w:t>Extended Data Figure 2. GWAS meta-analysis Manhattan plots of adult ADHD total symptom (purple), inattention (red), and hyperactivity-impulsivity (blue) domain scores in females and males.</w:t>
      </w:r>
    </w:p>
    <w:p w14:paraId="2CA90EF2"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color w:val="1D1C1D"/>
        </w:rPr>
        <w:tab/>
      </w:r>
      <w:r w:rsidRPr="007B63DF">
        <w:rPr>
          <w:rFonts w:ascii="Calibri" w:eastAsia="Calibri" w:hAnsi="Calibri" w:cs="Calibri"/>
          <w:b/>
          <w:bCs/>
          <w:color w:val="1D1C1D"/>
        </w:rPr>
        <w:tab/>
      </w:r>
      <w:r w:rsidRPr="007B63DF">
        <w:rPr>
          <w:rFonts w:ascii="Calibri" w:eastAsia="Calibri" w:hAnsi="Calibri" w:cs="Calibri"/>
          <w:b/>
          <w:bCs/>
          <w:color w:val="1D1C1D"/>
        </w:rPr>
        <w:tab/>
      </w:r>
    </w:p>
    <w:p w14:paraId="2CA90EF3" w14:textId="77777777" w:rsidR="00AB38F2" w:rsidRPr="00806EAC" w:rsidRDefault="00D26AB2">
      <w:pPr>
        <w:spacing w:line="259" w:lineRule="auto"/>
        <w:ind w:left="1440"/>
        <w:rPr>
          <w:rFonts w:ascii="Calibri" w:eastAsia="Calibri" w:hAnsi="Calibri" w:cs="Calibri"/>
          <w:b/>
          <w:bCs/>
          <w:color w:val="1D1C1D"/>
        </w:rPr>
      </w:pPr>
      <w:r w:rsidRPr="00806EAC">
        <w:rPr>
          <w:rFonts w:ascii="Calibri" w:eastAsia="Calibri" w:hAnsi="Calibri" w:cs="Calibri"/>
          <w:b/>
          <w:bCs/>
          <w:color w:val="1D1C1D"/>
        </w:rPr>
        <w:t>Females (n=95,986)</w:t>
      </w:r>
      <w:r w:rsidRPr="00806EAC">
        <w:rPr>
          <w:rFonts w:ascii="Calibri" w:eastAsia="Calibri" w:hAnsi="Calibri" w:cs="Calibri"/>
          <w:b/>
          <w:bCs/>
          <w:color w:val="1D1C1D"/>
        </w:rPr>
        <w:tab/>
      </w:r>
      <w:r w:rsidRPr="00806EAC">
        <w:rPr>
          <w:rFonts w:ascii="Calibri" w:eastAsia="Calibri" w:hAnsi="Calibri" w:cs="Calibri"/>
          <w:b/>
          <w:bCs/>
          <w:color w:val="1D1C1D"/>
        </w:rPr>
        <w:tab/>
      </w:r>
      <w:r w:rsidRPr="00806EAC">
        <w:rPr>
          <w:rFonts w:ascii="Calibri" w:eastAsia="Calibri" w:hAnsi="Calibri" w:cs="Calibri"/>
          <w:b/>
          <w:bCs/>
          <w:color w:val="1D1C1D"/>
        </w:rPr>
        <w:tab/>
      </w:r>
      <w:r w:rsidRPr="00806EAC">
        <w:rPr>
          <w:rFonts w:ascii="Calibri" w:eastAsia="Calibri" w:hAnsi="Calibri" w:cs="Calibri"/>
          <w:b/>
          <w:bCs/>
          <w:color w:val="1D1C1D"/>
        </w:rPr>
        <w:tab/>
        <w:t>Males (n=45,519)</w:t>
      </w:r>
    </w:p>
    <w:p w14:paraId="2CA90EF4"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noProof/>
          <w:color w:val="1D1C1D"/>
        </w:rPr>
        <w:drawing>
          <wp:inline distT="114300" distB="114300" distL="114300" distR="114300" wp14:anchorId="2CA90F01" wp14:editId="2CA90F02">
            <wp:extent cx="5731200" cy="51181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l="2931" r="2492" b="1093"/>
                    <a:stretch>
                      <a:fillRect/>
                    </a:stretch>
                  </pic:blipFill>
                  <pic:spPr>
                    <a:xfrm>
                      <a:off x="0" y="0"/>
                      <a:ext cx="5731200" cy="5118100"/>
                    </a:xfrm>
                    <a:prstGeom prst="rect">
                      <a:avLst/>
                    </a:prstGeom>
                    <a:ln/>
                  </pic:spPr>
                </pic:pic>
              </a:graphicData>
            </a:graphic>
          </wp:inline>
        </w:drawing>
      </w:r>
    </w:p>
    <w:p w14:paraId="2CA90EF5" w14:textId="77777777" w:rsidR="00AB38F2" w:rsidRPr="007B63DF" w:rsidRDefault="00D26AB2">
      <w:pPr>
        <w:spacing w:after="160" w:line="259" w:lineRule="auto"/>
        <w:ind w:left="-141"/>
        <w:rPr>
          <w:rFonts w:ascii="Calibri" w:eastAsia="Calibri" w:hAnsi="Calibri" w:cs="Calibri"/>
          <w:b/>
          <w:bCs/>
          <w:color w:val="1D1C1D"/>
        </w:rPr>
      </w:pPr>
      <w:r w:rsidRPr="007B63DF">
        <w:rPr>
          <w:rFonts w:ascii="Calibri" w:eastAsia="Calibri" w:hAnsi="Calibri" w:cs="Calibri"/>
          <w:i/>
          <w:iCs/>
          <w:sz w:val="20"/>
          <w:szCs w:val="20"/>
        </w:rPr>
        <w:t>Note: Phenotypes – a) GWAS results ADHD total symptom score in females; b) GWAS results of ADHD total symptom score in males; c) GWAS results of inattention domain score in females; d) GWAS results of inattention domain score in males; e) GWAS results of hyperactivity-impulsivity domain score in females; f) GWAS results of hyperactivity-impulsivity domain score in males; Dashed line represents the genome-wide significance threshold of the association p-value 5x10-8.</w:t>
      </w:r>
    </w:p>
    <w:p w14:paraId="2CA90EF6" w14:textId="77777777" w:rsidR="00AB38F2" w:rsidRPr="007B63DF" w:rsidRDefault="00D26AB2">
      <w:pPr>
        <w:spacing w:line="259" w:lineRule="auto"/>
        <w:rPr>
          <w:rFonts w:ascii="Calibri" w:eastAsia="Calibri" w:hAnsi="Calibri" w:cs="Calibri"/>
          <w:b/>
          <w:bCs/>
          <w:color w:val="1D1C1D"/>
        </w:rPr>
      </w:pPr>
      <w:r w:rsidRPr="007B63DF">
        <w:br w:type="page"/>
      </w:r>
    </w:p>
    <w:p w14:paraId="2CA90EF7"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color w:val="1D1C1D"/>
        </w:rPr>
        <w:lastRenderedPageBreak/>
        <w:t>Extended Data Figure 3. Tissue enrichment plots of adult ADHD total symptom, inattention, and hyperactivity-impulsivity domain scores.</w:t>
      </w:r>
    </w:p>
    <w:p w14:paraId="2CA90EF8"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noProof/>
          <w:color w:val="1D1C1D"/>
        </w:rPr>
        <w:drawing>
          <wp:inline distT="114300" distB="114300" distL="114300" distR="114300" wp14:anchorId="2CA90F03" wp14:editId="2CA90F04">
            <wp:extent cx="4448906" cy="7685322"/>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r="11960" b="11089"/>
                    <a:stretch>
                      <a:fillRect/>
                    </a:stretch>
                  </pic:blipFill>
                  <pic:spPr>
                    <a:xfrm>
                      <a:off x="0" y="0"/>
                      <a:ext cx="4448906" cy="7685322"/>
                    </a:xfrm>
                    <a:prstGeom prst="rect">
                      <a:avLst/>
                    </a:prstGeom>
                    <a:ln/>
                  </pic:spPr>
                </pic:pic>
              </a:graphicData>
            </a:graphic>
          </wp:inline>
        </w:drawing>
      </w:r>
    </w:p>
    <w:p w14:paraId="2CA90EF9" w14:textId="77777777" w:rsidR="00AB38F2" w:rsidRPr="007B63DF" w:rsidRDefault="00D26AB2">
      <w:pPr>
        <w:spacing w:after="160" w:line="259" w:lineRule="auto"/>
        <w:ind w:left="-141"/>
        <w:rPr>
          <w:rFonts w:ascii="Calibri" w:eastAsia="Calibri" w:hAnsi="Calibri" w:cs="Calibri"/>
          <w:b/>
          <w:bCs/>
          <w:color w:val="1D1C1D"/>
        </w:rPr>
      </w:pPr>
      <w:r w:rsidRPr="007B63DF">
        <w:rPr>
          <w:rFonts w:ascii="Calibri" w:eastAsia="Calibri" w:hAnsi="Calibri" w:cs="Calibri"/>
          <w:i/>
          <w:iCs/>
          <w:sz w:val="20"/>
          <w:szCs w:val="20"/>
        </w:rPr>
        <w:t xml:space="preserve">Note: Tissue enrichment analyses with MAGMA. Red bars and the black dashed line indicate Bonferroni threshold, set to p=0.05/54. a) Tissue enrichment results of ADHD total symptom score, b) Tissue enrichment results of inattention domain score, c) Tissue enrichment results of hyperactivity-impulsivity domain score; BA9 - Brodmann area 9; BA24 - Brodmann area 24. </w:t>
      </w:r>
      <w:r w:rsidRPr="007B63DF">
        <w:br w:type="page"/>
      </w:r>
    </w:p>
    <w:p w14:paraId="2CA90EFA"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color w:val="1D1C1D"/>
        </w:rPr>
        <w:lastRenderedPageBreak/>
        <w:t>Extended Data Figure 4. Phenome-wide associations between polygenic score for adult ADHD total symptom score, and ICD-10 diagnosis history in Estonian Biobank (</w:t>
      </w:r>
      <w:r w:rsidRPr="007B63DF">
        <w:rPr>
          <w:rFonts w:ascii="Calibri" w:eastAsia="Calibri" w:hAnsi="Calibri" w:cs="Calibri"/>
          <w:b/>
          <w:bCs/>
        </w:rPr>
        <w:t>N=125,148)</w:t>
      </w:r>
      <w:r w:rsidRPr="007B63DF">
        <w:rPr>
          <w:rFonts w:ascii="Calibri" w:eastAsia="Calibri" w:hAnsi="Calibri" w:cs="Calibri"/>
          <w:b/>
          <w:bCs/>
          <w:color w:val="1D1C1D"/>
        </w:rPr>
        <w:t>.</w:t>
      </w:r>
    </w:p>
    <w:p w14:paraId="2CA90EFB" w14:textId="77777777" w:rsidR="00AB38F2" w:rsidRPr="007B63DF" w:rsidRDefault="00D26AB2">
      <w:pPr>
        <w:spacing w:line="259" w:lineRule="auto"/>
        <w:rPr>
          <w:rFonts w:ascii="Calibri" w:eastAsia="Calibri" w:hAnsi="Calibri" w:cs="Calibri"/>
          <w:b/>
          <w:bCs/>
          <w:color w:val="1D1C1D"/>
        </w:rPr>
      </w:pPr>
      <w:r w:rsidRPr="007B63DF">
        <w:rPr>
          <w:rFonts w:ascii="Calibri" w:eastAsia="Calibri" w:hAnsi="Calibri" w:cs="Calibri"/>
          <w:b/>
          <w:bCs/>
          <w:noProof/>
          <w:color w:val="1D1C1D"/>
        </w:rPr>
        <w:drawing>
          <wp:inline distT="114300" distB="114300" distL="114300" distR="114300" wp14:anchorId="2CA90F05" wp14:editId="2CA90F06">
            <wp:extent cx="5731200" cy="4292600"/>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5731200" cy="4292600"/>
                    </a:xfrm>
                    <a:prstGeom prst="rect">
                      <a:avLst/>
                    </a:prstGeom>
                    <a:ln/>
                  </pic:spPr>
                </pic:pic>
              </a:graphicData>
            </a:graphic>
          </wp:inline>
        </w:drawing>
      </w:r>
    </w:p>
    <w:p w14:paraId="2CA90EFC" w14:textId="77777777" w:rsidR="00AB38F2" w:rsidRPr="007B63DF" w:rsidRDefault="00D26AB2">
      <w:pPr>
        <w:spacing w:after="160" w:line="259" w:lineRule="auto"/>
        <w:ind w:left="-141"/>
        <w:rPr>
          <w:rFonts w:ascii="Calibri" w:eastAsia="Calibri" w:hAnsi="Calibri" w:cs="Calibri"/>
          <w:i/>
          <w:iCs/>
          <w:sz w:val="20"/>
          <w:szCs w:val="20"/>
        </w:rPr>
      </w:pPr>
      <w:r w:rsidRPr="007B63DF">
        <w:rPr>
          <w:rFonts w:ascii="Calibri" w:eastAsia="Calibri" w:hAnsi="Calibri" w:cs="Calibri"/>
          <w:i/>
          <w:iCs/>
          <w:sz w:val="20"/>
          <w:szCs w:val="20"/>
        </w:rPr>
        <w:t>Note: All significant results are labelled. Upwards arrow indicates increased risk; downwards empty arrow indicates reduced risk; red line represents significance threshold at 0.05/1698. Phenotypes are ICD-10 (International Statistical Classification of Diseases and Related Health Problems 10th Revision) categories: A00-B99 - Certain infectious and parasitic diseases, C00-D48 - neoplasms, D50-D89 - Diseases of the blood and blood-forming organs and certain disorders involving the immune mechanism, E00-E90 - Endocrine, nutritional and metabolic diseases, F00-F99 - Mental and behavioural disorders, G00-G99 - Diseases of the nervous system, H00-H59 - Diseases of the eye and adnexa, H60-H95 - Diseases of the ear and mastoid process, I00-I99 - Diseases of the circulatory system, J00-J99 - Diseases of the respiratory system, K00-K93 - Diseases of the digestive system, L00-L99 - Diseases of the skin and subcutaneous tissue, M00-M99 - Diseases of the musculoskeletal system and connective tissue, N00-N99 - Diseases of the genitourinary system, O00-O99 - Pregnancy, childbirth and the puerperium, P00-P96 - Certain conditions originating in the perinatal period, Q00-Q99 - Congenital malformations, deformations and chromosomal abnormalities, R00-R99 - Symptoms, signs and abnormal clinical and laboratory findings, not elsewhere classified, S00-T98 - Injury, poisoning and certain other consequences of external causes, V01-Y98 - External causes of morbidity and mortality, Z00-Z99 - Factors influencing health status and contact with health services.</w:t>
      </w:r>
    </w:p>
    <w:sectPr w:rsidR="00AB38F2" w:rsidRPr="007B63DF">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6E131" w14:textId="77777777" w:rsidR="002C557D" w:rsidRPr="007B63DF" w:rsidRDefault="002C557D">
      <w:pPr>
        <w:spacing w:line="240" w:lineRule="auto"/>
      </w:pPr>
      <w:r w:rsidRPr="007B63DF">
        <w:separator/>
      </w:r>
    </w:p>
  </w:endnote>
  <w:endnote w:type="continuationSeparator" w:id="0">
    <w:p w14:paraId="324645FC" w14:textId="77777777" w:rsidR="002C557D" w:rsidRPr="007B63DF" w:rsidRDefault="002C557D">
      <w:pPr>
        <w:spacing w:line="240" w:lineRule="auto"/>
      </w:pPr>
      <w:r w:rsidRPr="007B6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3BCC853-E36F-4D2C-A8D7-436F2DAD61C0}"/>
    <w:embedBold r:id="rId2" w:fontKey="{BC1A29F2-1CF4-4B16-95F6-D38E7DB26FB0}"/>
    <w:embedItalic r:id="rId3" w:fontKey="{18726AE0-3A51-4BD1-9513-023927D59ADB}"/>
    <w:embedBoldItalic r:id="rId4" w:fontKey="{4BF82493-2AFC-475E-9E10-02CF06931922}"/>
  </w:font>
  <w:font w:name="Cambria">
    <w:panose1 w:val="02040503050406030204"/>
    <w:charset w:val="BA"/>
    <w:family w:val="roman"/>
    <w:pitch w:val="variable"/>
    <w:sig w:usb0="E00006FF" w:usb1="420024FF" w:usb2="02000000" w:usb3="00000000" w:csb0="0000019F" w:csb1="00000000"/>
    <w:embedRegular r:id="rId5" w:fontKey="{B93FD575-7FD6-4128-BB22-5E69B5530B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745660"/>
      <w:docPartObj>
        <w:docPartGallery w:val="Page Numbers (Bottom of Page)"/>
        <w:docPartUnique/>
      </w:docPartObj>
    </w:sdtPr>
    <w:sdtEndPr>
      <w:rPr>
        <w:noProof/>
      </w:rPr>
    </w:sdtEndPr>
    <w:sdtContent>
      <w:p w14:paraId="70201FA4" w14:textId="6CF52605" w:rsidR="005666A0" w:rsidRDefault="005666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04B3C7" w14:textId="77777777" w:rsidR="005666A0" w:rsidRDefault="00566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914A" w14:textId="77777777" w:rsidR="002C557D" w:rsidRPr="007B63DF" w:rsidRDefault="002C557D">
      <w:pPr>
        <w:spacing w:line="240" w:lineRule="auto"/>
      </w:pPr>
      <w:r w:rsidRPr="007B63DF">
        <w:separator/>
      </w:r>
    </w:p>
  </w:footnote>
  <w:footnote w:type="continuationSeparator" w:id="0">
    <w:p w14:paraId="51AE4F8A" w14:textId="77777777" w:rsidR="002C557D" w:rsidRPr="007B63DF" w:rsidRDefault="002C557D">
      <w:pPr>
        <w:spacing w:line="240" w:lineRule="auto"/>
      </w:pPr>
      <w:r w:rsidRPr="007B63DF">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F2"/>
    <w:rsid w:val="00017EA0"/>
    <w:rsid w:val="0003134B"/>
    <w:rsid w:val="000913FD"/>
    <w:rsid w:val="00093208"/>
    <w:rsid w:val="00133F27"/>
    <w:rsid w:val="001C4114"/>
    <w:rsid w:val="002963B7"/>
    <w:rsid w:val="002C557D"/>
    <w:rsid w:val="00453AD5"/>
    <w:rsid w:val="00461654"/>
    <w:rsid w:val="005666A0"/>
    <w:rsid w:val="006313C9"/>
    <w:rsid w:val="006F4E07"/>
    <w:rsid w:val="007815FF"/>
    <w:rsid w:val="007B63DF"/>
    <w:rsid w:val="007E6A74"/>
    <w:rsid w:val="00806EAC"/>
    <w:rsid w:val="008551F2"/>
    <w:rsid w:val="00877F70"/>
    <w:rsid w:val="0090405E"/>
    <w:rsid w:val="00AB38F2"/>
    <w:rsid w:val="00AC4E73"/>
    <w:rsid w:val="00B65D5A"/>
    <w:rsid w:val="00BD0035"/>
    <w:rsid w:val="00C22397"/>
    <w:rsid w:val="00D22DDF"/>
    <w:rsid w:val="00D26AB2"/>
    <w:rsid w:val="00DD06BE"/>
    <w:rsid w:val="00F81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0EE2"/>
  <w15:docId w15:val="{ED878A4C-185A-4F0F-98C2-30269EB5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453AD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66A0"/>
    <w:pPr>
      <w:tabs>
        <w:tab w:val="center" w:pos="4536"/>
        <w:tab w:val="right" w:pos="9072"/>
      </w:tabs>
      <w:spacing w:line="240" w:lineRule="auto"/>
    </w:pPr>
  </w:style>
  <w:style w:type="character" w:customStyle="1" w:styleId="HeaderChar">
    <w:name w:val="Header Char"/>
    <w:basedOn w:val="DefaultParagraphFont"/>
    <w:link w:val="Header"/>
    <w:uiPriority w:val="99"/>
    <w:rsid w:val="005666A0"/>
    <w:rPr>
      <w:lang w:val="en-GB"/>
    </w:rPr>
  </w:style>
  <w:style w:type="paragraph" w:styleId="Footer">
    <w:name w:val="footer"/>
    <w:basedOn w:val="Normal"/>
    <w:link w:val="FooterChar"/>
    <w:uiPriority w:val="99"/>
    <w:unhideWhenUsed/>
    <w:rsid w:val="005666A0"/>
    <w:pPr>
      <w:tabs>
        <w:tab w:val="center" w:pos="4536"/>
        <w:tab w:val="right" w:pos="9072"/>
      </w:tabs>
      <w:spacing w:line="240" w:lineRule="auto"/>
    </w:pPr>
  </w:style>
  <w:style w:type="character" w:customStyle="1" w:styleId="FooterChar">
    <w:name w:val="Footer Char"/>
    <w:basedOn w:val="DefaultParagraphFont"/>
    <w:link w:val="Footer"/>
    <w:uiPriority w:val="99"/>
    <w:rsid w:val="005666A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Triinu Varvas</cp:lastModifiedBy>
  <cp:revision>20</cp:revision>
  <dcterms:created xsi:type="dcterms:W3CDTF">2026-05-25T10:05:00Z</dcterms:created>
  <dcterms:modified xsi:type="dcterms:W3CDTF">2026-07-22T09:35:00Z</dcterms:modified>
</cp:coreProperties>
</file>