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B267C" w14:textId="77777777" w:rsidR="0021084C" w:rsidRPr="009B4D65" w:rsidRDefault="0021084C" w:rsidP="009B4D65">
      <w:pPr>
        <w:spacing w:line="276" w:lineRule="auto"/>
        <w:jc w:val="center"/>
        <w:rPr>
          <w:rFonts w:asciiTheme="majorBidi" w:hAnsiTheme="majorBidi" w:cstheme="majorBidi"/>
          <w:b/>
          <w:u w:val="single"/>
        </w:rPr>
      </w:pPr>
      <w:r w:rsidRPr="009B4D65">
        <w:rPr>
          <w:rFonts w:asciiTheme="majorBidi" w:hAnsiTheme="majorBidi" w:cstheme="majorBidi"/>
          <w:b/>
        </w:rPr>
        <w:t>Divergent Drought Propagation Pathways in Adjacent Mediterranean Lakes Under Identical Climatic Forcing: Satellite-Based Attribution of Land Cover–Hydrology Interactions</w:t>
      </w:r>
    </w:p>
    <w:p w14:paraId="49000C55" w14:textId="338B031D" w:rsidR="0021084C" w:rsidRPr="009B4D65" w:rsidRDefault="0021084C" w:rsidP="009B4D65">
      <w:pPr>
        <w:spacing w:line="276" w:lineRule="auto"/>
        <w:jc w:val="center"/>
        <w:rPr>
          <w:rFonts w:asciiTheme="majorBidi" w:hAnsiTheme="majorBidi" w:cstheme="majorBidi"/>
          <w:sz w:val="22"/>
          <w:szCs w:val="22"/>
        </w:rPr>
      </w:pPr>
      <w:r w:rsidRPr="009B4D65">
        <w:rPr>
          <w:rFonts w:asciiTheme="majorBidi" w:hAnsiTheme="majorBidi" w:cstheme="majorBidi"/>
          <w:sz w:val="22"/>
          <w:szCs w:val="22"/>
        </w:rPr>
        <w:t>Ali Muslim AMIRI</w:t>
      </w:r>
      <w:r w:rsidRPr="009B4D65">
        <w:rPr>
          <w:rFonts w:asciiTheme="majorBidi" w:hAnsiTheme="majorBidi" w:cstheme="majorBidi"/>
          <w:sz w:val="22"/>
          <w:szCs w:val="22"/>
          <w:vertAlign w:val="superscript"/>
        </w:rPr>
        <w:t>1,2</w:t>
      </w:r>
      <w:r w:rsidR="00981D1A">
        <w:rPr>
          <w:rFonts w:asciiTheme="majorBidi" w:hAnsiTheme="majorBidi" w:cstheme="majorBidi"/>
          <w:sz w:val="22"/>
          <w:szCs w:val="22"/>
          <w:vertAlign w:val="superscript"/>
        </w:rPr>
        <w:t>*</w:t>
      </w:r>
      <w:r w:rsidRPr="009B4D65">
        <w:rPr>
          <w:rFonts w:asciiTheme="majorBidi" w:hAnsiTheme="majorBidi" w:cstheme="majorBidi"/>
          <w:sz w:val="22"/>
          <w:szCs w:val="22"/>
        </w:rPr>
        <w:t>, Feza ÖRÜÇ</w:t>
      </w:r>
      <w:r w:rsidRPr="009B4D65">
        <w:rPr>
          <w:rFonts w:asciiTheme="majorBidi" w:hAnsiTheme="majorBidi" w:cstheme="majorBidi"/>
          <w:sz w:val="22"/>
          <w:szCs w:val="22"/>
          <w:vertAlign w:val="superscript"/>
        </w:rPr>
        <w:t>1*</w:t>
      </w:r>
    </w:p>
    <w:p w14:paraId="21E5F5F1" w14:textId="77777777" w:rsidR="0021084C" w:rsidRPr="009B4D65" w:rsidRDefault="0021084C" w:rsidP="009B4D65">
      <w:pPr>
        <w:spacing w:line="276" w:lineRule="auto"/>
        <w:jc w:val="center"/>
        <w:rPr>
          <w:rFonts w:asciiTheme="majorBidi" w:hAnsiTheme="majorBidi" w:cstheme="majorBidi"/>
          <w:bCs/>
          <w:sz w:val="22"/>
          <w:szCs w:val="22"/>
        </w:rPr>
      </w:pPr>
      <w:r w:rsidRPr="009B4D65">
        <w:rPr>
          <w:rFonts w:asciiTheme="majorBidi" w:hAnsiTheme="majorBidi" w:cstheme="majorBidi"/>
          <w:bCs/>
          <w:sz w:val="22"/>
          <w:szCs w:val="22"/>
          <w:vertAlign w:val="superscript"/>
        </w:rPr>
        <w:t>1</w:t>
      </w:r>
      <w:r w:rsidRPr="009B4D65">
        <w:rPr>
          <w:rFonts w:asciiTheme="majorBidi" w:hAnsiTheme="majorBidi" w:cstheme="majorBidi"/>
          <w:bCs/>
          <w:sz w:val="22"/>
          <w:szCs w:val="22"/>
        </w:rPr>
        <w:t xml:space="preserve"> Environmental Engineering Department, Engineering Faculty, Bursa Uludag University, 16059 Nilufer/Bursa, Türkiye</w:t>
      </w:r>
    </w:p>
    <w:p w14:paraId="0E18E8F5" w14:textId="77777777" w:rsidR="0021084C" w:rsidRPr="009B4D65" w:rsidRDefault="0021084C" w:rsidP="009B4D65">
      <w:pPr>
        <w:spacing w:line="276" w:lineRule="auto"/>
        <w:jc w:val="center"/>
        <w:rPr>
          <w:rFonts w:asciiTheme="majorBidi" w:hAnsiTheme="majorBidi" w:cstheme="majorBidi"/>
          <w:bCs/>
          <w:sz w:val="22"/>
          <w:szCs w:val="22"/>
        </w:rPr>
      </w:pPr>
      <w:r w:rsidRPr="009B4D65">
        <w:rPr>
          <w:rFonts w:asciiTheme="majorBidi" w:hAnsiTheme="majorBidi" w:cstheme="majorBidi"/>
          <w:bCs/>
          <w:sz w:val="22"/>
          <w:szCs w:val="22"/>
          <w:vertAlign w:val="superscript"/>
        </w:rPr>
        <w:t>2</w:t>
      </w:r>
      <w:r w:rsidRPr="009B4D65">
        <w:rPr>
          <w:rFonts w:asciiTheme="majorBidi" w:hAnsiTheme="majorBidi" w:cstheme="majorBidi"/>
          <w:bCs/>
          <w:sz w:val="22"/>
          <w:szCs w:val="22"/>
        </w:rPr>
        <w:t xml:space="preserve"> Water and Environmental Engineering Department, Mining and Environment Faculty, Balkh University, 1701 Mazar-i-Sharif/Balkh, Afghanistan</w:t>
      </w:r>
    </w:p>
    <w:p w14:paraId="7FE17AFF" w14:textId="77777777" w:rsidR="00382BE4" w:rsidRDefault="0021084C" w:rsidP="00B80E6A">
      <w:pPr>
        <w:spacing w:line="276" w:lineRule="auto"/>
        <w:rPr>
          <w:rFonts w:asciiTheme="majorBidi" w:hAnsiTheme="majorBidi" w:cstheme="majorBidi"/>
          <w:bCs/>
          <w:sz w:val="22"/>
          <w:szCs w:val="22"/>
        </w:rPr>
      </w:pPr>
      <w:r w:rsidRPr="009B4D65">
        <w:rPr>
          <w:rFonts w:asciiTheme="majorBidi" w:hAnsiTheme="majorBidi" w:cstheme="majorBidi"/>
          <w:bCs/>
          <w:sz w:val="22"/>
          <w:szCs w:val="22"/>
        </w:rPr>
        <w:t>* Corresponding author: karaer@uludag.edu.tr [0000-0002-2986-0114]</w:t>
      </w:r>
    </w:p>
    <w:p w14:paraId="5B83A4E5" w14:textId="18D69404" w:rsidR="00382BE4" w:rsidRPr="00382BE4" w:rsidRDefault="00382BE4" w:rsidP="00382BE4">
      <w:pPr>
        <w:spacing w:line="276" w:lineRule="auto"/>
        <w:rPr>
          <w:rFonts w:asciiTheme="majorBidi" w:hAnsiTheme="majorBidi" w:cstheme="majorBidi"/>
          <w:sz w:val="22"/>
          <w:szCs w:val="22"/>
        </w:rPr>
      </w:pPr>
      <w:r w:rsidRPr="00382BE4">
        <w:rPr>
          <w:rFonts w:asciiTheme="majorBidi" w:hAnsiTheme="majorBidi" w:cstheme="majorBidi"/>
          <w:sz w:val="22"/>
          <w:szCs w:val="22"/>
        </w:rPr>
        <w:t>* Corresponding author: alimuslimamiri@yahoo.com [0009-0007-6280-8899]</w:t>
      </w:r>
      <w:r w:rsidR="00812647" w:rsidRPr="009B4D65">
        <w:rPr>
          <w:rFonts w:asciiTheme="majorBidi" w:hAnsiTheme="majorBidi" w:cstheme="majorBidi"/>
          <w:sz w:val="22"/>
          <w:szCs w:val="22"/>
        </w:rPr>
        <w:br w:type="page"/>
      </w:r>
    </w:p>
    <w:p w14:paraId="72C7C9D9" w14:textId="77777777" w:rsidR="00437CEC" w:rsidRPr="009B4D65" w:rsidRDefault="00732239" w:rsidP="005523C8">
      <w:pPr>
        <w:pStyle w:val="Heading1"/>
        <w:rPr>
          <w:b w:val="0"/>
        </w:rPr>
      </w:pPr>
      <w:r w:rsidRPr="009B4D65">
        <w:lastRenderedPageBreak/>
        <w:t xml:space="preserve">S1. </w:t>
      </w:r>
      <w:r w:rsidR="00437CEC" w:rsidRPr="009B4D65">
        <w:t>Supplementary Methods</w:t>
      </w:r>
    </w:p>
    <w:p w14:paraId="6AA8AFD9" w14:textId="3C69CAC8" w:rsidR="009B2063" w:rsidRPr="009B4D65" w:rsidRDefault="00437CEC" w:rsidP="005523C8">
      <w:pPr>
        <w:pStyle w:val="Heading2"/>
      </w:pPr>
      <w:r w:rsidRPr="009B4D65">
        <w:t xml:space="preserve">S1.1. </w:t>
      </w:r>
      <w:r w:rsidR="009B2063" w:rsidRPr="009B4D65">
        <w:t>Distribution Fitting and Goodness-of-Fit Assessment</w:t>
      </w:r>
    </w:p>
    <w:p w14:paraId="7A9CC118" w14:textId="4F0A0ACD" w:rsidR="009B2063" w:rsidRPr="005523C8" w:rsidRDefault="009B2063" w:rsidP="00B129FA">
      <w:pPr>
        <w:spacing w:line="276" w:lineRule="auto"/>
        <w:rPr>
          <w:rFonts w:asciiTheme="majorBidi" w:hAnsiTheme="majorBidi" w:cstheme="majorBidi"/>
          <w:sz w:val="22"/>
          <w:szCs w:val="22"/>
        </w:rPr>
      </w:pPr>
      <w:r w:rsidRPr="009B4D65">
        <w:rPr>
          <w:rFonts w:asciiTheme="majorBidi" w:hAnsiTheme="majorBidi" w:cstheme="majorBidi"/>
          <w:sz w:val="22"/>
          <w:szCs w:val="22"/>
        </w:rPr>
        <w:t xml:space="preserve">The </w:t>
      </w:r>
      <w:r w:rsidR="00732239" w:rsidRPr="009B4D65">
        <w:rPr>
          <w:rFonts w:asciiTheme="majorBidi" w:hAnsiTheme="majorBidi" w:cstheme="majorBidi"/>
          <w:sz w:val="22"/>
          <w:szCs w:val="22"/>
        </w:rPr>
        <w:t>Kolmogorov–</w:t>
      </w:r>
      <w:r w:rsidR="00732239" w:rsidRPr="005523C8">
        <w:rPr>
          <w:rFonts w:asciiTheme="majorBidi" w:hAnsiTheme="majorBidi" w:cstheme="majorBidi"/>
          <w:sz w:val="22"/>
          <w:szCs w:val="22"/>
        </w:rPr>
        <w:t>Smirnov (</w:t>
      </w:r>
      <w:r w:rsidRPr="005523C8">
        <w:rPr>
          <w:rFonts w:asciiTheme="majorBidi" w:hAnsiTheme="majorBidi" w:cstheme="majorBidi"/>
          <w:sz w:val="22"/>
          <w:szCs w:val="22"/>
        </w:rPr>
        <w:t>KS</w:t>
      </w:r>
      <w:r w:rsidR="00732239" w:rsidRPr="005523C8">
        <w:rPr>
          <w:rFonts w:asciiTheme="majorBidi" w:hAnsiTheme="majorBidi" w:cstheme="majorBidi"/>
          <w:sz w:val="22"/>
          <w:szCs w:val="22"/>
        </w:rPr>
        <w:t>)</w:t>
      </w:r>
      <w:r w:rsidRPr="005523C8">
        <w:rPr>
          <w:rFonts w:asciiTheme="majorBidi" w:hAnsiTheme="majorBidi" w:cstheme="majorBidi"/>
          <w:sz w:val="22"/>
          <w:szCs w:val="22"/>
        </w:rPr>
        <w:t xml:space="preserve"> test </w:t>
      </w:r>
      <w:r w:rsidR="00B129FA">
        <w:rPr>
          <w:rFonts w:asciiTheme="majorBidi" w:hAnsiTheme="majorBidi" w:cstheme="majorBidi"/>
          <w:sz w:val="22"/>
          <w:szCs w:val="22"/>
        </w:rPr>
        <w:fldChar w:fldCharType="begin"/>
      </w:r>
      <w:r w:rsidR="00B129FA">
        <w:rPr>
          <w:rFonts w:asciiTheme="majorBidi" w:hAnsiTheme="majorBidi" w:cstheme="majorBidi"/>
          <w:sz w:val="22"/>
          <w:szCs w:val="22"/>
        </w:rPr>
        <w:instrText xml:space="preserve"> ADDIN ZOTERO_ITEM CSL_CITATION {"citationID":"gZvChTqw","properties":{"unsorted":false,"formattedCitation":"(Fasano and Franceschini, 1987; Liu et al., 2025)","plainCitation":"(Fasano and Franceschini, 1987; Liu et al., 2025)","noteIndex":0},"citationItems":[{"id":1492,"uris":["http://zotero.org/users/16974576/items/L8CDNMFX"],"itemData":{"id":1492,"type":"article-journal","container-title":"Monthly Notices of the Royal Astronomical Society","DOI":"10.1093/mnras/225.1.155","ISSN":"0035-8711, 1365-2966","issue":"1","language":"en","page":"155-170","source":"DOI.org (Crossref)","title":"A multidimensional version of the Kolmogorov–Smirnov test","volume":"225","author":[{"family":"Fasano","given":"G."},{"family":"Franceschini","given":"A."}],"issued":{"date-parts":[["1987",3]]}}},{"id":1494,"uris":["http://zotero.org/users/16974576/items/TLA2GAKW"],"itemData":{"id":1494,"type":"article-journal","abstract":"With global environmental change, an in-depth understanding of the changing patterns in the frequency, duration and severity of drought events is of great significance to regional water resources management and agricultural production. The standardized precipitation index (SPI) and the standardized precipitation evapotranspiration index (SPEI) are two frequently used meteorological drought indices in characterizing the drought characteristics. The elucidation of the differences between the two indices is an important work to reduce the uncertainty in drought hazard analysis and give suggestions of the appropriate index for the regional drought detection. Shandong Province is considered to be one of the major agricultural production bases in northern China. However, the comparative analysis of the suitability of SPI and SPEI for this area and the spatial variability of drought hazard have not been systematically studied, which forms the basis for this research. In this study, we identified drought events according to run theory with consideration of merging neighboring medium-term drought events. The results showed that both SPI and SPEI can efficiently describe drought in the study area and drought events identified by these two indices were quite similar. The drought duration and severity of the most severe drought event identified by SPI were 11 months and 12.8, respectively, with a joint return period of 90 years, and the drought duration and severity of the most severe drought event identified by SPEI were 12 months and 12.98, with a joint return period of 65 years. The duration and severity of drought given by SPEI, however, were generally longer and larger than those given by SPI at the same meteorological station. A comparison of the return period using the bivariate copula function indicated that minor differences existed for the same drought event in the same meteorological station of SPI and SPEI. The spatial distributions of mean drought duration and severity as well as the return periods suggested that the northwest part of the study area and Weifang city were more likely to experience longer and more severe drought events, which also indicated a relatively higher potential for drought hazard in these areas.","container-title":"Scientific Reports","DOI":"10.1038/s41598-024-83522-0","ISSN":"2045-2322","issue":"1","journalAbbreviation":"Scientific Reports","page":"11268","title":"Comparative study on bivariate statistical characteristics of drought in Shandong using SPI and SPEI","volume":"15","author":[{"family":"Liu","given":"Jian"},{"family":"Xia","given":"Jun"},{"family":"Wang","given":"Mingsen"}],"issued":{"date-parts":[["2025",4,2]]}}}],"schema":"https://github.com/citation-style-language/schema/raw/master/csl-citation.json"} </w:instrText>
      </w:r>
      <w:r w:rsidR="00B129FA">
        <w:rPr>
          <w:rFonts w:asciiTheme="majorBidi" w:hAnsiTheme="majorBidi" w:cstheme="majorBidi"/>
          <w:sz w:val="22"/>
          <w:szCs w:val="22"/>
        </w:rPr>
        <w:fldChar w:fldCharType="separate"/>
      </w:r>
      <w:r w:rsidR="00B129FA" w:rsidRPr="00B129FA">
        <w:rPr>
          <w:rFonts w:ascii="Times New Roman" w:hAnsi="Times New Roman" w:cs="Times New Roman"/>
          <w:sz w:val="22"/>
        </w:rPr>
        <w:t>(Fasano and Franceschini, 1987; Liu et al., 2025)</w:t>
      </w:r>
      <w:r w:rsidR="00B129FA">
        <w:rPr>
          <w:rFonts w:asciiTheme="majorBidi" w:hAnsiTheme="majorBidi" w:cstheme="majorBidi"/>
          <w:sz w:val="22"/>
          <w:szCs w:val="22"/>
        </w:rPr>
        <w:fldChar w:fldCharType="end"/>
      </w:r>
      <w:r w:rsidR="00B129FA">
        <w:rPr>
          <w:rFonts w:asciiTheme="majorBidi" w:hAnsiTheme="majorBidi" w:cstheme="majorBidi"/>
          <w:sz w:val="22"/>
          <w:szCs w:val="22"/>
        </w:rPr>
        <w:t xml:space="preserve"> </w:t>
      </w:r>
      <w:r w:rsidRPr="005523C8">
        <w:rPr>
          <w:rFonts w:asciiTheme="majorBidi" w:hAnsiTheme="majorBidi" w:cstheme="majorBidi"/>
          <w:sz w:val="22"/>
          <w:szCs w:val="22"/>
        </w:rPr>
        <w:t>results for all five accumulation windows (1, 3, 6, 12, and 24 months) at both stations are summarised in</w:t>
      </w:r>
      <w:r w:rsidR="005523C8" w:rsidRPr="005523C8">
        <w:rPr>
          <w:rFonts w:asciiTheme="majorBidi" w:hAnsiTheme="majorBidi" w:cstheme="majorBidi"/>
          <w:sz w:val="22"/>
          <w:szCs w:val="22"/>
        </w:rPr>
        <w:t xml:space="preserve"> </w:t>
      </w:r>
      <w:r w:rsidR="005523C8" w:rsidRPr="005523C8">
        <w:rPr>
          <w:rFonts w:asciiTheme="majorBidi" w:hAnsiTheme="majorBidi" w:cstheme="majorBidi"/>
          <w:sz w:val="22"/>
          <w:szCs w:val="22"/>
        </w:rPr>
        <w:fldChar w:fldCharType="begin"/>
      </w:r>
      <w:r w:rsidR="005523C8" w:rsidRPr="005523C8">
        <w:rPr>
          <w:rFonts w:asciiTheme="majorBidi" w:hAnsiTheme="majorBidi" w:cstheme="majorBidi"/>
          <w:sz w:val="22"/>
          <w:szCs w:val="22"/>
        </w:rPr>
        <w:instrText xml:space="preserve"> REF _Ref232277982 \h  \* MERGEFORMAT </w:instrText>
      </w:r>
      <w:r w:rsidR="005523C8" w:rsidRPr="005523C8">
        <w:rPr>
          <w:rFonts w:asciiTheme="majorBidi" w:hAnsiTheme="majorBidi" w:cstheme="majorBidi"/>
          <w:sz w:val="22"/>
          <w:szCs w:val="22"/>
        </w:rPr>
      </w:r>
      <w:r w:rsidR="005523C8" w:rsidRPr="005523C8">
        <w:rPr>
          <w:rFonts w:asciiTheme="majorBidi" w:hAnsiTheme="majorBidi" w:cstheme="majorBidi"/>
          <w:sz w:val="22"/>
          <w:szCs w:val="22"/>
        </w:rPr>
        <w:fldChar w:fldCharType="separate"/>
      </w:r>
      <w:r w:rsidR="005523C8" w:rsidRPr="005523C8">
        <w:rPr>
          <w:rFonts w:asciiTheme="majorBidi" w:hAnsiTheme="majorBidi" w:cstheme="majorBidi"/>
          <w:sz w:val="22"/>
          <w:szCs w:val="22"/>
        </w:rPr>
        <w:t xml:space="preserve">Table S </w:t>
      </w:r>
      <w:r w:rsidR="005523C8" w:rsidRPr="005523C8">
        <w:rPr>
          <w:rFonts w:asciiTheme="majorBidi" w:hAnsiTheme="majorBidi" w:cstheme="majorBidi"/>
          <w:noProof/>
          <w:sz w:val="22"/>
          <w:szCs w:val="22"/>
        </w:rPr>
        <w:t>1</w:t>
      </w:r>
      <w:r w:rsidR="005523C8" w:rsidRPr="005523C8">
        <w:rPr>
          <w:rFonts w:asciiTheme="majorBidi" w:hAnsiTheme="majorBidi" w:cstheme="majorBidi"/>
          <w:sz w:val="22"/>
          <w:szCs w:val="22"/>
        </w:rPr>
        <w:fldChar w:fldCharType="end"/>
      </w:r>
      <w:r w:rsidRPr="005523C8">
        <w:rPr>
          <w:rFonts w:asciiTheme="majorBidi" w:hAnsiTheme="majorBidi" w:cstheme="majorBidi"/>
          <w:sz w:val="22"/>
          <w:szCs w:val="22"/>
        </w:rPr>
        <w:t xml:space="preserve">. Across all 20 index-timescale combinations, the null hypothesis of adequate distributional fit was retained at the 5% significance level, with all tests satisfying the </w:t>
      </w:r>
      <w:r w:rsidR="00B129FA">
        <w:rPr>
          <w:rFonts w:asciiTheme="majorBidi" w:hAnsiTheme="majorBidi" w:cstheme="majorBidi"/>
          <w:sz w:val="22"/>
          <w:szCs w:val="22"/>
        </w:rPr>
        <w:t>w</w:t>
      </w:r>
      <w:r w:rsidR="00B129FA" w:rsidRPr="00B129FA">
        <w:rPr>
          <w:rFonts w:asciiTheme="majorBidi" w:hAnsiTheme="majorBidi" w:cstheme="majorBidi"/>
          <w:sz w:val="22"/>
          <w:szCs w:val="22"/>
        </w:rPr>
        <w:t xml:space="preserve">orld </w:t>
      </w:r>
      <w:r w:rsidR="00B129FA">
        <w:rPr>
          <w:rFonts w:asciiTheme="majorBidi" w:hAnsiTheme="majorBidi" w:cstheme="majorBidi"/>
          <w:sz w:val="22"/>
          <w:szCs w:val="22"/>
        </w:rPr>
        <w:t>m</w:t>
      </w:r>
      <w:r w:rsidR="00B129FA" w:rsidRPr="00B129FA">
        <w:rPr>
          <w:rFonts w:asciiTheme="majorBidi" w:hAnsiTheme="majorBidi" w:cstheme="majorBidi"/>
          <w:sz w:val="22"/>
          <w:szCs w:val="22"/>
        </w:rPr>
        <w:t xml:space="preserve">eteorological </w:t>
      </w:r>
      <w:r w:rsidR="00B129FA">
        <w:rPr>
          <w:rFonts w:asciiTheme="majorBidi" w:hAnsiTheme="majorBidi" w:cstheme="majorBidi"/>
          <w:sz w:val="22"/>
          <w:szCs w:val="22"/>
        </w:rPr>
        <w:t>o</w:t>
      </w:r>
      <w:r w:rsidR="00B129FA" w:rsidRPr="00B129FA">
        <w:rPr>
          <w:rFonts w:asciiTheme="majorBidi" w:hAnsiTheme="majorBidi" w:cstheme="majorBidi"/>
          <w:sz w:val="22"/>
          <w:szCs w:val="22"/>
        </w:rPr>
        <w:t>rganization</w:t>
      </w:r>
      <w:r w:rsidR="00B129FA">
        <w:rPr>
          <w:rFonts w:asciiTheme="majorBidi" w:hAnsiTheme="majorBidi" w:cstheme="majorBidi"/>
          <w:sz w:val="22"/>
          <w:szCs w:val="22"/>
        </w:rPr>
        <w:t xml:space="preserve"> (</w:t>
      </w:r>
      <w:r w:rsidRPr="005523C8">
        <w:rPr>
          <w:rFonts w:asciiTheme="majorBidi" w:hAnsiTheme="majorBidi" w:cstheme="majorBidi"/>
          <w:sz w:val="22"/>
          <w:szCs w:val="22"/>
        </w:rPr>
        <w:t>WMO</w:t>
      </w:r>
      <w:r w:rsidR="00B129FA">
        <w:rPr>
          <w:rFonts w:asciiTheme="majorBidi" w:hAnsiTheme="majorBidi" w:cstheme="majorBidi"/>
          <w:sz w:val="22"/>
          <w:szCs w:val="22"/>
        </w:rPr>
        <w:t>)</w:t>
      </w:r>
      <w:r w:rsidRPr="005523C8">
        <w:rPr>
          <w:rFonts w:asciiTheme="majorBidi" w:hAnsiTheme="majorBidi" w:cstheme="majorBidi"/>
          <w:sz w:val="22"/>
          <w:szCs w:val="22"/>
        </w:rPr>
        <w:t xml:space="preserve"> criterion for acceptable fit. KS statistics ranged from 0.020 (İznik SPI-3) to 0.055 (Uluabat SPI-24), and p-values exceeded 0.09 in every case. These results confirm that the gamma distribution (SPI) and log-logistic distribution (SPEI) adequately represent the precipitation and climatic water balance data over the 1981–2024 study period at both lakes, providing a valid basis for subsequent drought characterisation.</w:t>
      </w:r>
    </w:p>
    <w:p w14:paraId="43D95E3A" w14:textId="1356E0BF" w:rsidR="00430829" w:rsidRPr="005523C8" w:rsidRDefault="002F41C5" w:rsidP="002F41C5">
      <w:pPr>
        <w:pStyle w:val="Caption"/>
        <w:rPr>
          <w:rFonts w:cstheme="majorBidi"/>
          <w:color w:val="EE0000"/>
          <w:sz w:val="22"/>
          <w:szCs w:val="22"/>
        </w:rPr>
      </w:pPr>
      <w:bookmarkStart w:id="0" w:name="_Ref232277982"/>
      <w:bookmarkStart w:id="1" w:name="_Toc232099196"/>
      <w:r w:rsidRPr="005523C8">
        <w:rPr>
          <w:rFonts w:cstheme="majorBidi"/>
          <w:sz w:val="22"/>
          <w:szCs w:val="22"/>
        </w:rPr>
        <w:t xml:space="preserve">Table S </w:t>
      </w:r>
      <w:r w:rsidRPr="005523C8">
        <w:rPr>
          <w:rFonts w:cstheme="majorBidi"/>
          <w:sz w:val="22"/>
          <w:szCs w:val="22"/>
        </w:rPr>
        <w:fldChar w:fldCharType="begin"/>
      </w:r>
      <w:r w:rsidRPr="005523C8">
        <w:rPr>
          <w:rFonts w:cstheme="majorBidi"/>
          <w:sz w:val="22"/>
          <w:szCs w:val="22"/>
        </w:rPr>
        <w:instrText xml:space="preserve"> SEQ Table_S \* ARABIC </w:instrText>
      </w:r>
      <w:r w:rsidRPr="005523C8">
        <w:rPr>
          <w:rFonts w:cstheme="majorBidi"/>
          <w:sz w:val="22"/>
          <w:szCs w:val="22"/>
        </w:rPr>
        <w:fldChar w:fldCharType="separate"/>
      </w:r>
      <w:r w:rsidRPr="005523C8">
        <w:rPr>
          <w:rFonts w:cstheme="majorBidi"/>
          <w:noProof/>
          <w:sz w:val="22"/>
          <w:szCs w:val="22"/>
        </w:rPr>
        <w:t>1</w:t>
      </w:r>
      <w:r w:rsidRPr="005523C8">
        <w:rPr>
          <w:rFonts w:cstheme="majorBidi"/>
          <w:sz w:val="22"/>
          <w:szCs w:val="22"/>
        </w:rPr>
        <w:fldChar w:fldCharType="end"/>
      </w:r>
      <w:bookmarkEnd w:id="0"/>
      <w:r w:rsidRPr="005523C8">
        <w:rPr>
          <w:rFonts w:cstheme="majorBidi"/>
          <w:sz w:val="22"/>
          <w:szCs w:val="22"/>
        </w:rPr>
        <w:t xml:space="preserve">. </w:t>
      </w:r>
      <w:r w:rsidR="00430829" w:rsidRPr="005523C8">
        <w:rPr>
          <w:rFonts w:cstheme="majorBidi"/>
          <w:sz w:val="22"/>
          <w:szCs w:val="22"/>
        </w:rPr>
        <w:t>Kolmogorov–Smirnov goodness-of-fit test results for SPI and SPEI at five accumulation windows for İznik and Uluabat lakes (1981–2024; n = 528 months)</w:t>
      </w:r>
      <w:bookmarkEnd w:id="1"/>
      <w:r w:rsidR="00430829" w:rsidRPr="005523C8">
        <w:rPr>
          <w:rFonts w:cstheme="majorBidi"/>
          <w:sz w:val="22"/>
          <w:szCs w:val="22"/>
        </w:rPr>
        <w:t>.</w:t>
      </w:r>
    </w:p>
    <w:tbl>
      <w:tblPr>
        <w:tblStyle w:val="Elsevier"/>
        <w:tblW w:w="0" w:type="auto"/>
        <w:tblLook w:val="04A0" w:firstRow="1" w:lastRow="0" w:firstColumn="1" w:lastColumn="0" w:noHBand="0" w:noVBand="1"/>
      </w:tblPr>
      <w:tblGrid>
        <w:gridCol w:w="974"/>
        <w:gridCol w:w="1153"/>
        <w:gridCol w:w="905"/>
        <w:gridCol w:w="1297"/>
        <w:gridCol w:w="1200"/>
        <w:gridCol w:w="1049"/>
        <w:gridCol w:w="1440"/>
        <w:gridCol w:w="1342"/>
      </w:tblGrid>
      <w:tr w:rsidR="00430829" w:rsidRPr="005523C8" w14:paraId="1BF2B16D" w14:textId="77777777" w:rsidTr="00DE6960">
        <w:tc>
          <w:tcPr>
            <w:tcW w:w="0" w:type="auto"/>
            <w:tcBorders>
              <w:top w:val="single" w:sz="4" w:space="0" w:color="auto"/>
              <w:bottom w:val="single" w:sz="4" w:space="0" w:color="auto"/>
            </w:tcBorders>
            <w:hideMark/>
          </w:tcPr>
          <w:p w14:paraId="0500B82E"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Lake</w:t>
            </w:r>
          </w:p>
        </w:tc>
        <w:tc>
          <w:tcPr>
            <w:tcW w:w="0" w:type="auto"/>
            <w:tcBorders>
              <w:top w:val="single" w:sz="4" w:space="0" w:color="auto"/>
              <w:bottom w:val="single" w:sz="4" w:space="0" w:color="auto"/>
            </w:tcBorders>
            <w:hideMark/>
          </w:tcPr>
          <w:p w14:paraId="07A67FC7"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Timescale</w:t>
            </w:r>
          </w:p>
        </w:tc>
        <w:tc>
          <w:tcPr>
            <w:tcW w:w="0" w:type="auto"/>
            <w:tcBorders>
              <w:top w:val="single" w:sz="4" w:space="0" w:color="auto"/>
              <w:bottom w:val="single" w:sz="4" w:space="0" w:color="auto"/>
            </w:tcBorders>
            <w:hideMark/>
          </w:tcPr>
          <w:p w14:paraId="19809836"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SPI KS</w:t>
            </w:r>
          </w:p>
        </w:tc>
        <w:tc>
          <w:tcPr>
            <w:tcW w:w="0" w:type="auto"/>
            <w:tcBorders>
              <w:top w:val="single" w:sz="4" w:space="0" w:color="auto"/>
              <w:bottom w:val="single" w:sz="4" w:space="0" w:color="auto"/>
            </w:tcBorders>
            <w:hideMark/>
          </w:tcPr>
          <w:p w14:paraId="755C1BD1"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SPI p-value</w:t>
            </w:r>
          </w:p>
        </w:tc>
        <w:tc>
          <w:tcPr>
            <w:tcW w:w="0" w:type="auto"/>
            <w:tcBorders>
              <w:top w:val="single" w:sz="4" w:space="0" w:color="auto"/>
              <w:bottom w:val="single" w:sz="4" w:space="0" w:color="auto"/>
            </w:tcBorders>
            <w:hideMark/>
          </w:tcPr>
          <w:p w14:paraId="69A416B6"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SPI WMO</w:t>
            </w:r>
          </w:p>
        </w:tc>
        <w:tc>
          <w:tcPr>
            <w:tcW w:w="0" w:type="auto"/>
            <w:tcBorders>
              <w:top w:val="single" w:sz="4" w:space="0" w:color="auto"/>
              <w:bottom w:val="single" w:sz="4" w:space="0" w:color="auto"/>
            </w:tcBorders>
            <w:hideMark/>
          </w:tcPr>
          <w:p w14:paraId="570832A3"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SPEI KS</w:t>
            </w:r>
          </w:p>
        </w:tc>
        <w:tc>
          <w:tcPr>
            <w:tcW w:w="0" w:type="auto"/>
            <w:tcBorders>
              <w:top w:val="single" w:sz="4" w:space="0" w:color="auto"/>
              <w:bottom w:val="single" w:sz="4" w:space="0" w:color="auto"/>
            </w:tcBorders>
            <w:hideMark/>
          </w:tcPr>
          <w:p w14:paraId="708B6DFB"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SPEI p-value</w:t>
            </w:r>
          </w:p>
        </w:tc>
        <w:tc>
          <w:tcPr>
            <w:tcW w:w="0" w:type="auto"/>
            <w:tcBorders>
              <w:top w:val="single" w:sz="4" w:space="0" w:color="auto"/>
              <w:bottom w:val="single" w:sz="4" w:space="0" w:color="auto"/>
            </w:tcBorders>
            <w:hideMark/>
          </w:tcPr>
          <w:p w14:paraId="30071D10"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SPEI WMO</w:t>
            </w:r>
          </w:p>
        </w:tc>
      </w:tr>
      <w:tr w:rsidR="00430829" w:rsidRPr="005523C8" w14:paraId="6ADD60A7" w14:textId="77777777" w:rsidTr="00DE6960">
        <w:tc>
          <w:tcPr>
            <w:tcW w:w="0" w:type="auto"/>
            <w:tcBorders>
              <w:top w:val="single" w:sz="4" w:space="0" w:color="auto"/>
            </w:tcBorders>
            <w:hideMark/>
          </w:tcPr>
          <w:p w14:paraId="488D686E"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İznik</w:t>
            </w:r>
          </w:p>
        </w:tc>
        <w:tc>
          <w:tcPr>
            <w:tcW w:w="0" w:type="auto"/>
            <w:tcBorders>
              <w:top w:val="single" w:sz="4" w:space="0" w:color="auto"/>
            </w:tcBorders>
            <w:hideMark/>
          </w:tcPr>
          <w:p w14:paraId="73EC28E3"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1</w:t>
            </w:r>
          </w:p>
        </w:tc>
        <w:tc>
          <w:tcPr>
            <w:tcW w:w="0" w:type="auto"/>
            <w:tcBorders>
              <w:top w:val="single" w:sz="4" w:space="0" w:color="auto"/>
            </w:tcBorders>
            <w:hideMark/>
          </w:tcPr>
          <w:p w14:paraId="45E98001"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0.0529</w:t>
            </w:r>
          </w:p>
        </w:tc>
        <w:tc>
          <w:tcPr>
            <w:tcW w:w="0" w:type="auto"/>
            <w:tcBorders>
              <w:top w:val="single" w:sz="4" w:space="0" w:color="auto"/>
            </w:tcBorders>
            <w:hideMark/>
          </w:tcPr>
          <w:p w14:paraId="29E083CD"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0.100</w:t>
            </w:r>
          </w:p>
        </w:tc>
        <w:tc>
          <w:tcPr>
            <w:tcW w:w="0" w:type="auto"/>
            <w:tcBorders>
              <w:top w:val="single" w:sz="4" w:space="0" w:color="auto"/>
            </w:tcBorders>
            <w:hideMark/>
          </w:tcPr>
          <w:p w14:paraId="252D165B"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c>
          <w:tcPr>
            <w:tcW w:w="0" w:type="auto"/>
            <w:tcBorders>
              <w:top w:val="single" w:sz="4" w:space="0" w:color="auto"/>
            </w:tcBorders>
            <w:hideMark/>
          </w:tcPr>
          <w:p w14:paraId="4DBF7474"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0.0302</w:t>
            </w:r>
          </w:p>
        </w:tc>
        <w:tc>
          <w:tcPr>
            <w:tcW w:w="0" w:type="auto"/>
            <w:tcBorders>
              <w:top w:val="single" w:sz="4" w:space="0" w:color="auto"/>
            </w:tcBorders>
            <w:hideMark/>
          </w:tcPr>
          <w:p w14:paraId="44E36659"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0.708</w:t>
            </w:r>
          </w:p>
        </w:tc>
        <w:tc>
          <w:tcPr>
            <w:tcW w:w="0" w:type="auto"/>
            <w:tcBorders>
              <w:top w:val="single" w:sz="4" w:space="0" w:color="auto"/>
            </w:tcBorders>
            <w:hideMark/>
          </w:tcPr>
          <w:p w14:paraId="62DA46DC"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r>
      <w:tr w:rsidR="00430829" w:rsidRPr="005523C8" w14:paraId="7D9E9084" w14:textId="77777777" w:rsidTr="00DE6960">
        <w:tc>
          <w:tcPr>
            <w:tcW w:w="0" w:type="auto"/>
            <w:hideMark/>
          </w:tcPr>
          <w:p w14:paraId="49D1D4BD"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İznik</w:t>
            </w:r>
          </w:p>
        </w:tc>
        <w:tc>
          <w:tcPr>
            <w:tcW w:w="0" w:type="auto"/>
            <w:hideMark/>
          </w:tcPr>
          <w:p w14:paraId="11DB2A0F"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3</w:t>
            </w:r>
          </w:p>
        </w:tc>
        <w:tc>
          <w:tcPr>
            <w:tcW w:w="0" w:type="auto"/>
            <w:hideMark/>
          </w:tcPr>
          <w:p w14:paraId="1FE93B4C"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0.0201</w:t>
            </w:r>
          </w:p>
        </w:tc>
        <w:tc>
          <w:tcPr>
            <w:tcW w:w="0" w:type="auto"/>
            <w:hideMark/>
          </w:tcPr>
          <w:p w14:paraId="51948EC7"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0.981</w:t>
            </w:r>
          </w:p>
        </w:tc>
        <w:tc>
          <w:tcPr>
            <w:tcW w:w="0" w:type="auto"/>
            <w:hideMark/>
          </w:tcPr>
          <w:p w14:paraId="4B363CA9"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c>
          <w:tcPr>
            <w:tcW w:w="0" w:type="auto"/>
            <w:hideMark/>
          </w:tcPr>
          <w:p w14:paraId="7AC20D76"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0.0283</w:t>
            </w:r>
          </w:p>
        </w:tc>
        <w:tc>
          <w:tcPr>
            <w:tcW w:w="0" w:type="auto"/>
            <w:hideMark/>
          </w:tcPr>
          <w:p w14:paraId="018B618E"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0.782</w:t>
            </w:r>
          </w:p>
        </w:tc>
        <w:tc>
          <w:tcPr>
            <w:tcW w:w="0" w:type="auto"/>
            <w:hideMark/>
          </w:tcPr>
          <w:p w14:paraId="5B2A3776"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r>
      <w:tr w:rsidR="00430829" w:rsidRPr="005523C8" w14:paraId="72973158" w14:textId="77777777" w:rsidTr="00DE6960">
        <w:tc>
          <w:tcPr>
            <w:tcW w:w="0" w:type="auto"/>
            <w:hideMark/>
          </w:tcPr>
          <w:p w14:paraId="471B1DC6"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İznik</w:t>
            </w:r>
          </w:p>
        </w:tc>
        <w:tc>
          <w:tcPr>
            <w:tcW w:w="0" w:type="auto"/>
            <w:hideMark/>
          </w:tcPr>
          <w:p w14:paraId="76521EA7"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6</w:t>
            </w:r>
          </w:p>
        </w:tc>
        <w:tc>
          <w:tcPr>
            <w:tcW w:w="0" w:type="auto"/>
            <w:hideMark/>
          </w:tcPr>
          <w:p w14:paraId="476ED1D2"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0.0247</w:t>
            </w:r>
          </w:p>
        </w:tc>
        <w:tc>
          <w:tcPr>
            <w:tcW w:w="0" w:type="auto"/>
            <w:hideMark/>
          </w:tcPr>
          <w:p w14:paraId="01744786"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0.898</w:t>
            </w:r>
          </w:p>
        </w:tc>
        <w:tc>
          <w:tcPr>
            <w:tcW w:w="0" w:type="auto"/>
            <w:hideMark/>
          </w:tcPr>
          <w:p w14:paraId="64E8982C"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c>
          <w:tcPr>
            <w:tcW w:w="0" w:type="auto"/>
            <w:hideMark/>
          </w:tcPr>
          <w:p w14:paraId="4A22CE8A"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0.0215</w:t>
            </w:r>
          </w:p>
        </w:tc>
        <w:tc>
          <w:tcPr>
            <w:tcW w:w="0" w:type="auto"/>
            <w:hideMark/>
          </w:tcPr>
          <w:p w14:paraId="345A616B"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0.965</w:t>
            </w:r>
          </w:p>
        </w:tc>
        <w:tc>
          <w:tcPr>
            <w:tcW w:w="0" w:type="auto"/>
            <w:hideMark/>
          </w:tcPr>
          <w:p w14:paraId="0A58252F"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r>
      <w:tr w:rsidR="00430829" w:rsidRPr="005523C8" w14:paraId="0A1AF000" w14:textId="77777777" w:rsidTr="00DE6960">
        <w:tc>
          <w:tcPr>
            <w:tcW w:w="0" w:type="auto"/>
            <w:hideMark/>
          </w:tcPr>
          <w:p w14:paraId="2D4D02CB"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İznik</w:t>
            </w:r>
          </w:p>
        </w:tc>
        <w:tc>
          <w:tcPr>
            <w:tcW w:w="0" w:type="auto"/>
            <w:hideMark/>
          </w:tcPr>
          <w:p w14:paraId="7E70E91A"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12</w:t>
            </w:r>
          </w:p>
        </w:tc>
        <w:tc>
          <w:tcPr>
            <w:tcW w:w="0" w:type="auto"/>
            <w:hideMark/>
          </w:tcPr>
          <w:p w14:paraId="4CAB95F6"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0.0452</w:t>
            </w:r>
          </w:p>
        </w:tc>
        <w:tc>
          <w:tcPr>
            <w:tcW w:w="0" w:type="auto"/>
            <w:hideMark/>
          </w:tcPr>
          <w:p w14:paraId="6DA4E099"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0.235</w:t>
            </w:r>
          </w:p>
        </w:tc>
        <w:tc>
          <w:tcPr>
            <w:tcW w:w="0" w:type="auto"/>
            <w:hideMark/>
          </w:tcPr>
          <w:p w14:paraId="69492C70"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c>
          <w:tcPr>
            <w:tcW w:w="0" w:type="auto"/>
            <w:hideMark/>
          </w:tcPr>
          <w:p w14:paraId="373AC364"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0.0237</w:t>
            </w:r>
          </w:p>
        </w:tc>
        <w:tc>
          <w:tcPr>
            <w:tcW w:w="0" w:type="auto"/>
            <w:hideMark/>
          </w:tcPr>
          <w:p w14:paraId="6466B316"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0.926</w:t>
            </w:r>
          </w:p>
        </w:tc>
        <w:tc>
          <w:tcPr>
            <w:tcW w:w="0" w:type="auto"/>
            <w:hideMark/>
          </w:tcPr>
          <w:p w14:paraId="52F13213"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r>
      <w:tr w:rsidR="00430829" w:rsidRPr="005523C8" w14:paraId="689F33A1" w14:textId="77777777" w:rsidTr="00DE6960">
        <w:tc>
          <w:tcPr>
            <w:tcW w:w="0" w:type="auto"/>
            <w:hideMark/>
          </w:tcPr>
          <w:p w14:paraId="4675F575"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İznik</w:t>
            </w:r>
          </w:p>
        </w:tc>
        <w:tc>
          <w:tcPr>
            <w:tcW w:w="0" w:type="auto"/>
            <w:hideMark/>
          </w:tcPr>
          <w:p w14:paraId="365671F4"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24</w:t>
            </w:r>
          </w:p>
        </w:tc>
        <w:tc>
          <w:tcPr>
            <w:tcW w:w="0" w:type="auto"/>
            <w:hideMark/>
          </w:tcPr>
          <w:p w14:paraId="2D5E7F6C"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0.0439</w:t>
            </w:r>
          </w:p>
        </w:tc>
        <w:tc>
          <w:tcPr>
            <w:tcW w:w="0" w:type="auto"/>
            <w:hideMark/>
          </w:tcPr>
          <w:p w14:paraId="1D4B2DA6"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0.276</w:t>
            </w:r>
          </w:p>
        </w:tc>
        <w:tc>
          <w:tcPr>
            <w:tcW w:w="0" w:type="auto"/>
            <w:hideMark/>
          </w:tcPr>
          <w:p w14:paraId="682303DB"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c>
          <w:tcPr>
            <w:tcW w:w="0" w:type="auto"/>
            <w:hideMark/>
          </w:tcPr>
          <w:p w14:paraId="2257DE7F"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0.0306</w:t>
            </w:r>
          </w:p>
        </w:tc>
        <w:tc>
          <w:tcPr>
            <w:tcW w:w="0" w:type="auto"/>
            <w:hideMark/>
          </w:tcPr>
          <w:p w14:paraId="1FFF843B"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0.722</w:t>
            </w:r>
          </w:p>
        </w:tc>
        <w:tc>
          <w:tcPr>
            <w:tcW w:w="0" w:type="auto"/>
            <w:hideMark/>
          </w:tcPr>
          <w:p w14:paraId="288099F6"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r>
      <w:tr w:rsidR="00430829" w:rsidRPr="005523C8" w14:paraId="228F06A0" w14:textId="77777777" w:rsidTr="00DE6960">
        <w:tc>
          <w:tcPr>
            <w:tcW w:w="0" w:type="auto"/>
            <w:hideMark/>
          </w:tcPr>
          <w:p w14:paraId="3E8C8958"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Uluabat</w:t>
            </w:r>
          </w:p>
        </w:tc>
        <w:tc>
          <w:tcPr>
            <w:tcW w:w="0" w:type="auto"/>
            <w:hideMark/>
          </w:tcPr>
          <w:p w14:paraId="307DD75A"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1</w:t>
            </w:r>
          </w:p>
        </w:tc>
        <w:tc>
          <w:tcPr>
            <w:tcW w:w="0" w:type="auto"/>
            <w:hideMark/>
          </w:tcPr>
          <w:p w14:paraId="66BB5E20"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0.0472</w:t>
            </w:r>
          </w:p>
        </w:tc>
        <w:tc>
          <w:tcPr>
            <w:tcW w:w="0" w:type="auto"/>
            <w:hideMark/>
          </w:tcPr>
          <w:p w14:paraId="3D16E7F0"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0.184</w:t>
            </w:r>
          </w:p>
        </w:tc>
        <w:tc>
          <w:tcPr>
            <w:tcW w:w="0" w:type="auto"/>
            <w:hideMark/>
          </w:tcPr>
          <w:p w14:paraId="32CCB4C2"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c>
          <w:tcPr>
            <w:tcW w:w="0" w:type="auto"/>
            <w:hideMark/>
          </w:tcPr>
          <w:p w14:paraId="723F56C2"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0.0331</w:t>
            </w:r>
          </w:p>
        </w:tc>
        <w:tc>
          <w:tcPr>
            <w:tcW w:w="0" w:type="auto"/>
            <w:hideMark/>
          </w:tcPr>
          <w:p w14:paraId="02F039FB"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0.597</w:t>
            </w:r>
          </w:p>
        </w:tc>
        <w:tc>
          <w:tcPr>
            <w:tcW w:w="0" w:type="auto"/>
            <w:hideMark/>
          </w:tcPr>
          <w:p w14:paraId="54ECFC11"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r>
      <w:tr w:rsidR="00430829" w:rsidRPr="005523C8" w14:paraId="774D1B4C" w14:textId="77777777" w:rsidTr="00DE6960">
        <w:tc>
          <w:tcPr>
            <w:tcW w:w="0" w:type="auto"/>
            <w:hideMark/>
          </w:tcPr>
          <w:p w14:paraId="63FDE890"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Uluabat</w:t>
            </w:r>
          </w:p>
        </w:tc>
        <w:tc>
          <w:tcPr>
            <w:tcW w:w="0" w:type="auto"/>
            <w:hideMark/>
          </w:tcPr>
          <w:p w14:paraId="1ECFBE3F"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3</w:t>
            </w:r>
          </w:p>
        </w:tc>
        <w:tc>
          <w:tcPr>
            <w:tcW w:w="0" w:type="auto"/>
            <w:hideMark/>
          </w:tcPr>
          <w:p w14:paraId="22C239E0"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0.0308</w:t>
            </w:r>
          </w:p>
        </w:tc>
        <w:tc>
          <w:tcPr>
            <w:tcW w:w="0" w:type="auto"/>
            <w:hideMark/>
          </w:tcPr>
          <w:p w14:paraId="103308B1"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0.688</w:t>
            </w:r>
          </w:p>
        </w:tc>
        <w:tc>
          <w:tcPr>
            <w:tcW w:w="0" w:type="auto"/>
            <w:hideMark/>
          </w:tcPr>
          <w:p w14:paraId="10E11844"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c>
          <w:tcPr>
            <w:tcW w:w="0" w:type="auto"/>
            <w:hideMark/>
          </w:tcPr>
          <w:p w14:paraId="266C9164"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0.0294</w:t>
            </w:r>
          </w:p>
        </w:tc>
        <w:tc>
          <w:tcPr>
            <w:tcW w:w="0" w:type="auto"/>
            <w:hideMark/>
          </w:tcPr>
          <w:p w14:paraId="2E127502"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0.741</w:t>
            </w:r>
          </w:p>
        </w:tc>
        <w:tc>
          <w:tcPr>
            <w:tcW w:w="0" w:type="auto"/>
            <w:hideMark/>
          </w:tcPr>
          <w:p w14:paraId="151F92BD"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r>
      <w:tr w:rsidR="00430829" w:rsidRPr="005523C8" w14:paraId="7112AD86" w14:textId="77777777" w:rsidTr="00DE6960">
        <w:tc>
          <w:tcPr>
            <w:tcW w:w="0" w:type="auto"/>
            <w:hideMark/>
          </w:tcPr>
          <w:p w14:paraId="641D2D1E"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Uluabat</w:t>
            </w:r>
          </w:p>
        </w:tc>
        <w:tc>
          <w:tcPr>
            <w:tcW w:w="0" w:type="auto"/>
            <w:hideMark/>
          </w:tcPr>
          <w:p w14:paraId="4E58B123"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6</w:t>
            </w:r>
          </w:p>
        </w:tc>
        <w:tc>
          <w:tcPr>
            <w:tcW w:w="0" w:type="auto"/>
            <w:hideMark/>
          </w:tcPr>
          <w:p w14:paraId="3B90725E"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0.0253</w:t>
            </w:r>
          </w:p>
        </w:tc>
        <w:tc>
          <w:tcPr>
            <w:tcW w:w="0" w:type="auto"/>
            <w:hideMark/>
          </w:tcPr>
          <w:p w14:paraId="2F805425"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0.883</w:t>
            </w:r>
          </w:p>
        </w:tc>
        <w:tc>
          <w:tcPr>
            <w:tcW w:w="0" w:type="auto"/>
            <w:hideMark/>
          </w:tcPr>
          <w:p w14:paraId="6928DAAB"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c>
          <w:tcPr>
            <w:tcW w:w="0" w:type="auto"/>
            <w:hideMark/>
          </w:tcPr>
          <w:p w14:paraId="5F59BA0C"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0.0397</w:t>
            </w:r>
          </w:p>
        </w:tc>
        <w:tc>
          <w:tcPr>
            <w:tcW w:w="0" w:type="auto"/>
            <w:hideMark/>
          </w:tcPr>
          <w:p w14:paraId="104335BB"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0.372</w:t>
            </w:r>
          </w:p>
        </w:tc>
        <w:tc>
          <w:tcPr>
            <w:tcW w:w="0" w:type="auto"/>
            <w:hideMark/>
          </w:tcPr>
          <w:p w14:paraId="7D70F277"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r>
      <w:tr w:rsidR="00430829" w:rsidRPr="005523C8" w14:paraId="0C91EA21" w14:textId="77777777" w:rsidTr="00DE6960">
        <w:tc>
          <w:tcPr>
            <w:tcW w:w="0" w:type="auto"/>
            <w:hideMark/>
          </w:tcPr>
          <w:p w14:paraId="7497D5E7"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Uluabat</w:t>
            </w:r>
          </w:p>
        </w:tc>
        <w:tc>
          <w:tcPr>
            <w:tcW w:w="0" w:type="auto"/>
            <w:hideMark/>
          </w:tcPr>
          <w:p w14:paraId="7FF5F23B"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12</w:t>
            </w:r>
          </w:p>
        </w:tc>
        <w:tc>
          <w:tcPr>
            <w:tcW w:w="0" w:type="auto"/>
            <w:hideMark/>
          </w:tcPr>
          <w:p w14:paraId="195AB041"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0.0394</w:t>
            </w:r>
          </w:p>
        </w:tc>
        <w:tc>
          <w:tcPr>
            <w:tcW w:w="0" w:type="auto"/>
            <w:hideMark/>
          </w:tcPr>
          <w:p w14:paraId="472879F7"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0.388</w:t>
            </w:r>
          </w:p>
        </w:tc>
        <w:tc>
          <w:tcPr>
            <w:tcW w:w="0" w:type="auto"/>
            <w:hideMark/>
          </w:tcPr>
          <w:p w14:paraId="76DBD617"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c>
          <w:tcPr>
            <w:tcW w:w="0" w:type="auto"/>
            <w:hideMark/>
          </w:tcPr>
          <w:p w14:paraId="6AB116A1"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0.0236</w:t>
            </w:r>
          </w:p>
        </w:tc>
        <w:tc>
          <w:tcPr>
            <w:tcW w:w="0" w:type="auto"/>
            <w:hideMark/>
          </w:tcPr>
          <w:p w14:paraId="26BE1C72"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0.929</w:t>
            </w:r>
          </w:p>
        </w:tc>
        <w:tc>
          <w:tcPr>
            <w:tcW w:w="0" w:type="auto"/>
            <w:hideMark/>
          </w:tcPr>
          <w:p w14:paraId="665601DA"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r>
      <w:tr w:rsidR="00430829" w:rsidRPr="005523C8" w14:paraId="550AAE90" w14:textId="77777777" w:rsidTr="00DE6960">
        <w:tc>
          <w:tcPr>
            <w:tcW w:w="0" w:type="auto"/>
            <w:hideMark/>
          </w:tcPr>
          <w:p w14:paraId="54CFB6F9" w14:textId="77777777" w:rsidR="00430829" w:rsidRPr="005523C8" w:rsidRDefault="00430829" w:rsidP="009B4D65">
            <w:pPr>
              <w:spacing w:after="160" w:line="276" w:lineRule="auto"/>
              <w:rPr>
                <w:rFonts w:asciiTheme="majorBidi" w:hAnsiTheme="majorBidi" w:cstheme="majorBidi"/>
                <w:b/>
                <w:bCs/>
                <w:szCs w:val="22"/>
              </w:rPr>
            </w:pPr>
            <w:r w:rsidRPr="005523C8">
              <w:rPr>
                <w:rFonts w:asciiTheme="majorBidi" w:hAnsiTheme="majorBidi" w:cstheme="majorBidi"/>
                <w:b/>
                <w:bCs/>
                <w:szCs w:val="22"/>
              </w:rPr>
              <w:t>Uluabat</w:t>
            </w:r>
          </w:p>
        </w:tc>
        <w:tc>
          <w:tcPr>
            <w:tcW w:w="0" w:type="auto"/>
            <w:hideMark/>
          </w:tcPr>
          <w:p w14:paraId="3FAB5722"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24</w:t>
            </w:r>
          </w:p>
        </w:tc>
        <w:tc>
          <w:tcPr>
            <w:tcW w:w="0" w:type="auto"/>
            <w:hideMark/>
          </w:tcPr>
          <w:p w14:paraId="2B3A83AD"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0.0551</w:t>
            </w:r>
          </w:p>
        </w:tc>
        <w:tc>
          <w:tcPr>
            <w:tcW w:w="0" w:type="auto"/>
            <w:hideMark/>
          </w:tcPr>
          <w:p w14:paraId="7EDA52E5"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0.090</w:t>
            </w:r>
          </w:p>
        </w:tc>
        <w:tc>
          <w:tcPr>
            <w:tcW w:w="0" w:type="auto"/>
            <w:hideMark/>
          </w:tcPr>
          <w:p w14:paraId="18AB0D3C"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c>
          <w:tcPr>
            <w:tcW w:w="0" w:type="auto"/>
            <w:hideMark/>
          </w:tcPr>
          <w:p w14:paraId="75277BF4"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0.0471</w:t>
            </w:r>
          </w:p>
        </w:tc>
        <w:tc>
          <w:tcPr>
            <w:tcW w:w="0" w:type="auto"/>
            <w:hideMark/>
          </w:tcPr>
          <w:p w14:paraId="06CB3296" w14:textId="77777777" w:rsidR="00430829" w:rsidRPr="005523C8" w:rsidRDefault="00430829" w:rsidP="009B4D65">
            <w:pPr>
              <w:spacing w:after="160" w:line="276" w:lineRule="auto"/>
              <w:rPr>
                <w:rFonts w:asciiTheme="majorBidi" w:hAnsiTheme="majorBidi" w:cstheme="majorBidi"/>
                <w:szCs w:val="22"/>
              </w:rPr>
            </w:pPr>
            <w:r w:rsidRPr="005523C8">
              <w:rPr>
                <w:rFonts w:asciiTheme="majorBidi" w:hAnsiTheme="majorBidi" w:cstheme="majorBidi"/>
                <w:szCs w:val="22"/>
              </w:rPr>
              <w:t>0.207</w:t>
            </w:r>
          </w:p>
        </w:tc>
        <w:tc>
          <w:tcPr>
            <w:tcW w:w="0" w:type="auto"/>
            <w:hideMark/>
          </w:tcPr>
          <w:p w14:paraId="3C604A2F" w14:textId="77777777" w:rsidR="00430829" w:rsidRPr="005523C8" w:rsidRDefault="00430829" w:rsidP="009B4D65">
            <w:pPr>
              <w:spacing w:after="160" w:line="276" w:lineRule="auto"/>
              <w:rPr>
                <w:rFonts w:asciiTheme="majorBidi" w:hAnsiTheme="majorBidi" w:cstheme="majorBidi"/>
                <w:szCs w:val="22"/>
              </w:rPr>
            </w:pPr>
            <w:r w:rsidRPr="005523C8">
              <w:rPr>
                <w:rFonts w:ascii="Segoe UI Symbol" w:hAnsi="Segoe UI Symbol" w:cs="Segoe UI Symbol"/>
                <w:szCs w:val="22"/>
              </w:rPr>
              <w:t>✓</w:t>
            </w:r>
          </w:p>
        </w:tc>
      </w:tr>
    </w:tbl>
    <w:p w14:paraId="61F432A3" w14:textId="77777777" w:rsidR="00430829" w:rsidRPr="009B4D65" w:rsidRDefault="00430829" w:rsidP="009B4D65">
      <w:pPr>
        <w:spacing w:line="276" w:lineRule="auto"/>
        <w:rPr>
          <w:rFonts w:asciiTheme="majorBidi" w:hAnsiTheme="majorBidi" w:cstheme="majorBidi"/>
          <w:sz w:val="22"/>
          <w:szCs w:val="22"/>
        </w:rPr>
      </w:pPr>
    </w:p>
    <w:p w14:paraId="62DF2803" w14:textId="549DD0C5" w:rsidR="00D61284" w:rsidRPr="009B4D65" w:rsidRDefault="00D61284" w:rsidP="005523C8">
      <w:pPr>
        <w:pStyle w:val="Heading2"/>
      </w:pPr>
      <w:r w:rsidRPr="009B4D65">
        <w:t>S</w:t>
      </w:r>
      <w:r w:rsidR="00437CEC" w:rsidRPr="009B4D65">
        <w:t>1.</w:t>
      </w:r>
      <w:r w:rsidR="00732239" w:rsidRPr="009B4D65">
        <w:t>2</w:t>
      </w:r>
      <w:r w:rsidRPr="009B4D65">
        <w:t>. Lake Level Composite Series Construction</w:t>
      </w:r>
    </w:p>
    <w:p w14:paraId="515C7550" w14:textId="5240C6F5" w:rsidR="00D54720" w:rsidRPr="009B4D65" w:rsidRDefault="00D54720" w:rsidP="005523C8">
      <w:pPr>
        <w:spacing w:after="200" w:line="276" w:lineRule="auto"/>
        <w:jc w:val="both"/>
        <w:rPr>
          <w:rFonts w:asciiTheme="majorBidi" w:eastAsia="MS Mincho" w:hAnsiTheme="majorBidi" w:cstheme="majorBidi"/>
          <w:kern w:val="0"/>
          <w:sz w:val="22"/>
          <w:szCs w:val="22"/>
          <w14:ligatures w14:val="none"/>
        </w:rPr>
      </w:pPr>
      <w:r w:rsidRPr="009B4D65">
        <w:rPr>
          <w:rFonts w:asciiTheme="majorBidi" w:eastAsia="MS Mincho" w:hAnsiTheme="majorBidi" w:cstheme="majorBidi"/>
          <w:kern w:val="0"/>
          <w:sz w:val="22"/>
          <w:szCs w:val="22"/>
          <w14:ligatures w14:val="none"/>
        </w:rPr>
        <w:t xml:space="preserve">The lake-level composite series was assembled by integrating multiple observational sources according to a strict hierarchical protocol. Sources comprise (1) in-situ gauge records maintained by </w:t>
      </w:r>
      <w:r w:rsidR="00B129FA">
        <w:rPr>
          <w:rFonts w:asciiTheme="majorBidi" w:eastAsia="MS Mincho" w:hAnsiTheme="majorBidi" w:cstheme="majorBidi"/>
          <w:kern w:val="0"/>
          <w:sz w:val="22"/>
          <w:szCs w:val="22"/>
          <w14:ligatures w14:val="none"/>
        </w:rPr>
        <w:t>g</w:t>
      </w:r>
      <w:r w:rsidR="00B129FA" w:rsidRPr="005523C8">
        <w:rPr>
          <w:rFonts w:asciiTheme="majorBidi" w:eastAsia="MS Mincho" w:hAnsiTheme="majorBidi" w:cstheme="majorBidi"/>
          <w:kern w:val="0"/>
          <w:sz w:val="22"/>
          <w:szCs w:val="22"/>
          <w14:ligatures w14:val="none"/>
        </w:rPr>
        <w:t xml:space="preserve">eneral </w:t>
      </w:r>
      <w:r w:rsidR="00B129FA">
        <w:rPr>
          <w:rFonts w:asciiTheme="majorBidi" w:eastAsia="MS Mincho" w:hAnsiTheme="majorBidi" w:cstheme="majorBidi"/>
          <w:kern w:val="0"/>
          <w:sz w:val="22"/>
          <w:szCs w:val="22"/>
          <w14:ligatures w14:val="none"/>
        </w:rPr>
        <w:t>d</w:t>
      </w:r>
      <w:r w:rsidR="00B129FA" w:rsidRPr="005523C8">
        <w:rPr>
          <w:rFonts w:asciiTheme="majorBidi" w:eastAsia="MS Mincho" w:hAnsiTheme="majorBidi" w:cstheme="majorBidi"/>
          <w:kern w:val="0"/>
          <w:sz w:val="22"/>
          <w:szCs w:val="22"/>
          <w14:ligatures w14:val="none"/>
        </w:rPr>
        <w:t xml:space="preserve">irectorate of </w:t>
      </w:r>
      <w:r w:rsidR="00B129FA">
        <w:rPr>
          <w:rFonts w:asciiTheme="majorBidi" w:eastAsia="MS Mincho" w:hAnsiTheme="majorBidi" w:cstheme="majorBidi"/>
          <w:kern w:val="0"/>
          <w:sz w:val="22"/>
          <w:szCs w:val="22"/>
          <w14:ligatures w14:val="none"/>
        </w:rPr>
        <w:t>s</w:t>
      </w:r>
      <w:r w:rsidR="00B129FA" w:rsidRPr="005523C8">
        <w:rPr>
          <w:rFonts w:asciiTheme="majorBidi" w:eastAsia="MS Mincho" w:hAnsiTheme="majorBidi" w:cstheme="majorBidi"/>
          <w:kern w:val="0"/>
          <w:sz w:val="22"/>
          <w:szCs w:val="22"/>
          <w14:ligatures w14:val="none"/>
        </w:rPr>
        <w:t xml:space="preserve">tate </w:t>
      </w:r>
      <w:r w:rsidR="00B129FA">
        <w:rPr>
          <w:rFonts w:asciiTheme="majorBidi" w:eastAsia="MS Mincho" w:hAnsiTheme="majorBidi" w:cstheme="majorBidi"/>
          <w:kern w:val="0"/>
          <w:sz w:val="22"/>
          <w:szCs w:val="22"/>
          <w14:ligatures w14:val="none"/>
        </w:rPr>
        <w:t>h</w:t>
      </w:r>
      <w:r w:rsidR="00B129FA" w:rsidRPr="005523C8">
        <w:rPr>
          <w:rFonts w:asciiTheme="majorBidi" w:eastAsia="MS Mincho" w:hAnsiTheme="majorBidi" w:cstheme="majorBidi"/>
          <w:kern w:val="0"/>
          <w:sz w:val="22"/>
          <w:szCs w:val="22"/>
          <w14:ligatures w14:val="none"/>
        </w:rPr>
        <w:t xml:space="preserve">ydraulic </w:t>
      </w:r>
      <w:r w:rsidR="00B129FA">
        <w:rPr>
          <w:rFonts w:asciiTheme="majorBidi" w:eastAsia="MS Mincho" w:hAnsiTheme="majorBidi" w:cstheme="majorBidi"/>
          <w:kern w:val="0"/>
          <w:sz w:val="22"/>
          <w:szCs w:val="22"/>
          <w14:ligatures w14:val="none"/>
        </w:rPr>
        <w:t>w</w:t>
      </w:r>
      <w:r w:rsidR="00B129FA" w:rsidRPr="005523C8">
        <w:rPr>
          <w:rFonts w:asciiTheme="majorBidi" w:eastAsia="MS Mincho" w:hAnsiTheme="majorBidi" w:cstheme="majorBidi"/>
          <w:kern w:val="0"/>
          <w:sz w:val="22"/>
          <w:szCs w:val="22"/>
          <w14:ligatures w14:val="none"/>
        </w:rPr>
        <w:t>orks</w:t>
      </w:r>
      <w:r w:rsidR="00B129FA">
        <w:rPr>
          <w:rFonts w:asciiTheme="majorBidi" w:eastAsia="MS Mincho" w:hAnsiTheme="majorBidi" w:cstheme="majorBidi"/>
          <w:kern w:val="0"/>
          <w:sz w:val="22"/>
          <w:szCs w:val="22"/>
          <w14:ligatures w14:val="none"/>
        </w:rPr>
        <w:t xml:space="preserve"> (</w:t>
      </w:r>
      <w:r w:rsidRPr="009B4D65">
        <w:rPr>
          <w:rFonts w:asciiTheme="majorBidi" w:eastAsia="MS Mincho" w:hAnsiTheme="majorBidi" w:cstheme="majorBidi"/>
          <w:kern w:val="0"/>
          <w:sz w:val="22"/>
          <w:szCs w:val="22"/>
          <w14:ligatures w14:val="none"/>
        </w:rPr>
        <w:t>DSİ), (2) satellite radar altimetric series, and (3) DAHITI altimetric time series. Full procedural details of bias correction and data integration are provided below</w:t>
      </w:r>
      <w:r w:rsidR="00B129FA">
        <w:rPr>
          <w:rFonts w:asciiTheme="majorBidi" w:eastAsia="MS Mincho" w:hAnsiTheme="majorBidi" w:cstheme="majorBidi"/>
          <w:kern w:val="0"/>
          <w:sz w:val="22"/>
          <w:szCs w:val="22"/>
          <w14:ligatures w14:val="none"/>
        </w:rPr>
        <w:t xml:space="preserve"> and</w:t>
      </w:r>
      <w:r w:rsidRPr="009B4D65">
        <w:rPr>
          <w:rFonts w:asciiTheme="majorBidi" w:eastAsia="MS Mincho" w:hAnsiTheme="majorBidi" w:cstheme="majorBidi"/>
          <w:kern w:val="0"/>
          <w:sz w:val="22"/>
          <w:szCs w:val="22"/>
          <w14:ligatures w14:val="none"/>
        </w:rPr>
        <w:t xml:space="preserve"> validation statistics for the composite series are reported in Section S2.1.</w:t>
      </w:r>
    </w:p>
    <w:p w14:paraId="260EF141" w14:textId="36BB7AA2" w:rsidR="00D61284" w:rsidRPr="009B4D65" w:rsidRDefault="00D61284" w:rsidP="005523C8">
      <w:pPr>
        <w:pStyle w:val="Heading2"/>
      </w:pPr>
      <w:r w:rsidRPr="009B4D65">
        <w:lastRenderedPageBreak/>
        <w:t>S</w:t>
      </w:r>
      <w:r w:rsidR="00437CEC" w:rsidRPr="009B4D65">
        <w:t>1.3</w:t>
      </w:r>
      <w:r w:rsidR="00430829" w:rsidRPr="009B4D65">
        <w:t>.</w:t>
      </w:r>
      <w:r w:rsidRPr="009B4D65">
        <w:t xml:space="preserve"> Bias correction of altimetric series</w:t>
      </w:r>
    </w:p>
    <w:p w14:paraId="264A0F40" w14:textId="7A15EF6F" w:rsidR="00D61284" w:rsidRPr="009B4D65" w:rsidRDefault="00D61284"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Each altimetric series (satellite and DAHITI) was calibrated against the DSİ gauge record using simple linear regression over their concurrent overlap period (minimum overlap: n ≥ 12 months)</w:t>
      </w:r>
      <w:r w:rsidR="00D54720" w:rsidRPr="009B4D65">
        <w:rPr>
          <w:rFonts w:asciiTheme="majorBidi" w:hAnsiTheme="majorBidi" w:cstheme="majorBidi"/>
          <w:sz w:val="22"/>
          <w:szCs w:val="22"/>
        </w:rPr>
        <w:t>. Calibration followed the linear correction form:</w:t>
      </w:r>
    </w:p>
    <w:p w14:paraId="7F4E0192" w14:textId="7FD6C211" w:rsidR="00D61284" w:rsidRPr="009B4D65" w:rsidRDefault="005523C8" w:rsidP="009B4D65">
      <w:pPr>
        <w:spacing w:line="276" w:lineRule="auto"/>
        <w:rPr>
          <w:rFonts w:asciiTheme="majorBidi" w:hAnsiTheme="majorBidi" w:cstheme="majorBidi"/>
          <w:sz w:val="22"/>
          <w:szCs w:val="22"/>
        </w:rPr>
      </w:pPr>
      <w:r w:rsidRPr="009B4D65">
        <w:rPr>
          <w:rFonts w:asciiTheme="majorBidi" w:hAnsiTheme="majorBidi" w:cstheme="majorBidi"/>
          <w:position w:val="-12"/>
          <w:sz w:val="22"/>
          <w:szCs w:val="22"/>
        </w:rPr>
        <w:object w:dxaOrig="1900" w:dyaOrig="360" w14:anchorId="6E9F3A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19.5pt" o:ole="">
            <v:imagedata r:id="rId6" o:title=""/>
          </v:shape>
          <o:OLEObject Type="Embed" ProgID="Equation.DSMT4" ShapeID="_x0000_i1025" DrawAspect="Content" ObjectID="_1846316343" r:id="rId7"/>
        </w:object>
      </w:r>
    </w:p>
    <w:p w14:paraId="4B619DDE" w14:textId="77777777" w:rsidR="005523C8" w:rsidRPr="005523C8" w:rsidRDefault="005523C8" w:rsidP="005523C8">
      <w:pPr>
        <w:spacing w:line="276" w:lineRule="auto"/>
        <w:rPr>
          <w:rFonts w:asciiTheme="majorBidi" w:hAnsiTheme="majorBidi" w:cstheme="majorBidi"/>
          <w:sz w:val="22"/>
          <w:szCs w:val="22"/>
        </w:rPr>
      </w:pPr>
      <w:r w:rsidRPr="005523C8">
        <w:rPr>
          <w:rFonts w:asciiTheme="majorBidi" w:hAnsiTheme="majorBidi" w:cstheme="majorBidi"/>
          <w:sz w:val="22"/>
          <w:szCs w:val="22"/>
        </w:rPr>
        <w:t xml:space="preserve">where </w:t>
      </w:r>
      <w:r w:rsidRPr="005523C8">
        <w:rPr>
          <w:rFonts w:asciiTheme="majorBidi" w:hAnsiTheme="majorBidi" w:cstheme="majorBidi"/>
          <w:i/>
          <w:iCs/>
          <w:sz w:val="22"/>
          <w:szCs w:val="22"/>
        </w:rPr>
        <w:t>L̂j</w:t>
      </w:r>
      <w:r w:rsidRPr="005523C8">
        <w:rPr>
          <w:rFonts w:asciiTheme="majorBidi" w:hAnsiTheme="majorBidi" w:cstheme="majorBidi"/>
          <w:sz w:val="22"/>
          <w:szCs w:val="22"/>
        </w:rPr>
        <w:t xml:space="preserve"> is the bias-corrected altimetric level, </w:t>
      </w:r>
      <w:r w:rsidRPr="005523C8">
        <w:rPr>
          <w:rFonts w:asciiTheme="majorBidi" w:hAnsiTheme="majorBidi" w:cstheme="majorBidi"/>
          <w:i/>
          <w:iCs/>
          <w:sz w:val="22"/>
          <w:szCs w:val="22"/>
        </w:rPr>
        <w:t>Lj</w:t>
      </w:r>
      <w:r w:rsidRPr="005523C8">
        <w:rPr>
          <w:rFonts w:asciiTheme="majorBidi" w:hAnsiTheme="majorBidi" w:cstheme="majorBidi"/>
          <w:sz w:val="22"/>
          <w:szCs w:val="22"/>
        </w:rPr>
        <w:t xml:space="preserve"> is the original altimetric observation, and </w:t>
      </w:r>
      <w:r w:rsidRPr="005523C8">
        <w:rPr>
          <w:rFonts w:asciiTheme="majorBidi" w:hAnsiTheme="majorBidi" w:cstheme="majorBidi"/>
          <w:i/>
          <w:iCs/>
          <w:sz w:val="22"/>
          <w:szCs w:val="22"/>
        </w:rPr>
        <w:t>αj</w:t>
      </w:r>
      <w:r w:rsidRPr="005523C8">
        <w:rPr>
          <w:rFonts w:asciiTheme="majorBidi" w:hAnsiTheme="majorBidi" w:cstheme="majorBidi"/>
          <w:sz w:val="22"/>
          <w:szCs w:val="22"/>
        </w:rPr>
        <w:t xml:space="preserve"> and </w:t>
      </w:r>
      <w:r w:rsidRPr="005523C8">
        <w:rPr>
          <w:rFonts w:asciiTheme="majorBidi" w:hAnsiTheme="majorBidi" w:cstheme="majorBidi"/>
          <w:i/>
          <w:iCs/>
          <w:sz w:val="22"/>
          <w:szCs w:val="22"/>
        </w:rPr>
        <w:t>βj</w:t>
      </w:r>
      <w:r w:rsidRPr="005523C8">
        <w:rPr>
          <w:rFonts w:asciiTheme="majorBidi" w:hAnsiTheme="majorBidi" w:cstheme="majorBidi"/>
          <w:sz w:val="22"/>
          <w:szCs w:val="22"/>
        </w:rPr>
        <w:t xml:space="preserve"> are ordinary least-squares coefficients estimated on the overlap sample. Segment discontinuities exceeding one standard deviation of calibration residuals were adjusted using an additional cumulative offset correction. Validation relied on Pearson's r, RMSE, and NSE.</w:t>
      </w:r>
    </w:p>
    <w:p w14:paraId="5859E87C" w14:textId="60509C60" w:rsidR="00D61284" w:rsidRPr="009B4D65" w:rsidRDefault="00D61284" w:rsidP="00B129FA">
      <w:pPr>
        <w:pStyle w:val="Heading2"/>
      </w:pPr>
      <w:r w:rsidRPr="009B4D65">
        <w:t>S</w:t>
      </w:r>
      <w:r w:rsidR="00430829" w:rsidRPr="009B4D65">
        <w:t>1.4.</w:t>
      </w:r>
      <w:r w:rsidRPr="009B4D65">
        <w:t xml:space="preserve"> Data integration and source weighting</w:t>
      </w:r>
    </w:p>
    <w:p w14:paraId="0C38BEFB" w14:textId="77777777" w:rsidR="00D61284" w:rsidRPr="009B4D65" w:rsidRDefault="00D61284"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The composite monthly series was assembled according to a strict priority hierarchy: (1) DSİ gauge observation; (2) bias-corrected satellite altimetry; (3) bias-corrected DAHITI altimetry. Where the gauge was absent and both altimetric sources were simultaneously available, a precision-weighted blend was applied:</w:t>
      </w:r>
    </w:p>
    <w:p w14:paraId="4C809BDF" w14:textId="0BF35365" w:rsidR="00D61284" w:rsidRPr="009B4D65" w:rsidRDefault="009B4D65" w:rsidP="009B4D65">
      <w:pPr>
        <w:spacing w:line="276" w:lineRule="auto"/>
        <w:rPr>
          <w:rFonts w:asciiTheme="majorBidi" w:hAnsiTheme="majorBidi" w:cstheme="majorBidi"/>
          <w:sz w:val="22"/>
          <w:szCs w:val="22"/>
        </w:rPr>
      </w:pPr>
      <w:r w:rsidRPr="009B4D65">
        <w:rPr>
          <w:rFonts w:asciiTheme="majorBidi" w:hAnsiTheme="majorBidi" w:cstheme="majorBidi"/>
          <w:position w:val="-10"/>
          <w:sz w:val="22"/>
          <w:szCs w:val="22"/>
        </w:rPr>
        <w:object w:dxaOrig="3920" w:dyaOrig="340" w14:anchorId="7CE896FF">
          <v:shape id="_x0000_i1026" type="#_x0000_t75" style="width:194.25pt;height:18.75pt" o:ole="">
            <v:imagedata r:id="rId8" o:title=""/>
          </v:shape>
          <o:OLEObject Type="Embed" ProgID="Equation.DSMT4" ShapeID="_x0000_i1026" DrawAspect="Content" ObjectID="_1846316344" r:id="rId9"/>
        </w:object>
      </w:r>
    </w:p>
    <w:p w14:paraId="3573684C" w14:textId="60AFE007" w:rsidR="00D61284" w:rsidRPr="009B4D65" w:rsidRDefault="00D61284"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with normalized weights</w:t>
      </w:r>
      <w:r w:rsidR="00E816A5" w:rsidRPr="009B4D65">
        <w:rPr>
          <w:rFonts w:asciiTheme="majorBidi" w:hAnsiTheme="majorBidi" w:cstheme="majorBidi"/>
          <w:sz w:val="22"/>
          <w:szCs w:val="22"/>
        </w:rPr>
        <w:t xml:space="preserve"> </w:t>
      </w:r>
      <w:r w:rsidR="00E816A5" w:rsidRPr="009B4D65">
        <w:rPr>
          <w:rFonts w:asciiTheme="majorBidi" w:hAnsiTheme="majorBidi" w:cstheme="majorBidi"/>
          <w:position w:val="-24"/>
          <w:sz w:val="22"/>
          <w:szCs w:val="22"/>
        </w:rPr>
        <w:object w:dxaOrig="3560" w:dyaOrig="499" w14:anchorId="6D4B405F">
          <v:shape id="_x0000_i1027" type="#_x0000_t75" style="width:175.5pt;height:27pt" o:ole="">
            <v:imagedata r:id="rId10" o:title=""/>
          </v:shape>
          <o:OLEObject Type="Embed" ProgID="Equation.DSMT4" ShapeID="_x0000_i1027" DrawAspect="Content" ObjectID="_1846316345" r:id="rId11"/>
        </w:object>
      </w:r>
      <w:r w:rsidRPr="009B4D65">
        <w:rPr>
          <w:rFonts w:asciiTheme="majorBidi" w:hAnsiTheme="majorBidi" w:cstheme="majorBidi"/>
          <w:sz w:val="22"/>
          <w:szCs w:val="22"/>
        </w:rPr>
        <w:t>, where</w:t>
      </w:r>
      <w:r w:rsidR="00E816A5" w:rsidRPr="009B4D65">
        <w:rPr>
          <w:rFonts w:asciiTheme="majorBidi" w:hAnsiTheme="majorBidi" w:cstheme="majorBidi"/>
          <w:sz w:val="22"/>
          <w:szCs w:val="22"/>
        </w:rPr>
        <w:t xml:space="preserve"> </w:t>
      </w:r>
      <w:r w:rsidR="00E816A5" w:rsidRPr="009B4D65">
        <w:rPr>
          <w:rFonts w:asciiTheme="majorBidi" w:hAnsiTheme="majorBidi" w:cstheme="majorBidi"/>
          <w:position w:val="-12"/>
          <w:sz w:val="22"/>
          <w:szCs w:val="22"/>
        </w:rPr>
        <w:object w:dxaOrig="540" w:dyaOrig="320" w14:anchorId="5F1F583B">
          <v:shape id="_x0000_i1028" type="#_x0000_t75" style="width:26.25pt;height:18.75pt" o:ole="">
            <v:imagedata r:id="rId12" o:title=""/>
          </v:shape>
          <o:OLEObject Type="Embed" ProgID="Equation.DSMT4" ShapeID="_x0000_i1028" DrawAspect="Content" ObjectID="_1846316346" r:id="rId13"/>
        </w:object>
      </w:r>
      <w:r w:rsidRPr="009B4D65">
        <w:rPr>
          <w:rFonts w:asciiTheme="majorBidi" w:hAnsiTheme="majorBidi" w:cstheme="majorBidi"/>
          <w:sz w:val="22"/>
          <w:szCs w:val="22"/>
        </w:rPr>
        <w:t xml:space="preserve"> is the standard deviation of calibration-period residuals (gauge − corrected altimetry). This scheme assigns greater influence to the source with more overlap observations and smaller systematic calibration spread. No temporal interpolation was applied; data gaps in all three sources were propagated as missing values.</w:t>
      </w:r>
    </w:p>
    <w:p w14:paraId="3EE09CF2" w14:textId="2FB3560D" w:rsidR="00D61284" w:rsidRPr="009B4D65" w:rsidRDefault="00D61284" w:rsidP="00C06C40">
      <w:pPr>
        <w:pStyle w:val="Heading2"/>
      </w:pPr>
      <w:r w:rsidRPr="009B4D65">
        <w:t>S</w:t>
      </w:r>
      <w:r w:rsidR="00430829" w:rsidRPr="009B4D65">
        <w:t>1.</w:t>
      </w:r>
      <w:r w:rsidR="00D54720" w:rsidRPr="009B4D65">
        <w:t>5</w:t>
      </w:r>
      <w:r w:rsidR="00430829" w:rsidRPr="009B4D65">
        <w:t>.</w:t>
      </w:r>
      <w:r w:rsidRPr="009B4D65">
        <w:t xml:space="preserve"> Stationarity testing</w:t>
      </w:r>
    </w:p>
    <w:p w14:paraId="49F1B54C" w14:textId="2D0591B0" w:rsidR="00D61284" w:rsidRPr="009B4D65" w:rsidRDefault="00C06C40" w:rsidP="002E6A6B">
      <w:pPr>
        <w:spacing w:line="276" w:lineRule="auto"/>
        <w:rPr>
          <w:rFonts w:asciiTheme="majorBidi" w:hAnsiTheme="majorBidi" w:cstheme="majorBidi"/>
          <w:sz w:val="22"/>
          <w:szCs w:val="22"/>
        </w:rPr>
      </w:pPr>
      <w:r>
        <w:rPr>
          <w:rFonts w:asciiTheme="majorBidi" w:hAnsiTheme="majorBidi" w:cstheme="majorBidi"/>
          <w:sz w:val="22"/>
          <w:szCs w:val="22"/>
        </w:rPr>
        <w:t>Standardized lake level index (</w:t>
      </w:r>
      <w:r w:rsidR="00D61284" w:rsidRPr="009B4D65">
        <w:rPr>
          <w:rFonts w:asciiTheme="majorBidi" w:hAnsiTheme="majorBidi" w:cstheme="majorBidi"/>
          <w:sz w:val="22"/>
          <w:szCs w:val="22"/>
        </w:rPr>
        <w:t>SLLI</w:t>
      </w:r>
      <w:r>
        <w:rPr>
          <w:rFonts w:asciiTheme="majorBidi" w:hAnsiTheme="majorBidi" w:cstheme="majorBidi"/>
          <w:sz w:val="22"/>
          <w:szCs w:val="22"/>
        </w:rPr>
        <w:t>)</w:t>
      </w:r>
      <w:r w:rsidR="00D61284" w:rsidRPr="009B4D65">
        <w:rPr>
          <w:rFonts w:asciiTheme="majorBidi" w:hAnsiTheme="majorBidi" w:cstheme="majorBidi"/>
          <w:sz w:val="22"/>
          <w:szCs w:val="22"/>
        </w:rPr>
        <w:t>, SPI, and SPEI series were tested using the Augmented Dickey–Fuller test (ADF; null: unit root; lag order by AIC) and the Kwiatkowski–Phillips–Schmidt–Shin test (KPSS; null: trend-stationarity; bandwidth by the Newey–West formula). A series was classified as stationary only when the ADF null was rejected (p &lt; 0.05) and the KPSS null was not rejected (p &gt; 0.05)</w:t>
      </w:r>
      <w:r w:rsidR="002E6A6B">
        <w:rPr>
          <w:rFonts w:asciiTheme="majorBidi" w:hAnsiTheme="majorBidi" w:cstheme="majorBidi"/>
          <w:sz w:val="22"/>
          <w:szCs w:val="22"/>
        </w:rPr>
        <w:t xml:space="preserve"> </w:t>
      </w:r>
      <w:r w:rsidR="002E6A6B">
        <w:rPr>
          <w:rFonts w:asciiTheme="majorBidi" w:hAnsiTheme="majorBidi" w:cstheme="majorBidi"/>
          <w:sz w:val="22"/>
          <w:szCs w:val="22"/>
        </w:rPr>
        <w:fldChar w:fldCharType="begin"/>
      </w:r>
      <w:r w:rsidR="002E6A6B">
        <w:rPr>
          <w:rFonts w:asciiTheme="majorBidi" w:hAnsiTheme="majorBidi" w:cstheme="majorBidi"/>
          <w:sz w:val="22"/>
          <w:szCs w:val="22"/>
        </w:rPr>
        <w:instrText xml:space="preserve"> ADDIN ZOTERO_ITEM CSL_CITATION {"citationID":"G6q0dg4a","properties":{"unsorted":false,"formattedCitation":"(Kagalwala, 2022; Maitra and Politis, 2024)","plainCitation":"(Kagalwala, 2022; Maitra and Politis, 2024)","noteIndex":0},"citationItems":[{"id":1480,"uris":["http://zotero.org/users/16974576/items/AN8FC7ZG"],"itemData":{"id":1480,"type":"article-journal","abstract":"Commonly used unit-root tests in time-series analysis—such as the Dickey–Fuller and Phillips–Perron tests—use a null hypothesis that the series contains a unit root. Such tests have low power against the alternative—when a time series is near integrated or highly autoregressive—implying that they do poorly in distinguishing such a series from having a unit root. Kwiatkowski et al. (1992, Journal of Econometrics 54: 159–178) introduced the Kwiatkowski, Phillips, Schmidt, and Shin test, in which the null hypothesis is that the series is stationary, to deal with this problem. One shortcoming of the presently available Kwiatkowski, Phillips, Schmidt, and Shin test in Stata is that it uses asymptotic critical values regardless of the sample size. This poses a problem in that researchers—especially social scientists—are often presented with short time series. I introduce kpsstest, a command that extends the previous implementation by including an option for a zero-mean-stationary null hypothesis, generating sample and test-specific critical values, and reporting appropriate p-values.","container-title":"The Stata Journal: Promoting communications on statistics and Stata","DOI":"10.1177/1536867X221106371","ISSN":"1536-867X, 1536-8734","issue":"2","journalAbbreviation":"The Stata Journal: Promoting communications on statistics and Stata","language":"en","page":"269-292","source":"DOI.org (Crossref)","title":"kpsstest: A command that implements the Kwiatkowski, Phillips, Schmidt, and Shin test with sample-specific critical values and reports p-values","title-short":"kpsstest","volume":"22","author":[{"family":"Kagalwala","given":"Ali"}],"issued":{"date-parts":[["2022",6]]}}},{"id":1479,"uris":["http://zotero.org/users/16974576/items/TPI7LTLX"],"itemData":{"id":1479,"type":"article-journal","abstract":"We investigate the application of prepivoting in conjunction with lag length selection to correct the size and power performance of the Augmented Dickey-Fuller test for a unit root. The bootstrap methodology used to perform the prepivoting is a residual based AR bootstrap that ensures that bootstrap replicate time series are created under the null irrespective of whether the originally observed series obeys the null hypothesis or not. Simulation studies wherein we examine the performance of our proposed method are given; we evaluate our method’s performance on ARMA(1,1) models with varying configurations for size and power performance. We also propose a novel data dependent lag selection technique that uses bootstrap data under the null to select an optimal lag length; the performance of our method is compared to existing lag length selection criteria.","container-title":"Stats","DOI":"10.3390/stats7040072","ISSN":"2571-905X","issue":"4","page":"1226-1243","title":"Prepivoted Augmented Dickey-Fuller Test with Bootstrap-Assisted Lag Length Selection","volume":"7","author":[{"family":"Maitra","given":"Somak"},{"family":"Politis","given":"Dimitris N."}],"issued":{"date-parts":[["2024"]]}}}],"schema":"https://github.com/citation-style-language/schema/raw/master/csl-citation.json"} </w:instrText>
      </w:r>
      <w:r w:rsidR="002E6A6B">
        <w:rPr>
          <w:rFonts w:asciiTheme="majorBidi" w:hAnsiTheme="majorBidi" w:cstheme="majorBidi"/>
          <w:sz w:val="22"/>
          <w:szCs w:val="22"/>
        </w:rPr>
        <w:fldChar w:fldCharType="separate"/>
      </w:r>
      <w:r w:rsidR="002E6A6B" w:rsidRPr="002E6A6B">
        <w:rPr>
          <w:rFonts w:ascii="Times New Roman" w:hAnsi="Times New Roman" w:cs="Times New Roman"/>
          <w:sz w:val="22"/>
        </w:rPr>
        <w:t>(Kagalwala, 2022; Maitra and Politis, 2024)</w:t>
      </w:r>
      <w:r w:rsidR="002E6A6B">
        <w:rPr>
          <w:rFonts w:asciiTheme="majorBidi" w:hAnsiTheme="majorBidi" w:cstheme="majorBidi"/>
          <w:sz w:val="22"/>
          <w:szCs w:val="22"/>
        </w:rPr>
        <w:fldChar w:fldCharType="end"/>
      </w:r>
      <w:r w:rsidR="00D61284" w:rsidRPr="009B4D65">
        <w:rPr>
          <w:rFonts w:asciiTheme="majorBidi" w:hAnsiTheme="majorBidi" w:cstheme="majorBidi"/>
          <w:sz w:val="22"/>
          <w:szCs w:val="22"/>
        </w:rPr>
        <w:t>.</w:t>
      </w:r>
    </w:p>
    <w:p w14:paraId="58C50617" w14:textId="63071F83" w:rsidR="00D61284" w:rsidRPr="009B4D65" w:rsidRDefault="00D61284" w:rsidP="00C06C40">
      <w:pPr>
        <w:pStyle w:val="Heading2"/>
      </w:pPr>
      <w:r w:rsidRPr="009B4D65">
        <w:t>S</w:t>
      </w:r>
      <w:r w:rsidR="00430829" w:rsidRPr="009B4D65">
        <w:t>1.</w:t>
      </w:r>
      <w:r w:rsidR="00D54720" w:rsidRPr="009B4D65">
        <w:t>6</w:t>
      </w:r>
      <w:r w:rsidR="00430829" w:rsidRPr="009B4D65">
        <w:t>.</w:t>
      </w:r>
      <w:r w:rsidRPr="009B4D65">
        <w:t xml:space="preserve"> Effective sample size</w:t>
      </w:r>
      <w:r w:rsidR="002E6A6B">
        <w:t xml:space="preserve"> (ESS)</w:t>
      </w:r>
    </w:p>
    <w:p w14:paraId="19878643" w14:textId="72234820" w:rsidR="00D61284" w:rsidRPr="009B4D65" w:rsidRDefault="00D61284" w:rsidP="002E6A6B">
      <w:pPr>
        <w:spacing w:line="276" w:lineRule="auto"/>
        <w:rPr>
          <w:rFonts w:asciiTheme="majorBidi" w:hAnsiTheme="majorBidi" w:cstheme="majorBidi"/>
          <w:sz w:val="22"/>
          <w:szCs w:val="22"/>
        </w:rPr>
      </w:pPr>
      <w:r w:rsidRPr="009B4D65">
        <w:rPr>
          <w:rFonts w:asciiTheme="majorBidi" w:hAnsiTheme="majorBidi" w:cstheme="majorBidi"/>
          <w:sz w:val="22"/>
          <w:szCs w:val="22"/>
        </w:rPr>
        <w:t>Following</w:t>
      </w:r>
      <w:r w:rsidR="002E6A6B">
        <w:rPr>
          <w:rFonts w:asciiTheme="majorBidi" w:hAnsiTheme="majorBidi" w:cstheme="majorBidi"/>
          <w:sz w:val="22"/>
          <w:szCs w:val="22"/>
        </w:rPr>
        <w:t xml:space="preserve"> </w:t>
      </w:r>
      <w:r w:rsidR="002E6A6B">
        <w:rPr>
          <w:rFonts w:asciiTheme="majorBidi" w:hAnsiTheme="majorBidi" w:cstheme="majorBidi"/>
          <w:sz w:val="22"/>
          <w:szCs w:val="22"/>
        </w:rPr>
        <w:fldChar w:fldCharType="begin"/>
      </w:r>
      <w:r w:rsidR="00B129FA">
        <w:rPr>
          <w:rFonts w:asciiTheme="majorBidi" w:hAnsiTheme="majorBidi" w:cstheme="majorBidi"/>
          <w:sz w:val="22"/>
          <w:szCs w:val="22"/>
        </w:rPr>
        <w:instrText xml:space="preserve"> ADDIN ZOTERO_ITEM CSL_CITATION {"citationID":"mcw8mEKD","properties":{"unsorted":false,"formattedCitation":"(Bretherton et al., 1999)","plainCitation":"(Bretherton et al., 1999)","dontUpdate":true,"noteIndex":0},"citationItems":[{"id":1482,"uris":["http://zotero.org/users/16974576/items/KTB9XPJD"],"itemData":{"id":1482,"type":"article-journal","container-title":"Journal of Climate","DOI":"10.1175/1520-0442(1999)012&lt;1990:TENOSD&gt;2.0.CO;2","issue":"7","journalAbbreviation":"Journal of Climate","language":"English","page":"1990-2009","publisher":"American Meteorological Society","publisher-place":"Boston MA, USA","title":"The Effective Number of Spatial Degrees of Freedom of a Time-Varying Field","volume":"12","author":[{"family":"Bretherton","given":"Christopher S."},{"family":"Widmann","given":"Martin"},{"family":"Dymnikov","given":"Valentin P."},{"family":"Wallace","given":"John M."},{"family":"Bladé","given":"Ileana"}],"issued":{"date-parts":[["1999",7,1]]}}}],"schema":"https://github.com/citation-style-language/schema/raw/master/csl-citation.json"} </w:instrText>
      </w:r>
      <w:r w:rsidR="002E6A6B">
        <w:rPr>
          <w:rFonts w:asciiTheme="majorBidi" w:hAnsiTheme="majorBidi" w:cstheme="majorBidi"/>
          <w:sz w:val="22"/>
          <w:szCs w:val="22"/>
        </w:rPr>
        <w:fldChar w:fldCharType="separate"/>
      </w:r>
      <w:r w:rsidR="002E6A6B" w:rsidRPr="002E6A6B">
        <w:rPr>
          <w:rFonts w:ascii="Times New Roman" w:hAnsi="Times New Roman" w:cs="Times New Roman"/>
          <w:sz w:val="22"/>
        </w:rPr>
        <w:t xml:space="preserve">Bretherton et al. </w:t>
      </w:r>
      <w:r w:rsidR="002E6A6B">
        <w:rPr>
          <w:rFonts w:ascii="Times New Roman" w:hAnsi="Times New Roman" w:cs="Times New Roman"/>
          <w:sz w:val="22"/>
        </w:rPr>
        <w:t>(</w:t>
      </w:r>
      <w:r w:rsidR="002E6A6B" w:rsidRPr="002E6A6B">
        <w:rPr>
          <w:rFonts w:ascii="Times New Roman" w:hAnsi="Times New Roman" w:cs="Times New Roman"/>
          <w:sz w:val="22"/>
        </w:rPr>
        <w:t>1999)</w:t>
      </w:r>
      <w:r w:rsidR="002E6A6B">
        <w:rPr>
          <w:rFonts w:asciiTheme="majorBidi" w:hAnsiTheme="majorBidi" w:cstheme="majorBidi"/>
          <w:sz w:val="22"/>
          <w:szCs w:val="22"/>
        </w:rPr>
        <w:fldChar w:fldCharType="end"/>
      </w:r>
      <w:r w:rsidR="002E6A6B">
        <w:rPr>
          <w:rFonts w:asciiTheme="majorBidi" w:hAnsiTheme="majorBidi" w:cstheme="majorBidi"/>
          <w:sz w:val="22"/>
          <w:szCs w:val="22"/>
        </w:rPr>
        <w:t>,</w:t>
      </w:r>
      <w:r w:rsidRPr="009B4D65">
        <w:rPr>
          <w:rFonts w:asciiTheme="majorBidi" w:hAnsiTheme="majorBidi" w:cstheme="majorBidi"/>
          <w:color w:val="EE0000"/>
          <w:sz w:val="22"/>
          <w:szCs w:val="22"/>
        </w:rPr>
        <w:t xml:space="preserve"> </w:t>
      </w:r>
      <w:r w:rsidRPr="009B4D65">
        <w:rPr>
          <w:rFonts w:asciiTheme="majorBidi" w:hAnsiTheme="majorBidi" w:cstheme="majorBidi"/>
          <w:sz w:val="22"/>
          <w:szCs w:val="22"/>
        </w:rPr>
        <w:t>the effective sample size was estimated as:</w:t>
      </w:r>
    </w:p>
    <w:p w14:paraId="7ABB214E" w14:textId="5EC17E9C" w:rsidR="00D61284" w:rsidRPr="009B4D65" w:rsidRDefault="003357A9" w:rsidP="009B4D65">
      <w:pPr>
        <w:spacing w:line="276" w:lineRule="auto"/>
        <w:rPr>
          <w:rFonts w:asciiTheme="majorBidi" w:hAnsiTheme="majorBidi" w:cstheme="majorBidi"/>
          <w:sz w:val="22"/>
          <w:szCs w:val="22"/>
        </w:rPr>
      </w:pPr>
      <w:r w:rsidRPr="009B4D65">
        <w:rPr>
          <w:rFonts w:asciiTheme="majorBidi" w:hAnsiTheme="majorBidi" w:cstheme="majorBidi"/>
          <w:position w:val="-52"/>
          <w:sz w:val="22"/>
          <w:szCs w:val="22"/>
        </w:rPr>
        <w:object w:dxaOrig="4640" w:dyaOrig="859" w14:anchorId="77F9AA50">
          <v:shape id="_x0000_i1029" type="#_x0000_t75" style="width:228.75pt;height:47.25pt" o:ole="">
            <v:imagedata r:id="rId14" o:title=""/>
          </v:shape>
          <o:OLEObject Type="Embed" ProgID="Equation.DSMT4" ShapeID="_x0000_i1029" DrawAspect="Content" ObjectID="_1846316347" r:id="rId15"/>
        </w:object>
      </w:r>
    </w:p>
    <w:p w14:paraId="66010087" w14:textId="09E1EF62" w:rsidR="00D61284" w:rsidRPr="009B4D65" w:rsidRDefault="00E816A5"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W</w:t>
      </w:r>
      <w:r w:rsidR="00D61284" w:rsidRPr="009B4D65">
        <w:rPr>
          <w:rFonts w:asciiTheme="majorBidi" w:hAnsiTheme="majorBidi" w:cstheme="majorBidi"/>
          <w:sz w:val="22"/>
          <w:szCs w:val="22"/>
        </w:rPr>
        <w:t>here</w:t>
      </w:r>
      <w:r w:rsidRPr="009B4D65">
        <w:rPr>
          <w:rFonts w:asciiTheme="majorBidi" w:hAnsiTheme="majorBidi" w:cstheme="majorBidi"/>
          <w:sz w:val="22"/>
          <w:szCs w:val="22"/>
        </w:rPr>
        <w:t xml:space="preserve"> </w:t>
      </w:r>
      <w:r w:rsidRPr="009B4D65">
        <w:rPr>
          <w:rFonts w:asciiTheme="majorBidi" w:hAnsiTheme="majorBidi" w:cstheme="majorBidi"/>
          <w:position w:val="-12"/>
          <w:sz w:val="22"/>
          <w:szCs w:val="22"/>
        </w:rPr>
        <w:object w:dxaOrig="1420" w:dyaOrig="320" w14:anchorId="52EE3035">
          <v:shape id="_x0000_i1030" type="#_x0000_t75" style="width:70.5pt;height:18.75pt" o:ole="">
            <v:imagedata r:id="rId16" o:title=""/>
          </v:shape>
          <o:OLEObject Type="Embed" ProgID="Equation.DSMT4" ShapeID="_x0000_i1030" DrawAspect="Content" ObjectID="_1846316348" r:id="rId17"/>
        </w:object>
      </w:r>
      <w:r w:rsidR="00D61284" w:rsidRPr="009B4D65">
        <w:rPr>
          <w:rFonts w:asciiTheme="majorBidi" w:hAnsiTheme="majorBidi" w:cstheme="majorBidi"/>
          <w:sz w:val="22"/>
          <w:szCs w:val="22"/>
        </w:rPr>
        <w:t xml:space="preserve"> are sample autocorrelations of series x and y at lag k. ESS-adjusted t-statistics and Fisher-z confidence intervals replaced nominal p-values throughout.</w:t>
      </w:r>
    </w:p>
    <w:p w14:paraId="4F7E1F5F" w14:textId="381121D5" w:rsidR="00D61284" w:rsidRPr="009B4D65" w:rsidRDefault="00D61284" w:rsidP="00C06C40">
      <w:pPr>
        <w:pStyle w:val="Heading2"/>
      </w:pPr>
      <w:r w:rsidRPr="009B4D65">
        <w:lastRenderedPageBreak/>
        <w:t>S</w:t>
      </w:r>
      <w:r w:rsidR="00430829" w:rsidRPr="009B4D65">
        <w:t>1.</w:t>
      </w:r>
      <w:r w:rsidR="00D54720" w:rsidRPr="009B4D65">
        <w:t>7</w:t>
      </w:r>
      <w:r w:rsidR="00430829" w:rsidRPr="009B4D65">
        <w:t>.</w:t>
      </w:r>
      <w:r w:rsidRPr="009B4D65">
        <w:t xml:space="preserve"> Monte Carlo AR(1) surrogate significance test</w:t>
      </w:r>
    </w:p>
    <w:p w14:paraId="348661AB" w14:textId="01186F54" w:rsidR="00D61284" w:rsidRPr="009B4D65" w:rsidRDefault="00D61284" w:rsidP="00C06C40">
      <w:pPr>
        <w:spacing w:line="276" w:lineRule="auto"/>
        <w:rPr>
          <w:rFonts w:asciiTheme="majorBidi" w:hAnsiTheme="majorBidi" w:cstheme="majorBidi"/>
          <w:sz w:val="22"/>
          <w:szCs w:val="22"/>
        </w:rPr>
      </w:pPr>
      <w:r w:rsidRPr="009B4D65">
        <w:rPr>
          <w:rFonts w:asciiTheme="majorBidi" w:hAnsiTheme="majorBidi" w:cstheme="majorBidi"/>
          <w:sz w:val="22"/>
          <w:szCs w:val="22"/>
        </w:rPr>
        <w:t xml:space="preserve">AR(1) </w:t>
      </w:r>
      <w:r w:rsidR="00C06C40">
        <w:rPr>
          <w:rFonts w:asciiTheme="majorBidi" w:hAnsiTheme="majorBidi" w:cstheme="majorBidi"/>
          <w:sz w:val="22"/>
          <w:szCs w:val="22"/>
        </w:rPr>
        <w:fldChar w:fldCharType="begin"/>
      </w:r>
      <w:r w:rsidR="00C06C40">
        <w:rPr>
          <w:rFonts w:asciiTheme="majorBidi" w:hAnsiTheme="majorBidi" w:cstheme="majorBidi"/>
          <w:sz w:val="22"/>
          <w:szCs w:val="22"/>
        </w:rPr>
        <w:instrText xml:space="preserve"> ADDIN ZOTERO_ITEM CSL_CITATION {"citationID":"ktPzT2sA","properties":{"unsorted":false,"formattedCitation":"(Rasouli Majd et al., 2025)","plainCitation":"(Rasouli Majd et al., 2025)","noteIndex":0},"citationItems":[{"id":1495,"uris":["http://zotero.org/users/16974576/items/HSKDF8FP"],"itemData":{"id":1495,"type":"article-journal","abstract":"In this study, we conducted an extensive evaluation of how the cross-correlation coefficient between precipitation and evapotranspiration affects the performance of the Standardized Precipitation Evapotranspiration Index (SPEI) in predicting the behavior of agricultural drought characteristics under four different climatic conditions: arid, semi-arid, semi-humid and humid. Its performance was compared with Standardized Precipitation Index (SPI). For each climatic condition, we generated long dependent annual stochastic precipitation (P) and evapotranspiration (ET) time series (10,000 pairs) using the Lag-one Multivariate Autoregressive Model [MAR(1)] for a wide range of correlation coefficients between precipitation and evapotranspiration. We then used these pairs-generated time series to determine different drought characteristics. The results showed systematic and dependent behavior of different drought characteristics based on SPEI with cross-correlation between precipitation and evapotranspiration in arid, semi-arid, and semi-humid climates. However, the performance of SPEI was independent of cross-correlation in the humid climate and was almost close to SPI for high cross-correlation values of precipitation and evapotranspiration (R</w:instrText>
      </w:r>
      <w:r w:rsidR="00C06C40">
        <w:rPr>
          <w:rFonts w:ascii="Cambria Math" w:hAnsi="Cambria Math" w:cs="Cambria Math"/>
          <w:sz w:val="22"/>
          <w:szCs w:val="22"/>
        </w:rPr>
        <w:instrText>⇒</w:instrText>
      </w:r>
      <w:r w:rsidR="00C06C40">
        <w:rPr>
          <w:rFonts w:asciiTheme="majorBidi" w:hAnsiTheme="majorBidi" w:cstheme="majorBidi"/>
          <w:sz w:val="22"/>
          <w:szCs w:val="22"/>
        </w:rPr>
        <w:instrText xml:space="preserve">1(. Finally, the study results clarified inconsistencies between different studies comparing the SPEI and SPI indices and provided an extensive guide for accurately and realistically inferring drought characteristics behavior based on SPEI, which can be an effective aid in interpreting drought results by SPEI.","container-title":"Journal of Hydrology","DOI":"10.1016/j.jhydrol.2024.132650","ISSN":"0022-1694","journalAbbreviation":"Journal of Hydrology","page":"132650","title":"Stochastic evaluation of the effect of cross-correlation between precipitation and evapotranspiration on SPEI performance","volume":"652","author":[{"family":"Rasouli Majd","given":"Negar"},{"family":"Montaseri","given":"Majid"},{"family":"Amirataee","given":"Babak"}],"issued":{"date-parts":[["2025",5,1]]}}}],"schema":"https://github.com/citation-style-language/schema/raw/master/csl-citation.json"} </w:instrText>
      </w:r>
      <w:r w:rsidR="00C06C40">
        <w:rPr>
          <w:rFonts w:asciiTheme="majorBidi" w:hAnsiTheme="majorBidi" w:cstheme="majorBidi"/>
          <w:sz w:val="22"/>
          <w:szCs w:val="22"/>
        </w:rPr>
        <w:fldChar w:fldCharType="separate"/>
      </w:r>
      <w:r w:rsidR="00C06C40" w:rsidRPr="00C06C40">
        <w:rPr>
          <w:rFonts w:ascii="Times New Roman" w:hAnsi="Times New Roman" w:cs="Times New Roman"/>
          <w:sz w:val="22"/>
        </w:rPr>
        <w:t>(Rasouli Majd et al., 2025)</w:t>
      </w:r>
      <w:r w:rsidR="00C06C40">
        <w:rPr>
          <w:rFonts w:asciiTheme="majorBidi" w:hAnsiTheme="majorBidi" w:cstheme="majorBidi"/>
          <w:sz w:val="22"/>
          <w:szCs w:val="22"/>
        </w:rPr>
        <w:fldChar w:fldCharType="end"/>
      </w:r>
      <w:r w:rsidR="00C06C40">
        <w:rPr>
          <w:rFonts w:asciiTheme="majorBidi" w:hAnsiTheme="majorBidi" w:cstheme="majorBidi"/>
          <w:sz w:val="22"/>
          <w:szCs w:val="22"/>
        </w:rPr>
        <w:t xml:space="preserve"> </w:t>
      </w:r>
      <w:r w:rsidRPr="009B4D65">
        <w:rPr>
          <w:rFonts w:asciiTheme="majorBidi" w:hAnsiTheme="majorBidi" w:cstheme="majorBidi"/>
          <w:sz w:val="22"/>
          <w:szCs w:val="22"/>
        </w:rPr>
        <w:t>parameters (</w:t>
      </w:r>
      <w:r w:rsidRPr="009B4D65">
        <w:rPr>
          <w:rFonts w:asciiTheme="majorBidi" w:hAnsiTheme="majorBidi" w:cstheme="majorBidi"/>
          <w:i/>
          <w:iCs/>
          <w:sz w:val="22"/>
          <w:szCs w:val="22"/>
        </w:rPr>
        <w:t>φ, μ, σ</w:t>
      </w:r>
      <w:r w:rsidRPr="009B4D65">
        <w:rPr>
          <w:rFonts w:asciiTheme="majorBidi" w:hAnsiTheme="majorBidi" w:cstheme="majorBidi"/>
          <w:i/>
          <w:iCs/>
          <w:sz w:val="22"/>
          <w:szCs w:val="22"/>
          <w:vertAlign w:val="subscript"/>
        </w:rPr>
        <w:t>ε</w:t>
      </w:r>
      <w:r w:rsidRPr="009B4D65">
        <w:rPr>
          <w:rFonts w:asciiTheme="majorBidi" w:hAnsiTheme="majorBidi" w:cstheme="majorBidi"/>
          <w:sz w:val="22"/>
          <w:szCs w:val="22"/>
        </w:rPr>
        <w:t>) were estimated from each observed series by method of moments, with φ clamped to (−0.98, 0.98) for numerical stability. Each surrogate replicate was generated from:</w:t>
      </w:r>
    </w:p>
    <w:p w14:paraId="49BD36F0" w14:textId="79BB2938" w:rsidR="00D61284" w:rsidRPr="009B4D65" w:rsidRDefault="00D61284" w:rsidP="009B4D65">
      <w:pPr>
        <w:spacing w:line="276" w:lineRule="auto"/>
        <w:rPr>
          <w:rFonts w:asciiTheme="majorBidi" w:hAnsiTheme="majorBidi" w:cstheme="majorBidi"/>
          <w:sz w:val="22"/>
          <w:szCs w:val="22"/>
        </w:rPr>
      </w:pPr>
      <w:r w:rsidRPr="009B4D65">
        <w:rPr>
          <w:rFonts w:asciiTheme="majorBidi" w:hAnsiTheme="majorBidi" w:cstheme="majorBidi"/>
          <w:position w:val="-10"/>
          <w:sz w:val="22"/>
          <w:szCs w:val="22"/>
        </w:rPr>
        <w:object w:dxaOrig="3420" w:dyaOrig="320" w14:anchorId="7AF17F0F">
          <v:shape id="_x0000_i1031" type="#_x0000_t75" style="width:168.75pt;height:18.75pt" o:ole="">
            <v:imagedata r:id="rId18" o:title=""/>
          </v:shape>
          <o:OLEObject Type="Embed" ProgID="Equation.DSMT4" ShapeID="_x0000_i1031" DrawAspect="Content" ObjectID="_1846316349" r:id="rId19"/>
        </w:object>
      </w:r>
    </w:p>
    <w:p w14:paraId="7FF61066" w14:textId="77777777" w:rsidR="00D61284" w:rsidRPr="009B4D65" w:rsidRDefault="00D61284"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with a 200-step burn-in. The two-sided surrogate p-value was:</w:t>
      </w:r>
    </w:p>
    <w:p w14:paraId="40E2696A" w14:textId="43EC5289" w:rsidR="00D61284" w:rsidRPr="009B4D65" w:rsidRDefault="00D61284" w:rsidP="009B4D65">
      <w:pPr>
        <w:spacing w:line="276" w:lineRule="auto"/>
        <w:rPr>
          <w:rFonts w:asciiTheme="majorBidi" w:hAnsiTheme="majorBidi" w:cstheme="majorBidi"/>
          <w:sz w:val="22"/>
          <w:szCs w:val="22"/>
        </w:rPr>
      </w:pPr>
      <w:r w:rsidRPr="009B4D65">
        <w:rPr>
          <w:rFonts w:asciiTheme="majorBidi" w:hAnsiTheme="majorBidi" w:cstheme="majorBidi"/>
          <w:position w:val="-26"/>
          <w:sz w:val="22"/>
          <w:szCs w:val="22"/>
        </w:rPr>
        <w:object w:dxaOrig="2280" w:dyaOrig="600" w14:anchorId="48F2E8D7">
          <v:shape id="_x0000_i1032" type="#_x0000_t75" style="width:112.5pt;height:33pt" o:ole="">
            <v:imagedata r:id="rId20" o:title=""/>
          </v:shape>
          <o:OLEObject Type="Embed" ProgID="Equation.DSMT4" ShapeID="_x0000_i1032" DrawAspect="Content" ObjectID="_1846316350" r:id="rId21"/>
        </w:object>
      </w:r>
    </w:p>
    <w:p w14:paraId="37F3D935" w14:textId="03F0AF25" w:rsidR="00D61284" w:rsidRPr="009B4D65" w:rsidRDefault="00D61284" w:rsidP="00B15D69">
      <w:pPr>
        <w:spacing w:line="276" w:lineRule="auto"/>
        <w:rPr>
          <w:rFonts w:asciiTheme="majorBidi" w:hAnsiTheme="majorBidi" w:cstheme="majorBidi"/>
          <w:sz w:val="22"/>
          <w:szCs w:val="22"/>
        </w:rPr>
      </w:pPr>
      <w:r w:rsidRPr="009B4D65">
        <w:rPr>
          <w:rFonts w:asciiTheme="majorBidi" w:hAnsiTheme="majorBidi" w:cstheme="majorBidi"/>
          <w:sz w:val="22"/>
          <w:szCs w:val="22"/>
        </w:rPr>
        <w:t>Benjamini–Hochberg FDR correction</w:t>
      </w:r>
      <w:r w:rsidR="00B15D69">
        <w:rPr>
          <w:rFonts w:asciiTheme="majorBidi" w:hAnsiTheme="majorBidi" w:cstheme="majorBidi"/>
          <w:sz w:val="22"/>
          <w:szCs w:val="22"/>
        </w:rPr>
        <w:t xml:space="preserve"> </w:t>
      </w:r>
      <w:r w:rsidR="00B15D69">
        <w:rPr>
          <w:rFonts w:asciiTheme="majorBidi" w:hAnsiTheme="majorBidi" w:cstheme="majorBidi"/>
          <w:sz w:val="22"/>
          <w:szCs w:val="22"/>
        </w:rPr>
        <w:fldChar w:fldCharType="begin"/>
      </w:r>
      <w:r w:rsidR="00B15D69">
        <w:rPr>
          <w:rFonts w:asciiTheme="majorBidi" w:hAnsiTheme="majorBidi" w:cstheme="majorBidi"/>
          <w:sz w:val="22"/>
          <w:szCs w:val="22"/>
        </w:rPr>
        <w:instrText xml:space="preserve"> ADDIN ZOTERO_ITEM CSL_CITATION {"citationID":"vgjrfITA","properties":{"unsorted":false,"formattedCitation":"(Fang et al., 2025; Shyrokaya et al., 2025)","plainCitation":"(Fang et al., 2025; Shyrokaya et al., 2025)","noteIndex":0},"citationItems":[{"id":1496,"uris":["http://zotero.org/users/16974576/items/AC4JGKAL"],"itemData":{"id":1496,"type":"article-journal","abstract":"Drought induced by climate change poses a serious threat to human health. The gut microbiome also plays a critical role in human health. However, no studies have explored the effect of drought on the human gut microbiome. Therefore, our study aimed to investigate the relationship between drought and gut microbiome. Our study included 59 mothers and 38 neonates in our study. 16S rRNA V3-V4 sequencing was used to profile the gut microbiome. The Standardized Precipitation Evapotranspiration Index (SPEI) was used to represent drought characteristics. KEGG pathway level 3 was employed for functional analysis. Generalized linear models were used to explore the effect of drought on the gut microbiome. Mothers and neonates were divided into the LSPEI (Lower SPEI) group or HSPEI (Higher SPEI) group by calculating the average levels of prenatal SPEI levels. The maternal and neonatal gut microbiome exhibited similar diversities in terms of alpha and beta diversity between the LSPEI and HSPEI groups. However, notable differences were observed in their composition. We found that in the neonatal gut microbiome, Sediminibacterium and Thermovirga were positively associated with SPEI after controlling for PM2.5 in linear regression models. Additionally, SPEI was significantly associated with phenylpropanoid biosynthesis and cyanoamino acid metabolism in neonates. This study identified that prenatal SPEI levels were correlated with specific maternal and neonatal gut microbial taxa, as well as neonatal gut microbial functional pathways. Future studies should further investigate the mechanisms by which drought exposure influences maternal and neonatal gut microbial diversities, composition, and functional pathways.","container-title":"Scientific Reports","DOI":"10.1038/s41598-024-82148-6","ISSN":"2045-2322","issue":"1","journalAbbreviation":"Scientific Reports","page":"296","title":"The relationship between prenatal drought exposure and the diversity and composition of gut microbiome in pregnant women and neonates","volume":"15","author":[{"family":"Fang","given":"Qingbo"},{"family":"Qiu","given":"Tianlai"},{"family":"Chen","given":"Fenglan"},{"family":"Tian","given":"Xuqi"},{"family":"Feng","given":"Zijun"},{"family":"Cao","given":"Yanan"},{"family":"Bai","given":"Jinbing"},{"family":"Huang","given":"Jing"},{"family":"Liu","given":"Yanqun"}],"issued":{"date-parts":[["2025",1,2]]}}},{"id":1497,"uris":["http://zotero.org/users/16974576/items/L53XAU4P"],"itemData":{"id":1497,"type":"article-journal","abstract":"Abstract\n            Identifying drought indices that effectively predict future drought impacts remains a critical challenge in seasonal forecasting, as these indices provide the necessary actionable information that enables stakeholders to better anticipate and respond to drought-related challenges. This study evaluates how drought indices balance forecast skill and relevance for estimating impacts across Europe. Using European Centre for Medium-Range Weather Forecasts SEAS5 seasonal predictions and ERA5 reanalysis as benchmarks, we assessed the predictability skill of drought indices over various accumulation periods and their relevance in estimating drought impacts across Europe, with the aim of enhancing impact-based forecasting. To evaluate these relationships, we built upon the findings from a study that utilized drought impact data from the European Drought Impact Report Inventory and employed random forest models to evaluate the significance of various drought indices in predicting sector-specific impacts. Our findings reveal higher predictability in Northern and Southern Europe, particularly during winter and summer, with some regions showing extended predictability up to six months, depending on the season. Focusing on case studies in the UK and Germany, our results highlight regions and seasons where accurate impact predictions are possible. In both countries, high impact predictability was found up to six months ahead, with sectors such as Agriculture, Water Supply, and Tourism in the UK, and Agriculture and Water Transportation in Germany, depending on the region and season. This analysis represents a significant step forward in identifying the most suitable drought indices for predicting impacts across Europe. Our approach not only introduces a new method for evaluating the relationship between drought indices and impacts, but also addresses the challenge of selecting indices for estimating impacts. This framework advances the development of operational impact-based drought forecasting systems for Europe.","container-title":"Environmental Research Letters","DOI":"10.1088/1748-9326/adb869","ISSN":"1748-9326","issue":"3","journalAbbreviation":"Environ. Res. Lett.","page":"034051","source":"DOI.org (Crossref)","title":"How good is my drought index? Evaluating predictability and ability to estimate impacts across Europe","title-short":"How good is my drought index?","volume":"20","author":[{"family":"Shyrokaya","given":"A"},{"family":"Pappenberger","given":"F"},{"family":"Messori","given":"G"},{"family":"Pechlivanidis","given":"I"},{"family":"Cloke","given":"H"},{"family":"Di Baldassarre","given":"G"}],"issued":{"date-parts":[["2025",3,1]]}}}],"schema":"https://github.com/citation-style-language/schema/raw/master/csl-citation.json"} </w:instrText>
      </w:r>
      <w:r w:rsidR="00B15D69">
        <w:rPr>
          <w:rFonts w:asciiTheme="majorBidi" w:hAnsiTheme="majorBidi" w:cstheme="majorBidi"/>
          <w:sz w:val="22"/>
          <w:szCs w:val="22"/>
        </w:rPr>
        <w:fldChar w:fldCharType="separate"/>
      </w:r>
      <w:r w:rsidR="00B15D69" w:rsidRPr="00B15D69">
        <w:rPr>
          <w:rFonts w:ascii="Times New Roman" w:hAnsi="Times New Roman" w:cs="Times New Roman"/>
          <w:sz w:val="22"/>
        </w:rPr>
        <w:t>(Fang et al., 2025; Shyrokaya et al., 2025)</w:t>
      </w:r>
      <w:r w:rsidR="00B15D69">
        <w:rPr>
          <w:rFonts w:asciiTheme="majorBidi" w:hAnsiTheme="majorBidi" w:cstheme="majorBidi"/>
          <w:sz w:val="22"/>
          <w:szCs w:val="22"/>
        </w:rPr>
        <w:fldChar w:fldCharType="end"/>
      </w:r>
      <w:r w:rsidR="00517842">
        <w:rPr>
          <w:rFonts w:asciiTheme="majorBidi" w:hAnsiTheme="majorBidi" w:cstheme="majorBidi"/>
          <w:sz w:val="22"/>
          <w:szCs w:val="22"/>
        </w:rPr>
        <w:t xml:space="preserve"> </w:t>
      </w:r>
      <w:r w:rsidRPr="009B4D65">
        <w:rPr>
          <w:rFonts w:asciiTheme="majorBidi" w:hAnsiTheme="majorBidi" w:cstheme="majorBidi"/>
          <w:sz w:val="22"/>
          <w:szCs w:val="22"/>
        </w:rPr>
        <w:t>was applied across lags 0–24 months separately for each driver–lake pair.</w:t>
      </w:r>
    </w:p>
    <w:p w14:paraId="20E0A7D0" w14:textId="695850A9" w:rsidR="00D61284" w:rsidRPr="009B4D65" w:rsidRDefault="00D61284" w:rsidP="00B15D69">
      <w:pPr>
        <w:pStyle w:val="Heading2"/>
      </w:pPr>
      <w:r w:rsidRPr="009B4D65">
        <w:t>S</w:t>
      </w:r>
      <w:r w:rsidR="00430829" w:rsidRPr="009B4D65">
        <w:t>1.</w:t>
      </w:r>
      <w:r w:rsidR="00D54720" w:rsidRPr="009B4D65">
        <w:t>8</w:t>
      </w:r>
      <w:r w:rsidR="00430829" w:rsidRPr="009B4D65">
        <w:t>.</w:t>
      </w:r>
      <w:r w:rsidRPr="009B4D65">
        <w:t xml:space="preserve"> Moving-block bootstrap</w:t>
      </w:r>
    </w:p>
    <w:p w14:paraId="65929D11" w14:textId="4A56F86D" w:rsidR="00D61284" w:rsidRPr="009B4D65" w:rsidRDefault="00D61284"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Uncertainty in lagged correlation coefficients was quantified using the moving-block bootstrap</w:t>
      </w:r>
      <w:r w:rsidR="00517842">
        <w:rPr>
          <w:rFonts w:asciiTheme="majorBidi" w:hAnsiTheme="majorBidi" w:cstheme="majorBidi"/>
          <w:sz w:val="22"/>
          <w:szCs w:val="22"/>
        </w:rPr>
        <w:t xml:space="preserve"> </w:t>
      </w:r>
      <w:r w:rsidR="00517842">
        <w:rPr>
          <w:rFonts w:asciiTheme="majorBidi" w:hAnsiTheme="majorBidi" w:cstheme="majorBidi"/>
          <w:sz w:val="22"/>
          <w:szCs w:val="22"/>
        </w:rPr>
        <w:fldChar w:fldCharType="begin"/>
      </w:r>
      <w:r w:rsidR="00517842">
        <w:rPr>
          <w:rFonts w:asciiTheme="majorBidi" w:hAnsiTheme="majorBidi" w:cstheme="majorBidi"/>
          <w:sz w:val="22"/>
          <w:szCs w:val="22"/>
        </w:rPr>
        <w:instrText xml:space="preserve"> ADDIN ZOTERO_ITEM CSL_CITATION {"citationID":"EvyaXNyj","properties":{"unsorted":false,"formattedCitation":"(K\\uc0\\u252{}nsch, 1989)","plainCitation":"(Künsch, 1989)","noteIndex":0},"citationItems":[{"id":1485,"uris":["http://zotero.org/users/16974576/items/AWULA867"],"itemData":{"id":1485,"type":"article-journal","abstract":"[We extend the jackknife and the bootstrap method of estimating standard errors to the case where the observations form a general stationary sequence. We do not attempt a reduction to i.i.d. values. The jackknife calculates the sample variance of replicates of the statistic obtained by omitting each block of l consecutive data once. In the case of the arithmetic mean this is shown to be equivalent to a weighted covariance estimate of the spectral density of the observations at zero. Under appropriate conditions consistency is obtained if l = l(n) → ∞ and l(n)/n → 0. General statistics are approximated by an arithmetic mean. In regular cases this approximation determines the asymptotic behavior. Bootstrap replicates are constructed by selecting blocks of length l randomly with replacement among the blocks of observations. The procedures are illustrated by using the sunspot numbers and some simulated data.]","archive":"JSTOR","container-title":"The Annals of Statistics","ISSN":"00905364, 21688966","issue":"3","page":"1217-1241","publisher":"Institute of Mathematical Statistics","title":"The Jackknife and the Bootstrap for General Stationary Observations","volume":"17","author":[{"family":"Künsch","given":"Hans R."}],"issued":{"date-parts":[["1989"]]}}}],"schema":"https://github.com/citation-style-language/schema/raw/master/csl-citation.json"} </w:instrText>
      </w:r>
      <w:r w:rsidR="00517842">
        <w:rPr>
          <w:rFonts w:asciiTheme="majorBidi" w:hAnsiTheme="majorBidi" w:cstheme="majorBidi"/>
          <w:sz w:val="22"/>
          <w:szCs w:val="22"/>
        </w:rPr>
        <w:fldChar w:fldCharType="separate"/>
      </w:r>
      <w:r w:rsidR="00517842" w:rsidRPr="00517842">
        <w:rPr>
          <w:rFonts w:ascii="Times New Roman" w:hAnsi="Times New Roman" w:cs="Times New Roman"/>
          <w:kern w:val="0"/>
          <w:sz w:val="22"/>
        </w:rPr>
        <w:t>(Künsch, 1989)</w:t>
      </w:r>
      <w:r w:rsidR="00517842">
        <w:rPr>
          <w:rFonts w:asciiTheme="majorBidi" w:hAnsiTheme="majorBidi" w:cstheme="majorBidi"/>
          <w:sz w:val="22"/>
          <w:szCs w:val="22"/>
        </w:rPr>
        <w:fldChar w:fldCharType="end"/>
      </w:r>
      <w:r w:rsidR="00517842">
        <w:rPr>
          <w:rFonts w:asciiTheme="majorBidi" w:hAnsiTheme="majorBidi" w:cstheme="majorBidi"/>
          <w:sz w:val="22"/>
          <w:szCs w:val="22"/>
        </w:rPr>
        <w:t xml:space="preserve"> </w:t>
      </w:r>
      <w:r w:rsidRPr="009B4D65">
        <w:rPr>
          <w:rFonts w:asciiTheme="majorBidi" w:hAnsiTheme="majorBidi" w:cstheme="majorBidi"/>
          <w:sz w:val="22"/>
          <w:szCs w:val="22"/>
        </w:rPr>
        <w:t>with block length b = 12 months and B = 1,000 resamples. The 2.5th and 97.5th percentiles of the bootstrap distribution defined the 95% confidence interval.</w:t>
      </w:r>
    </w:p>
    <w:p w14:paraId="44A09275" w14:textId="3F0E35AE" w:rsidR="00D61284" w:rsidRPr="009B4D65" w:rsidRDefault="00D61284" w:rsidP="00B15D69">
      <w:pPr>
        <w:pStyle w:val="Heading2"/>
      </w:pPr>
      <w:r w:rsidRPr="009B4D65">
        <w:t>S</w:t>
      </w:r>
      <w:r w:rsidR="00430829" w:rsidRPr="009B4D65">
        <w:t>1.</w:t>
      </w:r>
      <w:r w:rsidR="00D54720" w:rsidRPr="009B4D65">
        <w:t>9</w:t>
      </w:r>
      <w:r w:rsidR="00430829" w:rsidRPr="009B4D65">
        <w:t>.</w:t>
      </w:r>
      <w:r w:rsidRPr="009B4D65">
        <w:t xml:space="preserve"> Pre-whitened correlation</w:t>
      </w:r>
    </w:p>
    <w:p w14:paraId="5F1F60F4" w14:textId="7684AA90" w:rsidR="00D61284" w:rsidRPr="009B4D65" w:rsidRDefault="00D61284" w:rsidP="00B15D69">
      <w:pPr>
        <w:spacing w:line="276" w:lineRule="auto"/>
        <w:rPr>
          <w:rFonts w:asciiTheme="majorBidi" w:hAnsiTheme="majorBidi" w:cstheme="majorBidi"/>
          <w:sz w:val="22"/>
          <w:szCs w:val="22"/>
        </w:rPr>
      </w:pPr>
      <w:r w:rsidRPr="009B4D65">
        <w:rPr>
          <w:rFonts w:asciiTheme="majorBidi" w:hAnsiTheme="majorBidi" w:cstheme="majorBidi"/>
          <w:sz w:val="22"/>
          <w:szCs w:val="22"/>
        </w:rPr>
        <w:t xml:space="preserve">As a robustness check independent of the parametric surrogate test, both series were pre-whitened before correlation analysis. Linear trends were removed using ordinary least squares detrending, and residuals were extracted from </w:t>
      </w:r>
      <w:r w:rsidRPr="00B15D69">
        <w:rPr>
          <w:rFonts w:asciiTheme="majorBidi" w:hAnsiTheme="majorBidi" w:cstheme="majorBidi"/>
          <w:sz w:val="22"/>
          <w:szCs w:val="22"/>
        </w:rPr>
        <w:t xml:space="preserve">autoregressive AR(p) models with </w:t>
      </w:r>
      <w:r w:rsidRPr="00B15D69">
        <w:rPr>
          <w:rFonts w:asciiTheme="majorBidi" w:hAnsiTheme="majorBidi" w:cstheme="majorBidi"/>
          <w:i/>
          <w:iCs/>
          <w:sz w:val="22"/>
          <w:szCs w:val="22"/>
        </w:rPr>
        <w:t>p</w:t>
      </w:r>
      <w:r w:rsidRPr="00B15D69">
        <w:rPr>
          <w:rFonts w:asciiTheme="majorBidi" w:hAnsiTheme="majorBidi" w:cstheme="majorBidi"/>
          <w:sz w:val="22"/>
          <w:szCs w:val="22"/>
        </w:rPr>
        <w:t xml:space="preserve"> selected by</w:t>
      </w:r>
      <w:r w:rsidR="00B15D69">
        <w:rPr>
          <w:rFonts w:asciiTheme="majorBidi" w:hAnsiTheme="majorBidi" w:cstheme="majorBidi"/>
          <w:sz w:val="22"/>
          <w:szCs w:val="22"/>
        </w:rPr>
        <w:t xml:space="preserve"> a</w:t>
      </w:r>
      <w:r w:rsidR="00B15D69" w:rsidRPr="00B15D69">
        <w:rPr>
          <w:rFonts w:asciiTheme="majorBidi" w:hAnsiTheme="majorBidi" w:cstheme="majorBidi"/>
          <w:sz w:val="22"/>
          <w:szCs w:val="22"/>
        </w:rPr>
        <w:t xml:space="preserve">kaike </w:t>
      </w:r>
      <w:r w:rsidR="00B15D69">
        <w:rPr>
          <w:rFonts w:asciiTheme="majorBidi" w:hAnsiTheme="majorBidi" w:cstheme="majorBidi"/>
          <w:sz w:val="22"/>
          <w:szCs w:val="22"/>
        </w:rPr>
        <w:t>i</w:t>
      </w:r>
      <w:r w:rsidR="00B15D69" w:rsidRPr="00B15D69">
        <w:rPr>
          <w:rFonts w:asciiTheme="majorBidi" w:hAnsiTheme="majorBidi" w:cstheme="majorBidi"/>
          <w:sz w:val="22"/>
          <w:szCs w:val="22"/>
        </w:rPr>
        <w:t xml:space="preserve">nformation </w:t>
      </w:r>
      <w:r w:rsidR="00B15D69">
        <w:rPr>
          <w:rFonts w:asciiTheme="majorBidi" w:hAnsiTheme="majorBidi" w:cstheme="majorBidi"/>
          <w:sz w:val="22"/>
          <w:szCs w:val="22"/>
        </w:rPr>
        <w:t>c</w:t>
      </w:r>
      <w:r w:rsidR="00B15D69" w:rsidRPr="00B15D69">
        <w:rPr>
          <w:rFonts w:asciiTheme="majorBidi" w:hAnsiTheme="majorBidi" w:cstheme="majorBidi"/>
          <w:sz w:val="22"/>
          <w:szCs w:val="22"/>
        </w:rPr>
        <w:t>riterion</w:t>
      </w:r>
      <w:r w:rsidRPr="00B15D69">
        <w:rPr>
          <w:rFonts w:asciiTheme="majorBidi" w:hAnsiTheme="majorBidi" w:cstheme="majorBidi"/>
          <w:sz w:val="22"/>
          <w:szCs w:val="22"/>
        </w:rPr>
        <w:t xml:space="preserve"> </w:t>
      </w:r>
      <w:r w:rsidR="00B15D69">
        <w:rPr>
          <w:rFonts w:asciiTheme="majorBidi" w:hAnsiTheme="majorBidi" w:cstheme="majorBidi"/>
          <w:sz w:val="22"/>
          <w:szCs w:val="22"/>
        </w:rPr>
        <w:t>(</w:t>
      </w:r>
      <w:r w:rsidRPr="00B15D69">
        <w:rPr>
          <w:rFonts w:asciiTheme="majorBidi" w:hAnsiTheme="majorBidi" w:cstheme="majorBidi"/>
          <w:sz w:val="22"/>
          <w:szCs w:val="22"/>
        </w:rPr>
        <w:t>AIC</w:t>
      </w:r>
      <w:r w:rsidR="00B15D69">
        <w:rPr>
          <w:rFonts w:asciiTheme="majorBidi" w:hAnsiTheme="majorBidi" w:cstheme="majorBidi"/>
          <w:sz w:val="22"/>
          <w:szCs w:val="22"/>
        </w:rPr>
        <w:t>)</w:t>
      </w:r>
      <w:r w:rsidRPr="00B15D69">
        <w:rPr>
          <w:rFonts w:asciiTheme="majorBidi" w:hAnsiTheme="majorBidi" w:cstheme="majorBidi"/>
          <w:sz w:val="22"/>
          <w:szCs w:val="22"/>
        </w:rPr>
        <w:t xml:space="preserve"> (maximum</w:t>
      </w:r>
      <w:r w:rsidRPr="009B4D65">
        <w:rPr>
          <w:rFonts w:asciiTheme="majorBidi" w:hAnsiTheme="majorBidi" w:cstheme="majorBidi"/>
          <w:sz w:val="22"/>
          <w:szCs w:val="22"/>
        </w:rPr>
        <w:t xml:space="preserve"> p = 6)</w:t>
      </w:r>
      <w:r w:rsidR="00B15D69">
        <w:rPr>
          <w:rFonts w:asciiTheme="majorBidi" w:hAnsiTheme="majorBidi" w:cstheme="majorBidi"/>
          <w:sz w:val="22"/>
          <w:szCs w:val="22"/>
        </w:rPr>
        <w:t xml:space="preserve"> </w:t>
      </w:r>
      <w:r w:rsidR="00B15D69">
        <w:rPr>
          <w:rFonts w:asciiTheme="majorBidi" w:hAnsiTheme="majorBidi" w:cstheme="majorBidi"/>
          <w:sz w:val="22"/>
          <w:szCs w:val="22"/>
        </w:rPr>
        <w:fldChar w:fldCharType="begin"/>
      </w:r>
      <w:r w:rsidR="00B15D69">
        <w:rPr>
          <w:rFonts w:asciiTheme="majorBidi" w:hAnsiTheme="majorBidi" w:cstheme="majorBidi"/>
          <w:sz w:val="22"/>
          <w:szCs w:val="22"/>
        </w:rPr>
        <w:instrText xml:space="preserve"> ADDIN ZOTERO_ITEM CSL_CITATION {"citationID":"HVRkKZxF","properties":{"unsorted":false,"formattedCitation":"(Liu et al., 2025)","plainCitation":"(Liu et al., 2025)","noteIndex":0},"citationItems":[{"id":1494,"uris":["http://zotero.org/users/16974576/items/TLA2GAKW"],"itemData":{"id":1494,"type":"article-journal","abstract":"With global environmental change, an in-depth understanding of the changing patterns in the frequency, duration and severity of drought events is of great significance to regional water resources management and agricultural production. The standardized precipitation index (SPI) and the standardized precipitation evapotranspiration index (SPEI) are two frequently used meteorological drought indices in characterizing the drought characteristics. The elucidation of the differences between the two indices is an important work to reduce the uncertainty in drought hazard analysis and give suggestions of the appropriate index for the regional drought detection. Shandong Province is considered to be one of the major agricultural production bases in northern China. However, the comparative analysis of the suitability of SPI and SPEI for this area and the spatial variability of drought hazard have not been systematically studied, which forms the basis for this research. In this study, we identified drought events according to run theory with consideration of merging neighboring medium-term drought events. The results showed that both SPI and SPEI can efficiently describe drought in the study area and drought events identified by these two indices were quite similar. The drought duration and severity of the most severe drought event identified by SPI were 11 months and 12.8, respectively, with a joint return period of 90 years, and the drought duration and severity of the most severe drought event identified by SPEI were 12 months and 12.98, with a joint return period of 65 years. The duration and severity of drought given by SPEI, however, were generally longer and larger than those given by SPI at the same meteorological station. A comparison of the return period using the bivariate copula function indicated that minor differences existed for the same drought event in the same meteorological station of SPI and SPEI. The spatial distributions of mean drought duration and severity as well as the return periods suggested that the northwest part of the study area and Weifang city were more likely to experience longer and more severe drought events, which also indicated a relatively higher potential for drought hazard in these areas.","container-title":"Scientific Reports","DOI":"10.1038/s41598-024-83522-0","ISSN":"2045-2322","issue":"1","journalAbbreviation":"Scientific Reports","page":"11268","title":"Comparative study on bivariate statistical characteristics of drought in Shandong using SPI and SPEI","volume":"15","author":[{"family":"Liu","given":"Jian"},{"family":"Xia","given":"Jun"},{"family":"Wang","given":"Mingsen"}],"issued":{"date-parts":[["2025",4,2]]}}}],"schema":"https://github.com/citation-style-language/schema/raw/master/csl-citation.json"} </w:instrText>
      </w:r>
      <w:r w:rsidR="00B15D69">
        <w:rPr>
          <w:rFonts w:asciiTheme="majorBidi" w:hAnsiTheme="majorBidi" w:cstheme="majorBidi"/>
          <w:sz w:val="22"/>
          <w:szCs w:val="22"/>
        </w:rPr>
        <w:fldChar w:fldCharType="separate"/>
      </w:r>
      <w:r w:rsidR="00B15D69" w:rsidRPr="00B15D69">
        <w:rPr>
          <w:rFonts w:ascii="Times New Roman" w:hAnsi="Times New Roman" w:cs="Times New Roman"/>
          <w:sz w:val="22"/>
        </w:rPr>
        <w:t>(Liu et al., 2025)</w:t>
      </w:r>
      <w:r w:rsidR="00B15D69">
        <w:rPr>
          <w:rFonts w:asciiTheme="majorBidi" w:hAnsiTheme="majorBidi" w:cstheme="majorBidi"/>
          <w:sz w:val="22"/>
          <w:szCs w:val="22"/>
        </w:rPr>
        <w:fldChar w:fldCharType="end"/>
      </w:r>
      <w:r w:rsidRPr="009B4D65">
        <w:rPr>
          <w:rFonts w:asciiTheme="majorBidi" w:hAnsiTheme="majorBidi" w:cstheme="majorBidi"/>
          <w:sz w:val="22"/>
          <w:szCs w:val="22"/>
        </w:rPr>
        <w:t>. Pearson correlation between the aligned pre-whitened residual series (r</w:t>
      </w:r>
      <w:r w:rsidRPr="00517842">
        <w:rPr>
          <w:rFonts w:asciiTheme="majorBidi" w:hAnsiTheme="majorBidi" w:cstheme="majorBidi"/>
          <w:sz w:val="22"/>
          <w:szCs w:val="22"/>
          <w:vertAlign w:val="subscript"/>
        </w:rPr>
        <w:t>pw</w:t>
      </w:r>
      <w:r w:rsidRPr="009B4D65">
        <w:rPr>
          <w:rFonts w:asciiTheme="majorBidi" w:hAnsiTheme="majorBidi" w:cstheme="majorBidi"/>
          <w:sz w:val="22"/>
          <w:szCs w:val="22"/>
        </w:rPr>
        <w:t>) is reported alongside the main ESS-adjusted estimate.</w:t>
      </w:r>
    </w:p>
    <w:p w14:paraId="75134A74" w14:textId="48689318" w:rsidR="00D61284" w:rsidRPr="009B4D65" w:rsidRDefault="00D61284" w:rsidP="00B15D69">
      <w:pPr>
        <w:pStyle w:val="Heading2"/>
      </w:pPr>
      <w:r w:rsidRPr="009B4D65">
        <w:t>S</w:t>
      </w:r>
      <w:r w:rsidR="00430829" w:rsidRPr="009B4D65">
        <w:t>1.1</w:t>
      </w:r>
      <w:r w:rsidR="00330748">
        <w:t>0</w:t>
      </w:r>
      <w:r w:rsidR="00430829" w:rsidRPr="009B4D65">
        <w:t>.</w:t>
      </w:r>
      <w:r w:rsidRPr="009B4D65">
        <w:t xml:space="preserve"> Attribution model</w:t>
      </w:r>
    </w:p>
    <w:p w14:paraId="001C28B3" w14:textId="313A7548" w:rsidR="00D61284" w:rsidRPr="009B4D65" w:rsidRDefault="00D61284"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 xml:space="preserve">LULC variables with &gt; 40% missing values or zero variance were excluded. Remaining variables were standardized (zero mean, unit variance) and submitted to </w:t>
      </w:r>
      <w:r w:rsidR="00B15D69">
        <w:rPr>
          <w:rFonts w:asciiTheme="majorBidi" w:hAnsiTheme="majorBidi" w:cstheme="majorBidi"/>
          <w:sz w:val="22"/>
          <w:szCs w:val="22"/>
        </w:rPr>
        <w:t>principal component analysis (</w:t>
      </w:r>
      <w:r w:rsidRPr="009B4D65">
        <w:rPr>
          <w:rFonts w:asciiTheme="majorBidi" w:hAnsiTheme="majorBidi" w:cstheme="majorBidi"/>
          <w:sz w:val="22"/>
          <w:szCs w:val="22"/>
        </w:rPr>
        <w:t>PCA</w:t>
      </w:r>
      <w:r w:rsidR="00B15D69">
        <w:rPr>
          <w:rFonts w:asciiTheme="majorBidi" w:hAnsiTheme="majorBidi" w:cstheme="majorBidi"/>
          <w:sz w:val="22"/>
          <w:szCs w:val="22"/>
        </w:rPr>
        <w:t>)</w:t>
      </w:r>
      <w:r w:rsidRPr="009B4D65">
        <w:rPr>
          <w:rFonts w:asciiTheme="majorBidi" w:hAnsiTheme="majorBidi" w:cstheme="majorBidi"/>
          <w:sz w:val="22"/>
          <w:szCs w:val="22"/>
        </w:rPr>
        <w:t>; the minimum number of components explaining ≥ 85% cumulative variance was retained. PCA score stability was assessed by row-resampling bootstrap (n = 200). Multicollinearity was monitored via variance inflation factors (VIF); VIF &gt; 10 was flagged as problematic.</w:t>
      </w:r>
    </w:p>
    <w:p w14:paraId="53520583" w14:textId="77777777" w:rsidR="00D61284" w:rsidRPr="009B4D65" w:rsidRDefault="00D61284"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The primary attribution model was:</w:t>
      </w:r>
    </w:p>
    <w:p w14:paraId="0906AD05" w14:textId="5B7DB7EB" w:rsidR="00D61284" w:rsidRPr="009B4D65" w:rsidRDefault="00C64692" w:rsidP="009B4D65">
      <w:pPr>
        <w:spacing w:line="276" w:lineRule="auto"/>
        <w:rPr>
          <w:rFonts w:asciiTheme="majorBidi" w:hAnsiTheme="majorBidi" w:cstheme="majorBidi"/>
          <w:sz w:val="22"/>
          <w:szCs w:val="22"/>
        </w:rPr>
      </w:pPr>
      <w:r w:rsidRPr="009B4D65">
        <w:rPr>
          <w:rFonts w:asciiTheme="majorBidi" w:hAnsiTheme="majorBidi" w:cstheme="majorBidi"/>
          <w:position w:val="-26"/>
          <w:sz w:val="22"/>
          <w:szCs w:val="22"/>
        </w:rPr>
        <w:object w:dxaOrig="4120" w:dyaOrig="480" w14:anchorId="6028592E">
          <v:shape id="_x0000_i1033" type="#_x0000_t75" style="width:204pt;height:24.75pt" o:ole="">
            <v:imagedata r:id="rId22" o:title=""/>
          </v:shape>
          <o:OLEObject Type="Embed" ProgID="Equation.DSMT4" ShapeID="_x0000_i1033" DrawAspect="Content" ObjectID="_1846316351" r:id="rId23"/>
        </w:object>
      </w:r>
    </w:p>
    <w:p w14:paraId="7C3498AA" w14:textId="69C0A257" w:rsidR="00D61284" w:rsidRPr="009B4D65" w:rsidRDefault="00C64692"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W</w:t>
      </w:r>
      <w:r w:rsidR="00D61284" w:rsidRPr="009B4D65">
        <w:rPr>
          <w:rFonts w:asciiTheme="majorBidi" w:hAnsiTheme="majorBidi" w:cstheme="majorBidi"/>
          <w:sz w:val="22"/>
          <w:szCs w:val="22"/>
        </w:rPr>
        <w:t>here</w:t>
      </w:r>
      <w:r w:rsidRPr="009B4D65">
        <w:rPr>
          <w:rFonts w:asciiTheme="majorBidi" w:hAnsiTheme="majorBidi" w:cstheme="majorBidi"/>
          <w:sz w:val="22"/>
          <w:szCs w:val="22"/>
        </w:rPr>
        <w:t xml:space="preserve"> </w:t>
      </w:r>
      <w:r w:rsidRPr="009B4D65">
        <w:rPr>
          <w:rFonts w:asciiTheme="majorBidi" w:hAnsiTheme="majorBidi" w:cstheme="majorBidi"/>
          <w:position w:val="-10"/>
          <w:sz w:val="22"/>
          <w:szCs w:val="22"/>
        </w:rPr>
        <w:object w:dxaOrig="760" w:dyaOrig="300" w14:anchorId="62BE4E0A">
          <v:shape id="_x0000_i1034" type="#_x0000_t75" style="width:37.5pt;height:16.5pt" o:ole="">
            <v:imagedata r:id="rId24" o:title=""/>
          </v:shape>
          <o:OLEObject Type="Embed" ProgID="Equation.DSMT4" ShapeID="_x0000_i1034" DrawAspect="Content" ObjectID="_1846316352" r:id="rId25"/>
        </w:object>
      </w:r>
      <w:r w:rsidR="00D61284" w:rsidRPr="009B4D65">
        <w:rPr>
          <w:rFonts w:asciiTheme="majorBidi" w:hAnsiTheme="majorBidi" w:cstheme="majorBidi"/>
          <w:sz w:val="22"/>
          <w:szCs w:val="22"/>
        </w:rPr>
        <w:t xml:space="preserve"> is the dominant meteorological index at optimal lag </w:t>
      </w:r>
      <w:r w:rsidR="00D61284" w:rsidRPr="00B15D69">
        <w:rPr>
          <w:rFonts w:asciiTheme="majorBidi" w:hAnsiTheme="majorBidi" w:cstheme="majorBidi"/>
          <w:i/>
          <w:iCs/>
          <w:sz w:val="22"/>
          <w:szCs w:val="22"/>
        </w:rPr>
        <w:t>k</w:t>
      </w:r>
      <w:r w:rsidR="00D61284" w:rsidRPr="009B4D65">
        <w:rPr>
          <w:rFonts w:asciiTheme="majorBidi" w:hAnsiTheme="majorBidi" w:cstheme="majorBidi"/>
          <w:sz w:val="22"/>
          <w:szCs w:val="22"/>
        </w:rPr>
        <w:t xml:space="preserve"> and</w:t>
      </w:r>
      <w:r w:rsidRPr="009B4D65">
        <w:rPr>
          <w:rFonts w:asciiTheme="majorBidi" w:hAnsiTheme="majorBidi" w:cstheme="majorBidi"/>
          <w:sz w:val="22"/>
          <w:szCs w:val="22"/>
        </w:rPr>
        <w:t xml:space="preserve"> </w:t>
      </w:r>
      <w:r w:rsidRPr="009B4D65">
        <w:rPr>
          <w:rFonts w:asciiTheme="majorBidi" w:hAnsiTheme="majorBidi" w:cstheme="majorBidi"/>
          <w:position w:val="-12"/>
          <w:sz w:val="22"/>
          <w:szCs w:val="22"/>
        </w:rPr>
        <w:object w:dxaOrig="460" w:dyaOrig="320" w14:anchorId="5667E068">
          <v:shape id="_x0000_i1035" type="#_x0000_t75" style="width:23.25pt;height:18.75pt" o:ole="">
            <v:imagedata r:id="rId26" o:title=""/>
          </v:shape>
          <o:OLEObject Type="Embed" ProgID="Equation.DSMT4" ShapeID="_x0000_i1035" DrawAspect="Content" ObjectID="_1846316353" r:id="rId27"/>
        </w:object>
      </w:r>
      <w:r w:rsidR="00D61284" w:rsidRPr="009B4D65">
        <w:rPr>
          <w:rFonts w:asciiTheme="majorBidi" w:hAnsiTheme="majorBidi" w:cstheme="majorBidi"/>
          <w:sz w:val="22"/>
          <w:szCs w:val="22"/>
        </w:rPr>
        <w:t xml:space="preserve"> are LULC principal component </w:t>
      </w:r>
      <w:r w:rsidR="00D61284" w:rsidRPr="00B15D69">
        <w:rPr>
          <w:rFonts w:asciiTheme="majorBidi" w:hAnsiTheme="majorBidi" w:cstheme="majorBidi"/>
          <w:sz w:val="22"/>
          <w:szCs w:val="22"/>
        </w:rPr>
        <w:t>scores mapped to the monthly time axis from annual observations. Parameters were estimated by</w:t>
      </w:r>
      <w:r w:rsidR="00B15D69" w:rsidRPr="00B15D69">
        <w:rPr>
          <w:rFonts w:asciiTheme="majorBidi" w:hAnsiTheme="majorBidi" w:cstheme="majorBidi"/>
          <w:sz w:val="22"/>
          <w:szCs w:val="22"/>
        </w:rPr>
        <w:t xml:space="preserve"> Ordinary least-squares</w:t>
      </w:r>
      <w:r w:rsidR="00D61284" w:rsidRPr="00B15D69">
        <w:rPr>
          <w:rFonts w:asciiTheme="majorBidi" w:hAnsiTheme="majorBidi" w:cstheme="majorBidi"/>
          <w:sz w:val="22"/>
          <w:szCs w:val="22"/>
        </w:rPr>
        <w:t xml:space="preserve"> </w:t>
      </w:r>
      <w:r w:rsidR="00B15D69" w:rsidRPr="00B15D69">
        <w:rPr>
          <w:rFonts w:asciiTheme="majorBidi" w:hAnsiTheme="majorBidi" w:cstheme="majorBidi"/>
          <w:sz w:val="22"/>
          <w:szCs w:val="22"/>
        </w:rPr>
        <w:t>(</w:t>
      </w:r>
      <w:r w:rsidR="00D61284" w:rsidRPr="00B15D69">
        <w:rPr>
          <w:rFonts w:asciiTheme="majorBidi" w:hAnsiTheme="majorBidi" w:cstheme="majorBidi"/>
          <w:color w:val="000000" w:themeColor="text1"/>
          <w:sz w:val="22"/>
          <w:szCs w:val="22"/>
        </w:rPr>
        <w:t>OLS</w:t>
      </w:r>
      <w:r w:rsidR="00B15D69" w:rsidRPr="00B15D69">
        <w:rPr>
          <w:rFonts w:asciiTheme="majorBidi" w:hAnsiTheme="majorBidi" w:cstheme="majorBidi"/>
          <w:color w:val="000000" w:themeColor="text1"/>
          <w:sz w:val="22"/>
          <w:szCs w:val="22"/>
        </w:rPr>
        <w:t>)</w:t>
      </w:r>
      <w:r w:rsidR="00D61284" w:rsidRPr="00B15D69">
        <w:rPr>
          <w:rFonts w:asciiTheme="majorBidi" w:hAnsiTheme="majorBidi" w:cstheme="majorBidi"/>
          <w:color w:val="000000" w:themeColor="text1"/>
          <w:sz w:val="22"/>
          <w:szCs w:val="22"/>
        </w:rPr>
        <w:t xml:space="preserve"> </w:t>
      </w:r>
      <w:r w:rsidR="00D61284" w:rsidRPr="00B15D69">
        <w:rPr>
          <w:rFonts w:asciiTheme="majorBidi" w:hAnsiTheme="majorBidi" w:cstheme="majorBidi"/>
          <w:sz w:val="22"/>
          <w:szCs w:val="22"/>
        </w:rPr>
        <w:t xml:space="preserve">with Newey–West </w:t>
      </w:r>
      <w:r w:rsidR="004947DD" w:rsidRPr="004947DD">
        <w:rPr>
          <w:rFonts w:asciiTheme="majorBidi" w:hAnsiTheme="majorBidi" w:cstheme="majorBidi"/>
          <w:sz w:val="22"/>
          <w:szCs w:val="22"/>
        </w:rPr>
        <w:t>HAC</w:t>
      </w:r>
      <w:r w:rsidR="00D61284" w:rsidRPr="00B15D69">
        <w:rPr>
          <w:rFonts w:asciiTheme="majorBidi" w:hAnsiTheme="majorBidi" w:cstheme="majorBidi"/>
          <w:sz w:val="22"/>
          <w:szCs w:val="22"/>
        </w:rPr>
        <w:t xml:space="preserve"> standard errors (max</w:t>
      </w:r>
      <w:r w:rsidRPr="00B15D69">
        <w:rPr>
          <w:rFonts w:asciiTheme="majorBidi" w:hAnsiTheme="majorBidi" w:cstheme="majorBidi"/>
          <w:sz w:val="22"/>
          <w:szCs w:val="22"/>
        </w:rPr>
        <w:t xml:space="preserve"> </w:t>
      </w:r>
      <w:r w:rsidR="00D61284" w:rsidRPr="00B15D69">
        <w:rPr>
          <w:rFonts w:asciiTheme="majorBidi" w:hAnsiTheme="majorBidi" w:cstheme="majorBidi"/>
          <w:sz w:val="22"/>
          <w:szCs w:val="22"/>
        </w:rPr>
        <w:t>lags = 12). Model stability was assessed using 5-fold time-series cross-validation (Time</w:t>
      </w:r>
      <w:r w:rsidRPr="00B15D69">
        <w:rPr>
          <w:rFonts w:asciiTheme="majorBidi" w:hAnsiTheme="majorBidi" w:cstheme="majorBidi"/>
          <w:sz w:val="22"/>
          <w:szCs w:val="22"/>
        </w:rPr>
        <w:t xml:space="preserve"> </w:t>
      </w:r>
      <w:r w:rsidR="00D61284" w:rsidRPr="00B15D69">
        <w:rPr>
          <w:rFonts w:asciiTheme="majorBidi" w:hAnsiTheme="majorBidi" w:cstheme="majorBidi"/>
          <w:sz w:val="22"/>
          <w:szCs w:val="22"/>
        </w:rPr>
        <w:t>Series</w:t>
      </w:r>
      <w:r w:rsidRPr="00B15D69">
        <w:rPr>
          <w:rFonts w:asciiTheme="majorBidi" w:hAnsiTheme="majorBidi" w:cstheme="majorBidi"/>
          <w:sz w:val="22"/>
          <w:szCs w:val="22"/>
        </w:rPr>
        <w:t xml:space="preserve"> </w:t>
      </w:r>
      <w:r w:rsidR="00D61284" w:rsidRPr="00B15D69">
        <w:rPr>
          <w:rFonts w:asciiTheme="majorBidi" w:hAnsiTheme="majorBidi" w:cstheme="majorBidi"/>
          <w:sz w:val="22"/>
          <w:szCs w:val="22"/>
        </w:rPr>
        <w:t xml:space="preserve">Split), reporting MSE per fold. Coefficients from ridge, lasso, and elastic-net regularized regressions (cross-validated λ; elastic-net l₁ ratios </w:t>
      </w:r>
      <w:r w:rsidR="00D61284" w:rsidRPr="00B15D69">
        <w:rPr>
          <w:rFonts w:ascii="Cambria Math" w:hAnsi="Cambria Math" w:cs="Cambria Math"/>
          <w:sz w:val="22"/>
          <w:szCs w:val="22"/>
        </w:rPr>
        <w:t>∈</w:t>
      </w:r>
      <w:r w:rsidR="00D61284" w:rsidRPr="00B15D69">
        <w:rPr>
          <w:rFonts w:asciiTheme="majorBidi" w:hAnsiTheme="majorBidi" w:cstheme="majorBidi"/>
          <w:sz w:val="22"/>
          <w:szCs w:val="22"/>
        </w:rPr>
        <w:t xml:space="preserve"> {0.1, 0.5, 0.9}) were compared to OLS estimates as consistency checks. Mann–Kendall trend analysis was applied to OLS model residuals to detect systematic unexplained temporal trends.</w:t>
      </w:r>
    </w:p>
    <w:p w14:paraId="08D19AF6" w14:textId="32B95ACC" w:rsidR="00D61284" w:rsidRPr="009B4D65" w:rsidRDefault="00D61284" w:rsidP="00B15D69">
      <w:pPr>
        <w:pStyle w:val="Heading2"/>
      </w:pPr>
      <w:r w:rsidRPr="009B4D65">
        <w:lastRenderedPageBreak/>
        <w:t>S</w:t>
      </w:r>
      <w:r w:rsidR="00430829" w:rsidRPr="009B4D65">
        <w:t>1.1</w:t>
      </w:r>
      <w:r w:rsidR="00330748">
        <w:t>1</w:t>
      </w:r>
      <w:r w:rsidR="00D54720" w:rsidRPr="009B4D65">
        <w:t>.</w:t>
      </w:r>
      <w:r w:rsidRPr="009B4D65">
        <w:t xml:space="preserve"> VAR model and Granger causality</w:t>
      </w:r>
    </w:p>
    <w:p w14:paraId="3CF04762" w14:textId="1DD1D1EF" w:rsidR="00D61284" w:rsidRPr="009B4D65" w:rsidRDefault="00D61284" w:rsidP="0015112A">
      <w:pPr>
        <w:spacing w:line="276" w:lineRule="auto"/>
        <w:rPr>
          <w:rFonts w:asciiTheme="majorBidi" w:hAnsiTheme="majorBidi" w:cstheme="majorBidi"/>
          <w:sz w:val="22"/>
          <w:szCs w:val="22"/>
        </w:rPr>
      </w:pPr>
      <w:r w:rsidRPr="0015112A">
        <w:rPr>
          <w:rFonts w:asciiTheme="majorBidi" w:hAnsiTheme="majorBidi" w:cstheme="majorBidi"/>
          <w:sz w:val="22"/>
          <w:szCs w:val="22"/>
        </w:rPr>
        <w:t xml:space="preserve">Bidirectional Granger causality between the dominant meteorological driver </w:t>
      </w:r>
      <w:r w:rsidR="0015112A">
        <w:rPr>
          <w:rFonts w:asciiTheme="majorBidi" w:hAnsiTheme="majorBidi" w:cstheme="majorBidi"/>
          <w:sz w:val="22"/>
          <w:szCs w:val="22"/>
        </w:rPr>
        <w:fldChar w:fldCharType="begin"/>
      </w:r>
      <w:r w:rsidR="0015112A">
        <w:rPr>
          <w:rFonts w:asciiTheme="majorBidi" w:hAnsiTheme="majorBidi" w:cstheme="majorBidi"/>
          <w:sz w:val="22"/>
          <w:szCs w:val="22"/>
        </w:rPr>
        <w:instrText xml:space="preserve"> ADDIN ZOTERO_ITEM CSL_CITATION {"citationID":"Iz2fXaML","properties":{"unsorted":false,"formattedCitation":"(Huang et al., 2025)","plainCitation":"(Huang et al., 2025)","noteIndex":0},"citationItems":[{"id":1499,"uris":["http://zotero.org/users/16974576/items/CLVBQ872"],"itemData":{"id":1499,"type":"article-journal","abstract":"In order to explore the correlation between meteorological factors and power load changes, as well as the role of these factors in load forecasting, a hybrid load forecasting modeling framework based on quantile Granger causality test and bidirectional long short-term memory (QGCT-BiLSTM) is proposed. The Augmented Dickey–Fuller test (ADF) is used to test the smoothness of the influencing factor series and the load series, and the variables that passed the smoothness test are subjected to QGCT for identification of the characteristic variables with significant causal associations. Furthermore, the BiLSTM model is then constructed using the selected factors to generate load forecasts. Using real data from Fujian, China, we demonstrate that QGCT-based feature screening reduces forecasting errors by an average of 34.96%, where the RMSE, MAE and MAPE are 29.19%, 30.06% and 45.63%, respectively, thereby validating the necessity of causal factor selection. Additionally, single-factor perturbation analysis at seasonal scales quantifies load sensitivity to environmental changes, while geographic–climatic coupling mechanisms explain observed load variation patterns. The results confirm that QGCT-BiLSTM effectively isolates critical meteorological drivers and significantly enhances prediction accuracy compared to conventional approaches, achieving 20.3% lower RMSE and 16.8% lower MAE than LSTM.","container-title":"Applied Sciences","DOI":"10.3390/app15115912","ISSN":"2076-3417","issue":"11","page":"5912","title":"Load Forecasting Using BiLSTM with Quantile Granger Causality: Insights from Geographic–Climatic Coupling Mechanisms","volume":"15","author":[{"family":"Huang","given":"Xianan"},{"family":"Liu","given":"Lin"},{"family":"Xu","given":"Nuo"},{"family":"Chen","given":"Yantao"},{"family":"Wang","given":"Xiaofei"},{"family":"Lin","given":"Zhenzhi"}],"issued":{"date-parts":[["2025"]]}}}],"schema":"https://github.com/citation-style-language/schema/raw/master/csl-citation.json"} </w:instrText>
      </w:r>
      <w:r w:rsidR="0015112A">
        <w:rPr>
          <w:rFonts w:asciiTheme="majorBidi" w:hAnsiTheme="majorBidi" w:cstheme="majorBidi"/>
          <w:sz w:val="22"/>
          <w:szCs w:val="22"/>
        </w:rPr>
        <w:fldChar w:fldCharType="separate"/>
      </w:r>
      <w:r w:rsidR="0015112A" w:rsidRPr="0015112A">
        <w:rPr>
          <w:rFonts w:ascii="Times New Roman" w:hAnsi="Times New Roman" w:cs="Times New Roman"/>
          <w:sz w:val="22"/>
        </w:rPr>
        <w:t>(Huang et al., 2025)</w:t>
      </w:r>
      <w:r w:rsidR="0015112A">
        <w:rPr>
          <w:rFonts w:asciiTheme="majorBidi" w:hAnsiTheme="majorBidi" w:cstheme="majorBidi"/>
          <w:sz w:val="22"/>
          <w:szCs w:val="22"/>
        </w:rPr>
        <w:fldChar w:fldCharType="end"/>
      </w:r>
      <w:r w:rsidR="0015112A">
        <w:rPr>
          <w:rFonts w:asciiTheme="majorBidi" w:hAnsiTheme="majorBidi" w:cstheme="majorBidi"/>
          <w:sz w:val="22"/>
          <w:szCs w:val="22"/>
        </w:rPr>
        <w:t xml:space="preserve"> </w:t>
      </w:r>
      <w:r w:rsidRPr="0015112A">
        <w:rPr>
          <w:rFonts w:asciiTheme="majorBidi" w:hAnsiTheme="majorBidi" w:cstheme="majorBidi"/>
          <w:sz w:val="22"/>
          <w:szCs w:val="22"/>
        </w:rPr>
        <w:t>and SLLI was assessed using a Vector Autoregression (VAR) model</w:t>
      </w:r>
      <w:r w:rsidR="0015112A">
        <w:rPr>
          <w:rFonts w:asciiTheme="majorBidi" w:hAnsiTheme="majorBidi" w:cstheme="majorBidi"/>
          <w:sz w:val="22"/>
          <w:szCs w:val="22"/>
        </w:rPr>
        <w:t xml:space="preserve"> </w:t>
      </w:r>
      <w:r w:rsidR="0015112A">
        <w:rPr>
          <w:rFonts w:asciiTheme="majorBidi" w:hAnsiTheme="majorBidi" w:cstheme="majorBidi"/>
          <w:sz w:val="22"/>
          <w:szCs w:val="22"/>
        </w:rPr>
        <w:fldChar w:fldCharType="begin"/>
      </w:r>
      <w:r w:rsidR="0015112A">
        <w:rPr>
          <w:rFonts w:asciiTheme="majorBidi" w:hAnsiTheme="majorBidi" w:cstheme="majorBidi"/>
          <w:sz w:val="22"/>
          <w:szCs w:val="22"/>
        </w:rPr>
        <w:instrText xml:space="preserve"> ADDIN ZOTERO_ITEM CSL_CITATION {"citationID":"6g4333xm","properties":{"unsorted":false,"formattedCitation":"(Alias et al., 2026)","plainCitation":"(Alias et al., 2026)","noteIndex":0},"citationItems":[{"id":1500,"uris":["http://zotero.org/users/16974576/items/V5VYN75E"],"itemData":{"id":1500,"type":"article-journal","container-title":"The Journal of Climate Change and Health","ISSN":"2667-2782","journalAbbreviation":"The Journal of Climate Change and Health","page":"100634","publisher":"Elsevier","title":"Assessing temporal causal effects of climate on dengue incidence in Peninsular Malaysia","volume":"27","author":[{"family":"Alias","given":"Muhammad Aswad"},{"family":"Alipitchay","given":"Shazelin"},{"family":"Tajudin","given":"Muhammad Abdul Basit Ahmad"},{"family":"Seposo","given":"Xerxes"},{"family":"Sahani","given":"Mazrura"},{"family":"Othman","given":"Hidayatulfathi"}],"issued":{"date-parts":[["2026"]]}}}],"schema":"https://github.com/citation-style-language/schema/raw/master/csl-citation.json"} </w:instrText>
      </w:r>
      <w:r w:rsidR="0015112A">
        <w:rPr>
          <w:rFonts w:asciiTheme="majorBidi" w:hAnsiTheme="majorBidi" w:cstheme="majorBidi"/>
          <w:sz w:val="22"/>
          <w:szCs w:val="22"/>
        </w:rPr>
        <w:fldChar w:fldCharType="separate"/>
      </w:r>
      <w:r w:rsidR="0015112A" w:rsidRPr="0015112A">
        <w:rPr>
          <w:rFonts w:ascii="Times New Roman" w:hAnsi="Times New Roman" w:cs="Times New Roman"/>
          <w:sz w:val="22"/>
        </w:rPr>
        <w:t>(Alias et al., 2026)</w:t>
      </w:r>
      <w:r w:rsidR="0015112A">
        <w:rPr>
          <w:rFonts w:asciiTheme="majorBidi" w:hAnsiTheme="majorBidi" w:cstheme="majorBidi"/>
          <w:sz w:val="22"/>
          <w:szCs w:val="22"/>
        </w:rPr>
        <w:fldChar w:fldCharType="end"/>
      </w:r>
      <w:r w:rsidRPr="0015112A">
        <w:rPr>
          <w:rFonts w:asciiTheme="majorBidi" w:hAnsiTheme="majorBidi" w:cstheme="majorBidi"/>
          <w:sz w:val="22"/>
          <w:szCs w:val="22"/>
        </w:rPr>
        <w:t xml:space="preserve"> fitted on first-differenced series (applied to induce stationarity). Lag order was selected automatically up to a maximum of 12 months. F-test Granger causality statistics were computed in both directions (H₀: lagged values of series A do not improve prediction of series B). Impulse-response functions (IRF) over a 12-month horizon characterize the dynamic response of SLLI to a unit innovation in the meteorological series</w:t>
      </w:r>
      <w:r w:rsidRPr="009B4D65">
        <w:rPr>
          <w:rFonts w:asciiTheme="majorBidi" w:hAnsiTheme="majorBidi" w:cstheme="majorBidi"/>
          <w:sz w:val="22"/>
          <w:szCs w:val="22"/>
        </w:rPr>
        <w:t>.</w:t>
      </w:r>
    </w:p>
    <w:p w14:paraId="290E3796" w14:textId="77777777" w:rsidR="00430829" w:rsidRPr="009B4D65" w:rsidRDefault="00430829" w:rsidP="009B4D65">
      <w:pPr>
        <w:spacing w:line="276" w:lineRule="auto"/>
        <w:rPr>
          <w:rFonts w:asciiTheme="majorBidi" w:hAnsiTheme="majorBidi" w:cstheme="majorBidi"/>
          <w:b/>
          <w:bCs/>
          <w:sz w:val="22"/>
          <w:szCs w:val="22"/>
        </w:rPr>
      </w:pPr>
    </w:p>
    <w:p w14:paraId="55A73722" w14:textId="20DF192C" w:rsidR="00430829" w:rsidRPr="009B4D65" w:rsidRDefault="00430829" w:rsidP="0015112A">
      <w:pPr>
        <w:pStyle w:val="Heading1"/>
      </w:pPr>
      <w:r w:rsidRPr="009B4D65">
        <w:t>S2. Supplementary Results</w:t>
      </w:r>
    </w:p>
    <w:p w14:paraId="172A61C0" w14:textId="192E398C" w:rsidR="00812647" w:rsidRPr="009B4D65" w:rsidRDefault="00812647" w:rsidP="0015112A">
      <w:pPr>
        <w:pStyle w:val="Heading2"/>
      </w:pPr>
      <w:r w:rsidRPr="009B4D65">
        <w:t>S</w:t>
      </w:r>
      <w:r w:rsidR="00430829" w:rsidRPr="009B4D65">
        <w:t>2</w:t>
      </w:r>
      <w:r w:rsidRPr="009B4D65">
        <w:t>.</w:t>
      </w:r>
      <w:r w:rsidR="00430829" w:rsidRPr="009B4D65">
        <w:t>1.</w:t>
      </w:r>
      <w:r w:rsidRPr="009B4D65">
        <w:t xml:space="preserve"> Bias Correction of Altimetric Series</w:t>
      </w:r>
    </w:p>
    <w:p w14:paraId="4FF4D339" w14:textId="1A108D68" w:rsidR="00812647" w:rsidRPr="009B4D65" w:rsidRDefault="00812647"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Prior to data integration, each altimetric series (satellite radar altimetry and DAHITI) was bias-corrected against the concurrent in-situ gauge record</w:t>
      </w:r>
      <w:r w:rsidR="00996918">
        <w:rPr>
          <w:rFonts w:asciiTheme="majorBidi" w:hAnsiTheme="majorBidi" w:cstheme="majorBidi"/>
          <w:sz w:val="22"/>
          <w:szCs w:val="22"/>
        </w:rPr>
        <w:t xml:space="preserve"> from DSI</w:t>
      </w:r>
      <w:r w:rsidRPr="009B4D65">
        <w:rPr>
          <w:rFonts w:asciiTheme="majorBidi" w:hAnsiTheme="majorBidi" w:cstheme="majorBidi"/>
          <w:sz w:val="22"/>
          <w:szCs w:val="22"/>
        </w:rPr>
        <w:t xml:space="preserve"> using the overlapping measurement periods identified for each lake</w:t>
      </w:r>
      <w:r w:rsidR="00996918">
        <w:rPr>
          <w:rFonts w:asciiTheme="majorBidi" w:hAnsiTheme="majorBidi" w:cstheme="majorBidi"/>
          <w:sz w:val="22"/>
          <w:szCs w:val="22"/>
        </w:rPr>
        <w:t xml:space="preserve"> </w:t>
      </w:r>
      <w:r w:rsidR="00996918" w:rsidRPr="00996918">
        <w:rPr>
          <w:rFonts w:asciiTheme="majorBidi" w:hAnsiTheme="majorBidi" w:cstheme="majorBidi"/>
          <w:sz w:val="22"/>
          <w:szCs w:val="22"/>
        </w:rPr>
        <w:fldChar w:fldCharType="begin"/>
      </w:r>
      <w:r w:rsidR="00996918" w:rsidRPr="00996918">
        <w:rPr>
          <w:rFonts w:asciiTheme="majorBidi" w:hAnsiTheme="majorBidi" w:cstheme="majorBidi"/>
          <w:sz w:val="22"/>
          <w:szCs w:val="22"/>
        </w:rPr>
        <w:instrText xml:space="preserve"> REF _Ref232280544 \h  \* MERGEFORMAT </w:instrText>
      </w:r>
      <w:r w:rsidR="00996918" w:rsidRPr="00996918">
        <w:rPr>
          <w:rFonts w:asciiTheme="majorBidi" w:hAnsiTheme="majorBidi" w:cstheme="majorBidi"/>
          <w:sz w:val="22"/>
          <w:szCs w:val="22"/>
        </w:rPr>
      </w:r>
      <w:r w:rsidR="00996918" w:rsidRPr="00996918">
        <w:rPr>
          <w:rFonts w:asciiTheme="majorBidi" w:hAnsiTheme="majorBidi" w:cstheme="majorBidi"/>
          <w:sz w:val="22"/>
          <w:szCs w:val="22"/>
        </w:rPr>
        <w:fldChar w:fldCharType="separate"/>
      </w:r>
      <w:r w:rsidR="00996918" w:rsidRPr="00996918">
        <w:rPr>
          <w:rFonts w:asciiTheme="majorBidi" w:hAnsiTheme="majorBidi" w:cstheme="majorBidi"/>
          <w:sz w:val="22"/>
          <w:szCs w:val="22"/>
        </w:rPr>
        <w:t xml:space="preserve">Table S </w:t>
      </w:r>
      <w:r w:rsidR="00996918" w:rsidRPr="00996918">
        <w:rPr>
          <w:rFonts w:asciiTheme="majorBidi" w:hAnsiTheme="majorBidi" w:cstheme="majorBidi"/>
          <w:noProof/>
          <w:sz w:val="22"/>
          <w:szCs w:val="22"/>
        </w:rPr>
        <w:t>2</w:t>
      </w:r>
      <w:r w:rsidR="00996918" w:rsidRPr="00996918">
        <w:rPr>
          <w:rFonts w:asciiTheme="majorBidi" w:hAnsiTheme="majorBidi" w:cstheme="majorBidi"/>
          <w:sz w:val="22"/>
          <w:szCs w:val="22"/>
        </w:rPr>
        <w:fldChar w:fldCharType="end"/>
      </w:r>
      <w:r w:rsidRPr="00996918">
        <w:rPr>
          <w:rFonts w:asciiTheme="majorBidi" w:hAnsiTheme="majorBidi" w:cstheme="majorBidi"/>
          <w:sz w:val="22"/>
          <w:szCs w:val="22"/>
        </w:rPr>
        <w:t>.</w:t>
      </w:r>
      <w:r w:rsidRPr="009B4D65">
        <w:rPr>
          <w:rFonts w:asciiTheme="majorBidi" w:hAnsiTheme="majorBidi" w:cstheme="majorBidi"/>
          <w:sz w:val="22"/>
          <w:szCs w:val="22"/>
        </w:rPr>
        <w:t xml:space="preserve"> For Lake İznik, the satellite altimetric record was compared against 268 months of gauge observations (January 2000–September 2024), and the DAHITI series against 92 months of overlapping gauge data (the post-May 2016 period, with some gaps). For Lake Uluabat, the satellite altimetric record was assessed against 245 months of gauge data (October 2003–September 2024) and the DAHITI series against 99 months (May 2016–September 2024, with gaps). The bias-corrected altimetric anomalies were retained for all subsequent integration and SLLI computation steps; absolute reference levels from the satellite-derived series are not directly used in the SLLI construction, which operates on normalized quantile ranks</w:t>
      </w:r>
      <w:r w:rsidRPr="00175F46">
        <w:rPr>
          <w:rFonts w:asciiTheme="majorBidi" w:hAnsiTheme="majorBidi" w:cstheme="majorBidi"/>
          <w:sz w:val="22"/>
          <w:szCs w:val="22"/>
        </w:rPr>
        <w:t xml:space="preserve">. </w:t>
      </w:r>
      <w:r w:rsidR="00B649E7" w:rsidRPr="00175F46">
        <w:rPr>
          <w:rFonts w:asciiTheme="majorBidi" w:hAnsiTheme="majorBidi" w:cstheme="majorBidi"/>
          <w:sz w:val="22"/>
          <w:szCs w:val="22"/>
        </w:rPr>
        <w:t xml:space="preserve">At each inter-source transition point, a linear regression error correction of the form was applied </w:t>
      </w:r>
      <w:r w:rsidR="00175F46">
        <w:rPr>
          <w:rFonts w:asciiTheme="majorBidi" w:hAnsiTheme="majorBidi" w:cstheme="majorBidi"/>
          <w:sz w:val="22"/>
          <w:szCs w:val="22"/>
        </w:rPr>
        <w:fldChar w:fldCharType="begin"/>
      </w:r>
      <w:r w:rsidR="00175F46">
        <w:rPr>
          <w:rFonts w:asciiTheme="majorBidi" w:hAnsiTheme="majorBidi" w:cstheme="majorBidi"/>
          <w:sz w:val="22"/>
          <w:szCs w:val="22"/>
        </w:rPr>
        <w:instrText xml:space="preserve"> ADDIN ZOTERO_ITEM CSL_CITATION {"citationID":"xh9Tbdm2","properties":{"unsorted":false,"formattedCitation":"(Cr\\uc0\\u233{}taux and Birkett, 2006)","plainCitation":"(Crétaux and Birkett, 2006)","noteIndex":0},"citationItems":[{"id":1189,"uris":["http://zotero.org/users/16974576/items/QKJJSEKR"],"itemData":{"id":1189,"type":"article-journal","abstract":"For more than 10 years, satellite radar altimetry has been a successful technique for monitoring the variation in elevation of continental surface water, such as inland seas, lakes, rivers, and more recently wetland zones. The surface water level is measured within a terrestrial reference frame with a repeatability varying from 10 to 35 days depending on the orbit cycle of the satellite. With several decades of technique refinement, current data processing can be fairly simple or complex depending on the mission and the instrument tracking methods. Data acquisition is not affected by weather conditions, but the technique can have a number of limitations. Rapidly varying topography or complex terrain may inhibit the retrieval of good elevation data. The instruments can only operate in a profiling mode and do not have a true global view. Stage accuracies are also dependent on target size and surface roughness, which will limit worldwide surveying and limnological applications. However, there is the scope for systematic continental scale monitoring and the provision of new stage information where gauge data is absent. The technique is sufficiently advanced to have enabled a number of inland water case studies. Focussing on the large lakes, the links between lake evolution and the local climate cycle on seasonal to interannual timescales have been explored, and water storage balance for water management has also been brought into focus. Typically altimetric stage measurements can range in accuracy from a few centimetres (e.g., Great Lakes, USA) to tens of centimetres (e.g., Lake Chad, Africa), depending on size and wind conditions. In the case of the Aral Sea, contributing E-P (1.5 km3 yr−1), river run-off (3.0 km3 yr−1) and altimetry (1.5 km3 yr−1) errors combine to give a </w:instrText>
      </w:r>
      <w:r w:rsidR="00175F46">
        <w:rPr>
          <w:rFonts w:ascii="Cambria Math" w:hAnsi="Cambria Math" w:cs="Cambria Math"/>
          <w:sz w:val="22"/>
          <w:szCs w:val="22"/>
        </w:rPr>
        <w:instrText>∼</w:instrText>
      </w:r>
      <w:r w:rsidR="00175F46">
        <w:rPr>
          <w:rFonts w:asciiTheme="majorBidi" w:hAnsiTheme="majorBidi" w:cstheme="majorBidi"/>
          <w:sz w:val="22"/>
          <w:szCs w:val="22"/>
        </w:rPr>
        <w:instrText>3.5 km3</w:instrText>
      </w:r>
      <w:r w:rsidR="00175F46">
        <w:rPr>
          <w:rFonts w:ascii="Times New Roman" w:hAnsi="Times New Roman" w:cs="Times New Roman"/>
          <w:sz w:val="22"/>
          <w:szCs w:val="22"/>
        </w:rPr>
        <w:instrText> </w:instrText>
      </w:r>
      <w:r w:rsidR="00175F46">
        <w:rPr>
          <w:rFonts w:asciiTheme="majorBidi" w:hAnsiTheme="majorBidi" w:cstheme="majorBidi"/>
          <w:sz w:val="22"/>
          <w:szCs w:val="22"/>
        </w:rPr>
        <w:instrText>yr</w:instrText>
      </w:r>
      <w:r w:rsidR="00175F46">
        <w:rPr>
          <w:rFonts w:ascii="Times New Roman" w:hAnsi="Times New Roman" w:cs="Times New Roman"/>
          <w:sz w:val="22"/>
          <w:szCs w:val="22"/>
        </w:rPr>
        <w:instrText>−</w:instrText>
      </w:r>
      <w:r w:rsidR="00175F46">
        <w:rPr>
          <w:rFonts w:asciiTheme="majorBidi" w:hAnsiTheme="majorBidi" w:cstheme="majorBidi"/>
          <w:sz w:val="22"/>
          <w:szCs w:val="22"/>
        </w:rPr>
        <w:instrText xml:space="preserve">1 water mass balance error. Of particular interest are those lakes in arid and semi-arid regions where water is an essential economical resource. Anthropogenic influences (irrigation and the construction of dams) may strongly affect lake and inland sea evolution or affect the global water cycle in general, noting the worldwide development of large reservoirs over the last 50 years. With regards to societal and economic issues then, this article reviews several of the case studies focussing on the Aral and Caspian Seas, and Lakes Issykkul and Chad. To cite this article: J.-F. Crétaux, C. Birkett, C. R. Geoscience 338 (2006).\nRésumé\nDepuis plus de 10 ans, l'altimétrie satellitaire est une technique utilisée pour le suivi des variations de niveau des eaux continentales, telles que les lacs, les rivières, ou encore les zones inondées. Le niveau d'eau est mesuré avec une répétitivité de 10 à 35 jours selon le type d'orbite utilisé, et il est exprimé dans un système de référence terrestre ellipsoïdal. En fonction du type de la mission et du mode de fonctionnement des instruments en orbite, le traitement des mesures altimétriques est plus ou moins compliqué. Si la technique présente de nombreux avantages, entre autres de ne pas être affectée par les conditions météorologiques, comme dans le cas, par exemple, de l'imagerie satellitaire optique, elle peut toutefois présenter un certain nombre de limitations. Une topographie de surface aux alentours de la zone à étudier qui serait trop irrégulière peut, par exemple, restreindre fortement le nombre de mesures de qualité satisfaisante. Par ailleurs, les altimètres fournissant une mesure exactement au nadir du satellite, leur couverture spatiale dépend de l'espacement entre deux traces au sol, et ils ne permettent pas une vue d'ensemble de la Terre. Pour ces raisons, la précision des mesures effectuées par le biais de l'altimétrie satellitaire n'est pas homogène, et dépend, dans une large mesure, de la dimension des objets ciblés, de la rugosité de surface, limitant ainsi une surveillance globale de la Terre. Toutefois, cette technique est suffisamment avancée aujourd'hui et offre un potentiel intéressant pour le suivi systématique de l'eau de surface à l'échelle continentale, en particulier dans les nombreux cas d'objets non mesurés par des instruments au sol. Par exemple, les liens entre l'évolution des grands lacs et les effets climatiques à différentes échelles spatio-temporelles ont été étudiés, ainsi que des bilans hydrologiques dans certains cas spécifiques. À titre d'exemple, l'altimétrie permet un suivi régulier des grands lacs américains, avec une précision de l'ordre de quelques centimètres. Pour d'autres lacs, comme le lac Tchad, la précision obtenue à travers diverses études est de l'ordre de 10 cm. Dans un autre cas, celui de la mer d'Aral, de telles précisions ont permis d'établir, de façon assez précise, le bilan hydrologique au cours de la dernière décennie, et de faire un bilan d'erreur détaillé (en combinant les valeurs suivantes : évaporation moins précipitations, 1,5 km3 an−1, débit des fleuves, 3 km3 an−1, altimétrie, 3 km3 an−1, on obtient une précision de l'ordre de 3,5 km3 an−1 du bilan hydrologique total). Pour des régions extrêmement arides, comme l'Asie centrale, ce type l'évaluation des ressources en eaux est d'une importance capitale. Par ailleurs, les activités humaines ont une grande influence sur les eaux continentales par le biais de l'irrigation et de la construction de grands barrages. Le cycle global de l'eau peut en être affecté, notamment avec le grand développement, au cours de ces dernières années, de projets de barrages le long de tous les grands fleuves de la planète. Cet article fait le point sur l'utilisation de l'altimétrie satellitaire pour les eaux continentales, dans le cadre de ces questions d'actualités liées à la gestion de l'eau et aux changements climatiques, en se focalisant sur quelques cas caractéristiques, comme les mers d'Aral et Caspienne, les lacs Tchad et Issykkul. Pour citer cet article : J.-F. Crétaux, C. Birkett, C. R. Geoscience 338 (2006).","container-title":"La Terre observée depuis l'espace","DOI":"10.1016/j.crte.2006.08.002","ISSN":"1631-0713","issue":"14","journalAbbreviation":"Comptes Rendus Geoscience","page":"1098-1112","title":"Lake studies from satellite radar altimetry","volume":"338","author":[{"family":"Crétaux","given":"Jean-François"},{"family":"Birkett","given":"Charon"}],"issued":{"date-parts":[["2006",11,1]]}}}],"schema":"https://github.com/citation-style-language/schema/raw/master/csl-citation.json"} </w:instrText>
      </w:r>
      <w:r w:rsidR="00175F46">
        <w:rPr>
          <w:rFonts w:asciiTheme="majorBidi" w:hAnsiTheme="majorBidi" w:cstheme="majorBidi"/>
          <w:sz w:val="22"/>
          <w:szCs w:val="22"/>
        </w:rPr>
        <w:fldChar w:fldCharType="separate"/>
      </w:r>
      <w:r w:rsidR="00175F46" w:rsidRPr="00175F46">
        <w:rPr>
          <w:rFonts w:ascii="Times New Roman" w:hAnsi="Times New Roman" w:cs="Times New Roman"/>
          <w:kern w:val="0"/>
          <w:sz w:val="22"/>
        </w:rPr>
        <w:t>(Crétaux and Birkett, 2006)</w:t>
      </w:r>
      <w:r w:rsidR="00175F46">
        <w:rPr>
          <w:rFonts w:asciiTheme="majorBidi" w:hAnsiTheme="majorBidi" w:cstheme="majorBidi"/>
          <w:sz w:val="22"/>
          <w:szCs w:val="22"/>
        </w:rPr>
        <w:fldChar w:fldCharType="end"/>
      </w:r>
      <w:r w:rsidR="00B649E7" w:rsidRPr="00175F46">
        <w:rPr>
          <w:rFonts w:asciiTheme="majorBidi" w:hAnsiTheme="majorBidi" w:cstheme="majorBidi"/>
          <w:sz w:val="22"/>
          <w:szCs w:val="22"/>
        </w:rPr>
        <w:t>, and the corrected series were validated using Pearson's r, Root Mean Square Error (RMSE), and Nash–Sutcliffe Efficiency (NSE). Segment discontinuities exceeding the threshold were resolved through an additional cumulative offset correction.</w:t>
      </w:r>
    </w:p>
    <w:p w14:paraId="7E580EB1" w14:textId="6F849F80" w:rsidR="00812647" w:rsidRPr="009B4D65" w:rsidRDefault="00812647" w:rsidP="00996918">
      <w:pPr>
        <w:pStyle w:val="Heading2"/>
      </w:pPr>
      <w:r w:rsidRPr="009B4D65">
        <w:t>S</w:t>
      </w:r>
      <w:r w:rsidR="00430829" w:rsidRPr="009B4D65">
        <w:t>2</w:t>
      </w:r>
      <w:r w:rsidRPr="009B4D65">
        <w:t xml:space="preserve">.2 </w:t>
      </w:r>
      <w:r w:rsidR="00814185" w:rsidRPr="009B4D65">
        <w:t>Source Weighting and Series Assembly</w:t>
      </w:r>
    </w:p>
    <w:p w14:paraId="1338861A" w14:textId="2E55573B" w:rsidR="00812647" w:rsidRPr="009B4D65" w:rsidRDefault="00812647"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 xml:space="preserve">Source weights were assigned to each contributing altimetric series on the basis of the root-mean-squared error (RMSE) of the bias-corrected altimetric series relative to the in-situ gauge record during the overlapping period, using the inverse-variance weighting scheme described </w:t>
      </w:r>
      <w:r w:rsidRPr="00175F46">
        <w:rPr>
          <w:rFonts w:asciiTheme="majorBidi" w:hAnsiTheme="majorBidi" w:cstheme="majorBidi"/>
          <w:color w:val="000000" w:themeColor="text1"/>
          <w:sz w:val="22"/>
          <w:szCs w:val="22"/>
        </w:rPr>
        <w:t xml:space="preserve">in S1.4. The </w:t>
      </w:r>
      <w:r w:rsidRPr="009B4D65">
        <w:rPr>
          <w:rFonts w:asciiTheme="majorBidi" w:hAnsiTheme="majorBidi" w:cstheme="majorBidi"/>
          <w:sz w:val="22"/>
          <w:szCs w:val="22"/>
        </w:rPr>
        <w:t xml:space="preserve">derived weights are </w:t>
      </w:r>
      <w:r w:rsidRPr="00175F46">
        <w:rPr>
          <w:rFonts w:asciiTheme="majorBidi" w:hAnsiTheme="majorBidi" w:cstheme="majorBidi"/>
          <w:color w:val="000000" w:themeColor="text1"/>
          <w:sz w:val="22"/>
          <w:szCs w:val="22"/>
        </w:rPr>
        <w:t xml:space="preserve">reported in </w:t>
      </w:r>
      <w:r w:rsidR="00175F46" w:rsidRPr="00175F46">
        <w:rPr>
          <w:rFonts w:asciiTheme="majorBidi" w:hAnsiTheme="majorBidi" w:cstheme="majorBidi"/>
          <w:color w:val="000000" w:themeColor="text1"/>
          <w:sz w:val="22"/>
          <w:szCs w:val="22"/>
        </w:rPr>
        <w:fldChar w:fldCharType="begin"/>
      </w:r>
      <w:r w:rsidR="00175F46" w:rsidRPr="00175F46">
        <w:rPr>
          <w:rFonts w:asciiTheme="majorBidi" w:hAnsiTheme="majorBidi" w:cstheme="majorBidi"/>
          <w:color w:val="000000" w:themeColor="text1"/>
          <w:sz w:val="22"/>
          <w:szCs w:val="22"/>
        </w:rPr>
        <w:instrText xml:space="preserve"> REF _Ref232280544 \h  \* MERGEFORMAT </w:instrText>
      </w:r>
      <w:r w:rsidR="00175F46" w:rsidRPr="00175F46">
        <w:rPr>
          <w:rFonts w:asciiTheme="majorBidi" w:hAnsiTheme="majorBidi" w:cstheme="majorBidi"/>
          <w:color w:val="000000" w:themeColor="text1"/>
          <w:sz w:val="22"/>
          <w:szCs w:val="22"/>
        </w:rPr>
      </w:r>
      <w:r w:rsidR="00175F46" w:rsidRPr="00175F46">
        <w:rPr>
          <w:rFonts w:asciiTheme="majorBidi" w:hAnsiTheme="majorBidi" w:cstheme="majorBidi"/>
          <w:color w:val="000000" w:themeColor="text1"/>
          <w:sz w:val="22"/>
          <w:szCs w:val="22"/>
        </w:rPr>
        <w:fldChar w:fldCharType="separate"/>
      </w:r>
      <w:r w:rsidR="00175F46" w:rsidRPr="00175F46">
        <w:rPr>
          <w:rFonts w:asciiTheme="majorBidi" w:hAnsiTheme="majorBidi" w:cstheme="majorBidi"/>
          <w:sz w:val="22"/>
          <w:szCs w:val="22"/>
        </w:rPr>
        <w:t xml:space="preserve">Table S </w:t>
      </w:r>
      <w:r w:rsidR="00175F46" w:rsidRPr="00175F46">
        <w:rPr>
          <w:rFonts w:asciiTheme="majorBidi" w:hAnsiTheme="majorBidi" w:cstheme="majorBidi"/>
          <w:noProof/>
          <w:sz w:val="22"/>
          <w:szCs w:val="22"/>
        </w:rPr>
        <w:t>2</w:t>
      </w:r>
      <w:r w:rsidR="00175F46" w:rsidRPr="00175F46">
        <w:rPr>
          <w:rFonts w:asciiTheme="majorBidi" w:hAnsiTheme="majorBidi" w:cstheme="majorBidi"/>
          <w:color w:val="000000" w:themeColor="text1"/>
          <w:sz w:val="22"/>
          <w:szCs w:val="22"/>
        </w:rPr>
        <w:fldChar w:fldCharType="end"/>
      </w:r>
      <w:r w:rsidRPr="00175F46">
        <w:rPr>
          <w:rFonts w:asciiTheme="majorBidi" w:hAnsiTheme="majorBidi" w:cstheme="majorBidi"/>
          <w:color w:val="000000" w:themeColor="text1"/>
          <w:sz w:val="22"/>
          <w:szCs w:val="22"/>
        </w:rPr>
        <w:t xml:space="preserve"> and summarized </w:t>
      </w:r>
      <w:r w:rsidRPr="009B4D65">
        <w:rPr>
          <w:rFonts w:asciiTheme="majorBidi" w:hAnsiTheme="majorBidi" w:cstheme="majorBidi"/>
          <w:sz w:val="22"/>
          <w:szCs w:val="22"/>
        </w:rPr>
        <w:t>here.</w:t>
      </w:r>
    </w:p>
    <w:p w14:paraId="7A7D5933" w14:textId="77EDB527" w:rsidR="00812647" w:rsidRPr="009B4D65" w:rsidRDefault="00E95EA7" w:rsidP="009B4D65">
      <w:pPr>
        <w:spacing w:line="276" w:lineRule="auto"/>
        <w:rPr>
          <w:rFonts w:asciiTheme="majorBidi" w:hAnsiTheme="majorBidi" w:cstheme="majorBidi"/>
          <w:sz w:val="22"/>
          <w:szCs w:val="22"/>
        </w:rPr>
      </w:pPr>
      <w:r w:rsidRPr="00E95EA7">
        <w:rPr>
          <w:rStyle w:val="Heading2Char"/>
        </w:rPr>
        <w:t xml:space="preserve">S2.2.1. </w:t>
      </w:r>
      <w:r w:rsidR="00812647" w:rsidRPr="00E95EA7">
        <w:rPr>
          <w:rStyle w:val="Heading2Char"/>
        </w:rPr>
        <w:t>Lake İznik</w:t>
      </w:r>
      <w:r w:rsidRPr="00E95EA7">
        <w:rPr>
          <w:rStyle w:val="Heading2Char"/>
        </w:rPr>
        <w:t>:</w:t>
      </w:r>
      <w:r w:rsidR="00812647" w:rsidRPr="009B4D65">
        <w:rPr>
          <w:rFonts w:asciiTheme="majorBidi" w:hAnsiTheme="majorBidi" w:cstheme="majorBidi"/>
          <w:sz w:val="22"/>
          <w:szCs w:val="22"/>
        </w:rPr>
        <w:t xml:space="preserve"> The satellite altimetric series received a weight of </w:t>
      </w:r>
      <w:r w:rsidR="00812647" w:rsidRPr="00175F46">
        <w:rPr>
          <w:rFonts w:asciiTheme="majorBidi" w:hAnsiTheme="majorBidi" w:cstheme="majorBidi"/>
          <w:i/>
          <w:iCs/>
          <w:sz w:val="22"/>
          <w:szCs w:val="22"/>
        </w:rPr>
        <w:t>w</w:t>
      </w:r>
      <w:r w:rsidR="00812647" w:rsidRPr="009B4D65">
        <w:rPr>
          <w:rFonts w:asciiTheme="majorBidi" w:hAnsiTheme="majorBidi" w:cstheme="majorBidi"/>
          <w:sz w:val="22"/>
          <w:szCs w:val="22"/>
          <w:vertAlign w:val="subscript"/>
        </w:rPr>
        <w:t>sat</w:t>
      </w:r>
      <w:r w:rsidR="00812647" w:rsidRPr="009B4D65">
        <w:rPr>
          <w:rFonts w:asciiTheme="majorBidi" w:hAnsiTheme="majorBidi" w:cstheme="majorBidi"/>
          <w:sz w:val="22"/>
          <w:szCs w:val="22"/>
        </w:rPr>
        <w:t xml:space="preserve"> = 0.717 and the DAHITI series a weight of </w:t>
      </w:r>
      <w:r w:rsidR="00812647" w:rsidRPr="00175F46">
        <w:rPr>
          <w:rFonts w:asciiTheme="majorBidi" w:hAnsiTheme="majorBidi" w:cstheme="majorBidi"/>
          <w:i/>
          <w:iCs/>
          <w:sz w:val="22"/>
          <w:szCs w:val="22"/>
        </w:rPr>
        <w:t>w</w:t>
      </w:r>
      <w:r w:rsidR="00812647" w:rsidRPr="009B4D65">
        <w:rPr>
          <w:rFonts w:asciiTheme="majorBidi" w:hAnsiTheme="majorBidi" w:cstheme="majorBidi"/>
          <w:sz w:val="22"/>
          <w:szCs w:val="22"/>
          <w:vertAlign w:val="subscript"/>
        </w:rPr>
        <w:t>DAHITI</w:t>
      </w:r>
      <w:r w:rsidR="00812647" w:rsidRPr="009B4D65">
        <w:rPr>
          <w:rFonts w:asciiTheme="majorBidi" w:hAnsiTheme="majorBidi" w:cstheme="majorBidi"/>
          <w:sz w:val="22"/>
          <w:szCs w:val="22"/>
        </w:rPr>
        <w:t xml:space="preserve"> = 0.283. The higher weighting of the satellite record reflects its closer agreement with the İznik gauge series over the overlapping period. For the 116 months prior to the gauge record (January 1993–December 1999) and for the post-gauge period (October 2024–December 2024), the composite level was derived entirely from the satellite altimetric series, i.e., </w:t>
      </w:r>
      <w:r w:rsidR="00B7194B" w:rsidRPr="00175F46">
        <w:rPr>
          <w:rFonts w:asciiTheme="majorBidi" w:hAnsiTheme="majorBidi" w:cstheme="majorBidi"/>
          <w:i/>
          <w:iCs/>
          <w:sz w:val="22"/>
          <w:szCs w:val="22"/>
        </w:rPr>
        <w:t>w</w:t>
      </w:r>
      <w:r w:rsidR="00B7194B" w:rsidRPr="009B4D65">
        <w:rPr>
          <w:rFonts w:asciiTheme="majorBidi" w:hAnsiTheme="majorBidi" w:cstheme="majorBidi"/>
          <w:sz w:val="22"/>
          <w:szCs w:val="22"/>
          <w:vertAlign w:val="subscript"/>
        </w:rPr>
        <w:t>sat</w:t>
      </w:r>
      <w:r w:rsidR="00812647" w:rsidRPr="009B4D65">
        <w:rPr>
          <w:rFonts w:asciiTheme="majorBidi" w:hAnsiTheme="majorBidi" w:cstheme="majorBidi"/>
          <w:sz w:val="22"/>
          <w:szCs w:val="22"/>
        </w:rPr>
        <w:t xml:space="preserve"> = 1.0 for those intervals.</w:t>
      </w:r>
    </w:p>
    <w:p w14:paraId="35D3FDDA" w14:textId="42EDC735" w:rsidR="00812647" w:rsidRPr="009B4D65" w:rsidRDefault="00E95EA7" w:rsidP="009B4D65">
      <w:pPr>
        <w:spacing w:line="276" w:lineRule="auto"/>
        <w:rPr>
          <w:rFonts w:asciiTheme="majorBidi" w:hAnsiTheme="majorBidi" w:cstheme="majorBidi"/>
          <w:sz w:val="22"/>
          <w:szCs w:val="22"/>
        </w:rPr>
      </w:pPr>
      <w:r w:rsidRPr="00E95EA7">
        <w:rPr>
          <w:rStyle w:val="Heading2Char"/>
        </w:rPr>
        <w:t xml:space="preserve">S2.2.2. </w:t>
      </w:r>
      <w:r w:rsidR="00812647" w:rsidRPr="00E95EA7">
        <w:rPr>
          <w:rStyle w:val="Heading2Char"/>
        </w:rPr>
        <w:t>Lake Uluabat</w:t>
      </w:r>
      <w:r w:rsidRPr="00E95EA7">
        <w:rPr>
          <w:rStyle w:val="Heading2Char"/>
        </w:rPr>
        <w:t>:</w:t>
      </w:r>
      <w:r w:rsidR="00812647" w:rsidRPr="009B4D65">
        <w:rPr>
          <w:rFonts w:asciiTheme="majorBidi" w:hAnsiTheme="majorBidi" w:cstheme="majorBidi"/>
          <w:sz w:val="22"/>
          <w:szCs w:val="22"/>
        </w:rPr>
        <w:t xml:space="preserve"> Source weights at Uluabat were nearly equal and reversed relative to İznik, with </w:t>
      </w:r>
      <w:r w:rsidR="00B7194B" w:rsidRPr="00175F46">
        <w:rPr>
          <w:rFonts w:asciiTheme="majorBidi" w:hAnsiTheme="majorBidi" w:cstheme="majorBidi"/>
          <w:i/>
          <w:iCs/>
          <w:sz w:val="22"/>
          <w:szCs w:val="22"/>
        </w:rPr>
        <w:t>w</w:t>
      </w:r>
      <w:r w:rsidR="00B7194B" w:rsidRPr="009B4D65">
        <w:rPr>
          <w:rFonts w:asciiTheme="majorBidi" w:hAnsiTheme="majorBidi" w:cstheme="majorBidi"/>
          <w:sz w:val="22"/>
          <w:szCs w:val="22"/>
          <w:vertAlign w:val="subscript"/>
        </w:rPr>
        <w:t>sat</w:t>
      </w:r>
      <w:r w:rsidR="00812647" w:rsidRPr="009B4D65">
        <w:rPr>
          <w:rFonts w:asciiTheme="majorBidi" w:hAnsiTheme="majorBidi" w:cstheme="majorBidi"/>
          <w:sz w:val="22"/>
          <w:szCs w:val="22"/>
        </w:rPr>
        <w:t xml:space="preserve"> = 0.452 and </w:t>
      </w:r>
      <w:r w:rsidR="00812647" w:rsidRPr="00175F46">
        <w:rPr>
          <w:rFonts w:asciiTheme="majorBidi" w:hAnsiTheme="majorBidi" w:cstheme="majorBidi"/>
          <w:i/>
          <w:iCs/>
          <w:sz w:val="22"/>
          <w:szCs w:val="22"/>
        </w:rPr>
        <w:t>w</w:t>
      </w:r>
      <w:r w:rsidR="00812647" w:rsidRPr="009B4D65">
        <w:rPr>
          <w:rFonts w:asciiTheme="majorBidi" w:hAnsiTheme="majorBidi" w:cstheme="majorBidi"/>
          <w:sz w:val="22"/>
          <w:szCs w:val="22"/>
          <w:vertAlign w:val="subscript"/>
        </w:rPr>
        <w:t>DAHITI</w:t>
      </w:r>
      <w:r w:rsidR="00812647" w:rsidRPr="009B4D65">
        <w:rPr>
          <w:rFonts w:asciiTheme="majorBidi" w:hAnsiTheme="majorBidi" w:cstheme="majorBidi"/>
          <w:sz w:val="22"/>
          <w:szCs w:val="22"/>
        </w:rPr>
        <w:t xml:space="preserve"> = 0.548. The slightly higher DAHITI weight indicates that, at this site, the DAHITI product tracked the gauge record marginally more closely than the radar altimetric series during the overlapping window, likely reflecting Uluabat's wider water surface and more stable radar backscatter geometry compared to the narrower İznik basin. For months prior to the gauge record (January 1993–September 2003) and after its termination, the composite relies on the weighted combination of the two </w:t>
      </w:r>
      <w:r w:rsidR="00812647" w:rsidRPr="009B4D65">
        <w:rPr>
          <w:rFonts w:asciiTheme="majorBidi" w:hAnsiTheme="majorBidi" w:cstheme="majorBidi"/>
          <w:sz w:val="22"/>
          <w:szCs w:val="22"/>
        </w:rPr>
        <w:lastRenderedPageBreak/>
        <w:t>satellite sources in the ratio reported above. For months where only one satellite source is available (i.e., before DAHITI coverage commences, May 2016), the composite reverts to the single available source.</w:t>
      </w:r>
    </w:p>
    <w:p w14:paraId="409C6DBE" w14:textId="06C8C0C2" w:rsidR="00D54720" w:rsidRPr="009B4D65" w:rsidRDefault="002F41C5" w:rsidP="002F41C5">
      <w:pPr>
        <w:pStyle w:val="Caption"/>
        <w:rPr>
          <w:rFonts w:cstheme="majorBidi"/>
          <w:sz w:val="22"/>
          <w:szCs w:val="22"/>
        </w:rPr>
      </w:pPr>
      <w:bookmarkStart w:id="2" w:name="_Ref232280544"/>
      <w:r>
        <w:t xml:space="preserve">Table S </w:t>
      </w:r>
      <w:fldSimple w:instr=" SEQ Table_S \* ARABIC ">
        <w:r>
          <w:rPr>
            <w:noProof/>
          </w:rPr>
          <w:t>2</w:t>
        </w:r>
      </w:fldSimple>
      <w:bookmarkEnd w:id="2"/>
      <w:r>
        <w:t xml:space="preserve">. </w:t>
      </w:r>
      <w:r w:rsidR="00D54720" w:rsidRPr="009B4D65">
        <w:rPr>
          <w:rFonts w:cstheme="majorBidi"/>
          <w:sz w:val="22"/>
          <w:szCs w:val="22"/>
        </w:rPr>
        <w:t>Composite series data sources, temporal coverage, and derived source weights for the two study lakes.</w:t>
      </w:r>
    </w:p>
    <w:tbl>
      <w:tblPr>
        <w:tblStyle w:val="ElsevierFormate"/>
        <w:tblW w:w="0" w:type="auto"/>
        <w:tblLook w:val="04A0" w:firstRow="1" w:lastRow="0" w:firstColumn="1" w:lastColumn="0" w:noHBand="0" w:noVBand="1"/>
      </w:tblPr>
      <w:tblGrid>
        <w:gridCol w:w="913"/>
        <w:gridCol w:w="1634"/>
        <w:gridCol w:w="1830"/>
        <w:gridCol w:w="1232"/>
        <w:gridCol w:w="2138"/>
        <w:gridCol w:w="1613"/>
      </w:tblGrid>
      <w:tr w:rsidR="00D54720" w:rsidRPr="009B4D65" w14:paraId="5C4896F1" w14:textId="77777777" w:rsidTr="00DE6960">
        <w:tc>
          <w:tcPr>
            <w:tcW w:w="0" w:type="auto"/>
            <w:tcBorders>
              <w:top w:val="single" w:sz="4" w:space="0" w:color="auto"/>
              <w:bottom w:val="single" w:sz="4" w:space="0" w:color="auto"/>
            </w:tcBorders>
            <w:hideMark/>
          </w:tcPr>
          <w:p w14:paraId="4C2AE711" w14:textId="77777777" w:rsidR="00D54720" w:rsidRPr="009B4D65" w:rsidRDefault="00D54720"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Lake</w:t>
            </w:r>
          </w:p>
        </w:tc>
        <w:tc>
          <w:tcPr>
            <w:tcW w:w="0" w:type="auto"/>
            <w:tcBorders>
              <w:top w:val="single" w:sz="4" w:space="0" w:color="auto"/>
              <w:bottom w:val="single" w:sz="4" w:space="0" w:color="auto"/>
            </w:tcBorders>
            <w:hideMark/>
          </w:tcPr>
          <w:p w14:paraId="24EF573C" w14:textId="77777777" w:rsidR="00D54720" w:rsidRPr="009B4D65" w:rsidRDefault="00D54720"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Source</w:t>
            </w:r>
          </w:p>
        </w:tc>
        <w:tc>
          <w:tcPr>
            <w:tcW w:w="0" w:type="auto"/>
            <w:tcBorders>
              <w:top w:val="single" w:sz="4" w:space="0" w:color="auto"/>
              <w:bottom w:val="single" w:sz="4" w:space="0" w:color="auto"/>
            </w:tcBorders>
            <w:hideMark/>
          </w:tcPr>
          <w:p w14:paraId="0CF26D65" w14:textId="77777777" w:rsidR="00D54720" w:rsidRPr="009B4D65" w:rsidRDefault="00D54720"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Period</w:t>
            </w:r>
          </w:p>
        </w:tc>
        <w:tc>
          <w:tcPr>
            <w:tcW w:w="0" w:type="auto"/>
            <w:tcBorders>
              <w:top w:val="single" w:sz="4" w:space="0" w:color="auto"/>
              <w:bottom w:val="single" w:sz="4" w:space="0" w:color="auto"/>
            </w:tcBorders>
            <w:hideMark/>
          </w:tcPr>
          <w:p w14:paraId="4B5B71F0" w14:textId="77777777" w:rsidR="00D54720" w:rsidRPr="009B4D65" w:rsidRDefault="00D54720"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N (months)</w:t>
            </w:r>
          </w:p>
        </w:tc>
        <w:tc>
          <w:tcPr>
            <w:tcW w:w="0" w:type="auto"/>
            <w:tcBorders>
              <w:top w:val="single" w:sz="4" w:space="0" w:color="auto"/>
              <w:bottom w:val="single" w:sz="4" w:space="0" w:color="auto"/>
            </w:tcBorders>
            <w:hideMark/>
          </w:tcPr>
          <w:p w14:paraId="0E2EF183" w14:textId="77777777" w:rsidR="00D54720" w:rsidRPr="009B4D65" w:rsidRDefault="00D54720"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Overlap with gauge (N)</w:t>
            </w:r>
          </w:p>
        </w:tc>
        <w:tc>
          <w:tcPr>
            <w:tcW w:w="0" w:type="auto"/>
            <w:tcBorders>
              <w:top w:val="single" w:sz="4" w:space="0" w:color="auto"/>
              <w:bottom w:val="single" w:sz="4" w:space="0" w:color="auto"/>
            </w:tcBorders>
            <w:hideMark/>
          </w:tcPr>
          <w:p w14:paraId="39F3E297" w14:textId="77777777" w:rsidR="00D54720" w:rsidRPr="009B4D65" w:rsidRDefault="00D54720"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Assigned weight</w:t>
            </w:r>
          </w:p>
        </w:tc>
      </w:tr>
      <w:tr w:rsidR="00D54720" w:rsidRPr="009B4D65" w14:paraId="789D91B3" w14:textId="77777777" w:rsidTr="00DE6960">
        <w:tc>
          <w:tcPr>
            <w:tcW w:w="0" w:type="auto"/>
            <w:tcBorders>
              <w:top w:val="single" w:sz="4" w:space="0" w:color="auto"/>
            </w:tcBorders>
            <w:hideMark/>
          </w:tcPr>
          <w:p w14:paraId="67D37E74"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İznik</w:t>
            </w:r>
          </w:p>
        </w:tc>
        <w:tc>
          <w:tcPr>
            <w:tcW w:w="0" w:type="auto"/>
            <w:tcBorders>
              <w:top w:val="single" w:sz="4" w:space="0" w:color="auto"/>
            </w:tcBorders>
            <w:hideMark/>
          </w:tcPr>
          <w:p w14:paraId="37A71F5A"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Satellite altimetry</w:t>
            </w:r>
          </w:p>
        </w:tc>
        <w:tc>
          <w:tcPr>
            <w:tcW w:w="0" w:type="auto"/>
            <w:tcBorders>
              <w:top w:val="single" w:sz="4" w:space="0" w:color="auto"/>
            </w:tcBorders>
            <w:hideMark/>
          </w:tcPr>
          <w:p w14:paraId="216A9929"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Jan 1993–Dec 2024</w:t>
            </w:r>
          </w:p>
        </w:tc>
        <w:tc>
          <w:tcPr>
            <w:tcW w:w="0" w:type="auto"/>
            <w:tcBorders>
              <w:top w:val="single" w:sz="4" w:space="0" w:color="auto"/>
            </w:tcBorders>
            <w:hideMark/>
          </w:tcPr>
          <w:p w14:paraId="11828F17"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384</w:t>
            </w:r>
          </w:p>
        </w:tc>
        <w:tc>
          <w:tcPr>
            <w:tcW w:w="0" w:type="auto"/>
            <w:tcBorders>
              <w:top w:val="single" w:sz="4" w:space="0" w:color="auto"/>
            </w:tcBorders>
            <w:hideMark/>
          </w:tcPr>
          <w:p w14:paraId="58B82CFC"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268</w:t>
            </w:r>
          </w:p>
        </w:tc>
        <w:tc>
          <w:tcPr>
            <w:tcW w:w="0" w:type="auto"/>
            <w:tcBorders>
              <w:top w:val="single" w:sz="4" w:space="0" w:color="auto"/>
            </w:tcBorders>
            <w:hideMark/>
          </w:tcPr>
          <w:p w14:paraId="2CA2B243"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0.717</w:t>
            </w:r>
          </w:p>
        </w:tc>
      </w:tr>
      <w:tr w:rsidR="00D54720" w:rsidRPr="009B4D65" w14:paraId="63040B78" w14:textId="77777777" w:rsidTr="00DE6960">
        <w:tc>
          <w:tcPr>
            <w:tcW w:w="0" w:type="auto"/>
            <w:hideMark/>
          </w:tcPr>
          <w:p w14:paraId="4FEB664E"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İznik</w:t>
            </w:r>
          </w:p>
        </w:tc>
        <w:tc>
          <w:tcPr>
            <w:tcW w:w="0" w:type="auto"/>
            <w:hideMark/>
          </w:tcPr>
          <w:p w14:paraId="14C095EE"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DAHITI</w:t>
            </w:r>
          </w:p>
        </w:tc>
        <w:tc>
          <w:tcPr>
            <w:tcW w:w="0" w:type="auto"/>
            <w:hideMark/>
          </w:tcPr>
          <w:p w14:paraId="3B448BE6"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May 2016–Dec 2024</w:t>
            </w:r>
          </w:p>
        </w:tc>
        <w:tc>
          <w:tcPr>
            <w:tcW w:w="0" w:type="auto"/>
            <w:hideMark/>
          </w:tcPr>
          <w:p w14:paraId="4FB7D87C"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104</w:t>
            </w:r>
          </w:p>
        </w:tc>
        <w:tc>
          <w:tcPr>
            <w:tcW w:w="0" w:type="auto"/>
            <w:hideMark/>
          </w:tcPr>
          <w:p w14:paraId="5AF8F665"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92</w:t>
            </w:r>
          </w:p>
        </w:tc>
        <w:tc>
          <w:tcPr>
            <w:tcW w:w="0" w:type="auto"/>
            <w:hideMark/>
          </w:tcPr>
          <w:p w14:paraId="1C11695E"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0.283</w:t>
            </w:r>
          </w:p>
        </w:tc>
      </w:tr>
      <w:tr w:rsidR="00D54720" w:rsidRPr="009B4D65" w14:paraId="740BEA04" w14:textId="77777777" w:rsidTr="00DE6960">
        <w:tc>
          <w:tcPr>
            <w:tcW w:w="0" w:type="auto"/>
            <w:hideMark/>
          </w:tcPr>
          <w:p w14:paraId="2D38F002"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İznik</w:t>
            </w:r>
          </w:p>
        </w:tc>
        <w:tc>
          <w:tcPr>
            <w:tcW w:w="0" w:type="auto"/>
            <w:hideMark/>
          </w:tcPr>
          <w:p w14:paraId="7C5C4867" w14:textId="713DF03E" w:rsidR="00D54720" w:rsidRPr="009B4D65" w:rsidRDefault="0015112A" w:rsidP="009B4D65">
            <w:pPr>
              <w:spacing w:line="276" w:lineRule="auto"/>
              <w:jc w:val="center"/>
              <w:rPr>
                <w:rFonts w:asciiTheme="majorBidi" w:hAnsiTheme="majorBidi" w:cstheme="majorBidi"/>
                <w:szCs w:val="22"/>
              </w:rPr>
            </w:pPr>
            <w:r>
              <w:rPr>
                <w:rFonts w:asciiTheme="majorBidi" w:hAnsiTheme="majorBidi" w:cstheme="majorBidi"/>
                <w:szCs w:val="22"/>
              </w:rPr>
              <w:t>DSI</w:t>
            </w:r>
          </w:p>
        </w:tc>
        <w:tc>
          <w:tcPr>
            <w:tcW w:w="0" w:type="auto"/>
            <w:hideMark/>
          </w:tcPr>
          <w:p w14:paraId="7B5282C9"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Jan 2000–Sep 2024</w:t>
            </w:r>
          </w:p>
        </w:tc>
        <w:tc>
          <w:tcPr>
            <w:tcW w:w="0" w:type="auto"/>
            <w:hideMark/>
          </w:tcPr>
          <w:p w14:paraId="27706477"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268</w:t>
            </w:r>
          </w:p>
        </w:tc>
        <w:tc>
          <w:tcPr>
            <w:tcW w:w="0" w:type="auto"/>
            <w:hideMark/>
          </w:tcPr>
          <w:p w14:paraId="1DCADE0F"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w:t>
            </w:r>
          </w:p>
        </w:tc>
        <w:tc>
          <w:tcPr>
            <w:tcW w:w="0" w:type="auto"/>
            <w:hideMark/>
          </w:tcPr>
          <w:p w14:paraId="0AB59B1A"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Reference</w:t>
            </w:r>
          </w:p>
        </w:tc>
      </w:tr>
      <w:tr w:rsidR="00D54720" w:rsidRPr="009B4D65" w14:paraId="08DE81BA" w14:textId="77777777" w:rsidTr="00DE6960">
        <w:tc>
          <w:tcPr>
            <w:tcW w:w="0" w:type="auto"/>
            <w:hideMark/>
          </w:tcPr>
          <w:p w14:paraId="081D96CA"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722E7642"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Satellite altimetry</w:t>
            </w:r>
          </w:p>
        </w:tc>
        <w:tc>
          <w:tcPr>
            <w:tcW w:w="0" w:type="auto"/>
            <w:hideMark/>
          </w:tcPr>
          <w:p w14:paraId="7B7BA8A0"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Jan 1993–Dec 2024</w:t>
            </w:r>
          </w:p>
        </w:tc>
        <w:tc>
          <w:tcPr>
            <w:tcW w:w="0" w:type="auto"/>
            <w:hideMark/>
          </w:tcPr>
          <w:p w14:paraId="5200FCA2"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384</w:t>
            </w:r>
          </w:p>
        </w:tc>
        <w:tc>
          <w:tcPr>
            <w:tcW w:w="0" w:type="auto"/>
            <w:hideMark/>
          </w:tcPr>
          <w:p w14:paraId="0AE8AC18"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245</w:t>
            </w:r>
          </w:p>
        </w:tc>
        <w:tc>
          <w:tcPr>
            <w:tcW w:w="0" w:type="auto"/>
            <w:hideMark/>
          </w:tcPr>
          <w:p w14:paraId="1B1ED503"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0.452</w:t>
            </w:r>
          </w:p>
        </w:tc>
      </w:tr>
      <w:tr w:rsidR="00D54720" w:rsidRPr="009B4D65" w14:paraId="6958FBB4" w14:textId="77777777" w:rsidTr="00DE6960">
        <w:tc>
          <w:tcPr>
            <w:tcW w:w="0" w:type="auto"/>
            <w:hideMark/>
          </w:tcPr>
          <w:p w14:paraId="5B23616F"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775DC73F"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DAHITI</w:t>
            </w:r>
          </w:p>
        </w:tc>
        <w:tc>
          <w:tcPr>
            <w:tcW w:w="0" w:type="auto"/>
            <w:hideMark/>
          </w:tcPr>
          <w:p w14:paraId="63B1B99D"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May 2016–Dec 2024</w:t>
            </w:r>
          </w:p>
        </w:tc>
        <w:tc>
          <w:tcPr>
            <w:tcW w:w="0" w:type="auto"/>
            <w:hideMark/>
          </w:tcPr>
          <w:p w14:paraId="342AB472"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102</w:t>
            </w:r>
          </w:p>
        </w:tc>
        <w:tc>
          <w:tcPr>
            <w:tcW w:w="0" w:type="auto"/>
            <w:hideMark/>
          </w:tcPr>
          <w:p w14:paraId="65594F48"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99</w:t>
            </w:r>
          </w:p>
        </w:tc>
        <w:tc>
          <w:tcPr>
            <w:tcW w:w="0" w:type="auto"/>
            <w:hideMark/>
          </w:tcPr>
          <w:p w14:paraId="2E435D24"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0.548</w:t>
            </w:r>
          </w:p>
        </w:tc>
      </w:tr>
      <w:tr w:rsidR="00D54720" w:rsidRPr="009B4D65" w14:paraId="45343E38" w14:textId="77777777" w:rsidTr="00DE6960">
        <w:tc>
          <w:tcPr>
            <w:tcW w:w="0" w:type="auto"/>
            <w:hideMark/>
          </w:tcPr>
          <w:p w14:paraId="15BD0920"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1013D736" w14:textId="55088559" w:rsidR="00D54720" w:rsidRPr="009B4D65" w:rsidRDefault="0015112A" w:rsidP="009B4D65">
            <w:pPr>
              <w:spacing w:line="276" w:lineRule="auto"/>
              <w:jc w:val="center"/>
              <w:rPr>
                <w:rFonts w:asciiTheme="majorBidi" w:hAnsiTheme="majorBidi" w:cstheme="majorBidi"/>
                <w:szCs w:val="22"/>
              </w:rPr>
            </w:pPr>
            <w:r>
              <w:rPr>
                <w:rFonts w:asciiTheme="majorBidi" w:hAnsiTheme="majorBidi" w:cstheme="majorBidi"/>
                <w:szCs w:val="22"/>
              </w:rPr>
              <w:t>DSI</w:t>
            </w:r>
          </w:p>
        </w:tc>
        <w:tc>
          <w:tcPr>
            <w:tcW w:w="0" w:type="auto"/>
            <w:hideMark/>
          </w:tcPr>
          <w:p w14:paraId="6433EA23"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Oct 2003–Sep 2024</w:t>
            </w:r>
          </w:p>
        </w:tc>
        <w:tc>
          <w:tcPr>
            <w:tcW w:w="0" w:type="auto"/>
            <w:hideMark/>
          </w:tcPr>
          <w:p w14:paraId="36AA3168"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245</w:t>
            </w:r>
          </w:p>
        </w:tc>
        <w:tc>
          <w:tcPr>
            <w:tcW w:w="0" w:type="auto"/>
            <w:hideMark/>
          </w:tcPr>
          <w:p w14:paraId="3A3643D0"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w:t>
            </w:r>
          </w:p>
        </w:tc>
        <w:tc>
          <w:tcPr>
            <w:tcW w:w="0" w:type="auto"/>
            <w:hideMark/>
          </w:tcPr>
          <w:p w14:paraId="4ED46505" w14:textId="77777777" w:rsidR="00D54720" w:rsidRPr="009B4D65" w:rsidRDefault="00D54720" w:rsidP="009B4D65">
            <w:pPr>
              <w:spacing w:line="276" w:lineRule="auto"/>
              <w:jc w:val="center"/>
              <w:rPr>
                <w:rFonts w:asciiTheme="majorBidi" w:hAnsiTheme="majorBidi" w:cstheme="majorBidi"/>
                <w:szCs w:val="22"/>
              </w:rPr>
            </w:pPr>
            <w:r w:rsidRPr="009B4D65">
              <w:rPr>
                <w:rFonts w:asciiTheme="majorBidi" w:hAnsiTheme="majorBidi" w:cstheme="majorBidi"/>
                <w:szCs w:val="22"/>
              </w:rPr>
              <w:t>Reference</w:t>
            </w:r>
          </w:p>
        </w:tc>
      </w:tr>
    </w:tbl>
    <w:p w14:paraId="0FF6E457" w14:textId="77777777" w:rsidR="00D54720" w:rsidRPr="009B4D65" w:rsidRDefault="00D54720" w:rsidP="009B4D65">
      <w:pPr>
        <w:spacing w:line="276" w:lineRule="auto"/>
        <w:rPr>
          <w:rFonts w:asciiTheme="majorBidi" w:hAnsiTheme="majorBidi" w:cstheme="majorBidi"/>
          <w:sz w:val="22"/>
          <w:szCs w:val="22"/>
        </w:rPr>
      </w:pPr>
    </w:p>
    <w:p w14:paraId="0AD67548" w14:textId="75A76BE3" w:rsidR="00812647" w:rsidRPr="009B4D65" w:rsidRDefault="00812647"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 xml:space="preserve">The difference in source weighting between the two lakes reflects genuine, measurable differences in altimetric performance and should not be interpreted as a quality judgment on either product in isolation; both series were found to be adequate for SLLI construction once bias-corrected, as confirmed by the near-perfect </w:t>
      </w:r>
      <w:r w:rsidR="00175F46" w:rsidRPr="009B4D65">
        <w:rPr>
          <w:rFonts w:asciiTheme="majorBidi" w:hAnsiTheme="majorBidi" w:cstheme="majorBidi"/>
          <w:sz w:val="22"/>
          <w:szCs w:val="22"/>
        </w:rPr>
        <w:t>leave-one-out (LOO)</w:t>
      </w:r>
      <w:r w:rsidRPr="009B4D65">
        <w:rPr>
          <w:rFonts w:asciiTheme="majorBidi" w:hAnsiTheme="majorBidi" w:cstheme="majorBidi"/>
          <w:sz w:val="22"/>
          <w:szCs w:val="22"/>
        </w:rPr>
        <w:t xml:space="preserve"> stability statistics reported </w:t>
      </w:r>
      <w:r w:rsidRPr="00175F46">
        <w:rPr>
          <w:rFonts w:asciiTheme="majorBidi" w:hAnsiTheme="majorBidi" w:cstheme="majorBidi"/>
          <w:color w:val="000000" w:themeColor="text1"/>
          <w:sz w:val="22"/>
          <w:szCs w:val="22"/>
        </w:rPr>
        <w:t xml:space="preserve">in Section </w:t>
      </w:r>
      <w:r w:rsidR="00175F46" w:rsidRPr="00175F46">
        <w:rPr>
          <w:rFonts w:asciiTheme="majorBidi" w:hAnsiTheme="majorBidi" w:cstheme="majorBidi"/>
          <w:color w:val="000000" w:themeColor="text1"/>
          <w:sz w:val="22"/>
          <w:szCs w:val="22"/>
        </w:rPr>
        <w:t>3</w:t>
      </w:r>
      <w:r w:rsidRPr="00175F46">
        <w:rPr>
          <w:rFonts w:asciiTheme="majorBidi" w:hAnsiTheme="majorBidi" w:cstheme="majorBidi"/>
          <w:color w:val="000000" w:themeColor="text1"/>
          <w:sz w:val="22"/>
          <w:szCs w:val="22"/>
        </w:rPr>
        <w:t>.</w:t>
      </w:r>
      <w:r w:rsidR="00175F46" w:rsidRPr="00175F46">
        <w:rPr>
          <w:rFonts w:asciiTheme="majorBidi" w:hAnsiTheme="majorBidi" w:cstheme="majorBidi"/>
          <w:color w:val="000000" w:themeColor="text1"/>
          <w:sz w:val="22"/>
          <w:szCs w:val="22"/>
        </w:rPr>
        <w:t>3</w:t>
      </w:r>
      <w:r w:rsidRPr="00175F46">
        <w:rPr>
          <w:rFonts w:asciiTheme="majorBidi" w:hAnsiTheme="majorBidi" w:cstheme="majorBidi"/>
          <w:color w:val="000000" w:themeColor="text1"/>
          <w:sz w:val="22"/>
          <w:szCs w:val="22"/>
        </w:rPr>
        <w:t xml:space="preserve">.2 </w:t>
      </w:r>
      <w:r w:rsidRPr="00175F46">
        <w:rPr>
          <w:rFonts w:asciiTheme="majorBidi" w:hAnsiTheme="majorBidi" w:cstheme="majorBidi"/>
          <w:sz w:val="22"/>
          <w:szCs w:val="22"/>
        </w:rPr>
        <w:t>(r</w:t>
      </w:r>
      <w:r w:rsidRPr="009B4D65">
        <w:rPr>
          <w:rFonts w:asciiTheme="majorBidi" w:hAnsiTheme="majorBidi" w:cstheme="majorBidi"/>
          <w:sz w:val="22"/>
          <w:szCs w:val="22"/>
        </w:rPr>
        <w:t xml:space="preserve"> ≥ 0.998 for both lakes). The </w:t>
      </w:r>
      <w:r w:rsidRPr="00175F46">
        <w:rPr>
          <w:rFonts w:asciiTheme="majorBidi" w:hAnsiTheme="majorBidi" w:cstheme="majorBidi"/>
          <w:sz w:val="22"/>
          <w:szCs w:val="22"/>
        </w:rPr>
        <w:t>composite Best_Level_m series for each</w:t>
      </w:r>
      <w:r w:rsidRPr="009B4D65">
        <w:rPr>
          <w:rFonts w:asciiTheme="majorBidi" w:hAnsiTheme="majorBidi" w:cstheme="majorBidi"/>
          <w:sz w:val="22"/>
          <w:szCs w:val="22"/>
        </w:rPr>
        <w:t xml:space="preserve"> lake was verified to contain no months with missing values across the full 384-month record (January 1993–December 2024), confirming that the integration procedure successfully produced a complete continuous input to the SLLI computation. The final SLLI series thus draws on in-situ observations where available and on calibrated remote sensing data elsewhere, with the transition between regimes handled transparently through the source weights described here.</w:t>
      </w:r>
    </w:p>
    <w:p w14:paraId="3C037268" w14:textId="77777777" w:rsidR="00001BB2" w:rsidRPr="008F4FB6" w:rsidRDefault="00001BB2" w:rsidP="009B4D65">
      <w:pPr>
        <w:pStyle w:val="Heading2"/>
        <w:spacing w:line="276" w:lineRule="auto"/>
        <w:rPr>
          <w:color w:val="000000" w:themeColor="text1"/>
          <w:szCs w:val="22"/>
        </w:rPr>
      </w:pPr>
      <w:r w:rsidRPr="008F4FB6">
        <w:rPr>
          <w:color w:val="000000" w:themeColor="text1"/>
          <w:szCs w:val="22"/>
        </w:rPr>
        <w:t>S2.3. SLLI distributional robustness</w:t>
      </w:r>
    </w:p>
    <w:p w14:paraId="5DEF2FA3" w14:textId="29E5F890" w:rsidR="00001BB2" w:rsidRPr="009B4D65" w:rsidRDefault="00001BB2" w:rsidP="009B4D65">
      <w:pPr>
        <w:spacing w:after="120" w:line="276" w:lineRule="auto"/>
        <w:rPr>
          <w:rFonts w:asciiTheme="majorBidi" w:hAnsiTheme="majorBidi" w:cstheme="majorBidi"/>
          <w:sz w:val="22"/>
          <w:szCs w:val="22"/>
        </w:rPr>
      </w:pPr>
      <w:r w:rsidRPr="009B4D65">
        <w:rPr>
          <w:rFonts w:asciiTheme="majorBidi" w:hAnsiTheme="majorBidi" w:cstheme="majorBidi"/>
          <w:sz w:val="22"/>
          <w:szCs w:val="22"/>
        </w:rPr>
        <w:t>Across empirical, gamma, log-normal, and Weibull assumptions, SLLI values were highly consistent throughout the 384-month record. Pairwise correlations among the three parametric variants exceeded 0.973 in all cases, and the gamma and log-normal fits were nearly identical. Agreement between the empirical quantile transformation and the parametric fits remained strong, although slightly weaker than among parametric variants.</w:t>
      </w:r>
    </w:p>
    <w:p w14:paraId="605DFB55" w14:textId="3A2E15C6" w:rsidR="00812647" w:rsidRPr="009B4D65" w:rsidRDefault="002F41C5" w:rsidP="002F41C5">
      <w:pPr>
        <w:pStyle w:val="Caption"/>
        <w:rPr>
          <w:rFonts w:cstheme="majorBidi"/>
          <w:sz w:val="22"/>
          <w:szCs w:val="22"/>
        </w:rPr>
      </w:pPr>
      <w:bookmarkStart w:id="3" w:name="_Ref232334161"/>
      <w:r>
        <w:t xml:space="preserve">Table S </w:t>
      </w:r>
      <w:fldSimple w:instr=" SEQ Table_S \* ARABIC ">
        <w:r>
          <w:rPr>
            <w:noProof/>
          </w:rPr>
          <w:t>3</w:t>
        </w:r>
      </w:fldSimple>
      <w:bookmarkEnd w:id="3"/>
      <w:r>
        <w:t>.</w:t>
      </w:r>
      <w:r>
        <w:rPr>
          <w:rFonts w:cstheme="majorBidi"/>
          <w:sz w:val="22"/>
          <w:szCs w:val="22"/>
        </w:rPr>
        <w:t xml:space="preserve"> </w:t>
      </w:r>
      <w:r w:rsidR="00812647" w:rsidRPr="009B4D65">
        <w:rPr>
          <w:rFonts w:cstheme="majorBidi"/>
          <w:sz w:val="22"/>
          <w:szCs w:val="22"/>
        </w:rPr>
        <w:t>Pairwise agreement statistics between SLLI variants computed from different distribution assumptions, over the full 384-month record.</w:t>
      </w:r>
    </w:p>
    <w:tbl>
      <w:tblPr>
        <w:tblStyle w:val="ElsevierFormate"/>
        <w:tblW w:w="0" w:type="auto"/>
        <w:tblLook w:val="04A0" w:firstRow="1" w:lastRow="0" w:firstColumn="1" w:lastColumn="0" w:noHBand="0" w:noVBand="1"/>
      </w:tblPr>
      <w:tblGrid>
        <w:gridCol w:w="913"/>
        <w:gridCol w:w="1116"/>
        <w:gridCol w:w="1006"/>
        <w:gridCol w:w="1001"/>
        <w:gridCol w:w="1212"/>
        <w:gridCol w:w="730"/>
        <w:gridCol w:w="852"/>
        <w:gridCol w:w="711"/>
        <w:gridCol w:w="711"/>
        <w:gridCol w:w="1108"/>
      </w:tblGrid>
      <w:tr w:rsidR="00812647" w:rsidRPr="009B4D65" w14:paraId="299B8CCE" w14:textId="77777777" w:rsidTr="00A85FF5">
        <w:tc>
          <w:tcPr>
            <w:tcW w:w="0" w:type="auto"/>
            <w:tcBorders>
              <w:top w:val="single" w:sz="4" w:space="0" w:color="auto"/>
              <w:bottom w:val="single" w:sz="4" w:space="0" w:color="auto"/>
            </w:tcBorders>
            <w:hideMark/>
          </w:tcPr>
          <w:p w14:paraId="107FE438"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Lake</w:t>
            </w:r>
          </w:p>
        </w:tc>
        <w:tc>
          <w:tcPr>
            <w:tcW w:w="0" w:type="auto"/>
            <w:tcBorders>
              <w:top w:val="single" w:sz="4" w:space="0" w:color="auto"/>
              <w:bottom w:val="single" w:sz="4" w:space="0" w:color="auto"/>
            </w:tcBorders>
            <w:hideMark/>
          </w:tcPr>
          <w:p w14:paraId="1562E0E2"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Method A</w:t>
            </w:r>
          </w:p>
        </w:tc>
        <w:tc>
          <w:tcPr>
            <w:tcW w:w="0" w:type="auto"/>
            <w:tcBorders>
              <w:top w:val="single" w:sz="4" w:space="0" w:color="auto"/>
              <w:bottom w:val="single" w:sz="4" w:space="0" w:color="auto"/>
            </w:tcBorders>
            <w:hideMark/>
          </w:tcPr>
          <w:p w14:paraId="0D59FBD9"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Method B</w:t>
            </w:r>
          </w:p>
        </w:tc>
        <w:tc>
          <w:tcPr>
            <w:tcW w:w="0" w:type="auto"/>
            <w:tcBorders>
              <w:top w:val="single" w:sz="4" w:space="0" w:color="auto"/>
              <w:bottom w:val="single" w:sz="4" w:space="0" w:color="auto"/>
            </w:tcBorders>
            <w:hideMark/>
          </w:tcPr>
          <w:p w14:paraId="501F5AB8"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Pearson r</w:t>
            </w:r>
          </w:p>
        </w:tc>
        <w:tc>
          <w:tcPr>
            <w:tcW w:w="0" w:type="auto"/>
            <w:tcBorders>
              <w:top w:val="single" w:sz="4" w:space="0" w:color="auto"/>
              <w:bottom w:val="single" w:sz="4" w:space="0" w:color="auto"/>
            </w:tcBorders>
            <w:hideMark/>
          </w:tcPr>
          <w:p w14:paraId="5DE82919"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Spearman ρ</w:t>
            </w:r>
          </w:p>
        </w:tc>
        <w:tc>
          <w:tcPr>
            <w:tcW w:w="0" w:type="auto"/>
            <w:tcBorders>
              <w:top w:val="single" w:sz="4" w:space="0" w:color="auto"/>
              <w:bottom w:val="single" w:sz="4" w:space="0" w:color="auto"/>
            </w:tcBorders>
            <w:hideMark/>
          </w:tcPr>
          <w:p w14:paraId="2E7D7F45"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MAE</w:t>
            </w:r>
          </w:p>
        </w:tc>
        <w:tc>
          <w:tcPr>
            <w:tcW w:w="0" w:type="auto"/>
            <w:tcBorders>
              <w:top w:val="single" w:sz="4" w:space="0" w:color="auto"/>
              <w:bottom w:val="single" w:sz="4" w:space="0" w:color="auto"/>
            </w:tcBorders>
            <w:hideMark/>
          </w:tcPr>
          <w:p w14:paraId="1F885615"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RMSE</w:t>
            </w:r>
          </w:p>
        </w:tc>
        <w:tc>
          <w:tcPr>
            <w:tcW w:w="0" w:type="auto"/>
            <w:tcBorders>
              <w:top w:val="single" w:sz="4" w:space="0" w:color="auto"/>
              <w:bottom w:val="single" w:sz="4" w:space="0" w:color="auto"/>
            </w:tcBorders>
            <w:hideMark/>
          </w:tcPr>
          <w:p w14:paraId="4C5B1934"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κ</w:t>
            </w:r>
          </w:p>
        </w:tc>
        <w:tc>
          <w:tcPr>
            <w:tcW w:w="0" w:type="auto"/>
            <w:tcBorders>
              <w:top w:val="single" w:sz="4" w:space="0" w:color="auto"/>
              <w:bottom w:val="single" w:sz="4" w:space="0" w:color="auto"/>
            </w:tcBorders>
            <w:hideMark/>
          </w:tcPr>
          <w:p w14:paraId="5DE2B4DC"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F1</w:t>
            </w:r>
          </w:p>
        </w:tc>
        <w:tc>
          <w:tcPr>
            <w:tcW w:w="0" w:type="auto"/>
            <w:tcBorders>
              <w:top w:val="single" w:sz="4" w:space="0" w:color="auto"/>
              <w:bottom w:val="single" w:sz="4" w:space="0" w:color="auto"/>
            </w:tcBorders>
            <w:hideMark/>
          </w:tcPr>
          <w:p w14:paraId="5D413503"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Accuracy</w:t>
            </w:r>
          </w:p>
        </w:tc>
      </w:tr>
      <w:tr w:rsidR="00812647" w:rsidRPr="009B4D65" w14:paraId="2176B3CE" w14:textId="77777777" w:rsidTr="00A85FF5">
        <w:tc>
          <w:tcPr>
            <w:tcW w:w="0" w:type="auto"/>
            <w:tcBorders>
              <w:top w:val="single" w:sz="4" w:space="0" w:color="auto"/>
            </w:tcBorders>
            <w:hideMark/>
          </w:tcPr>
          <w:p w14:paraId="4F75971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İznik</w:t>
            </w:r>
          </w:p>
        </w:tc>
        <w:tc>
          <w:tcPr>
            <w:tcW w:w="0" w:type="auto"/>
            <w:tcBorders>
              <w:top w:val="single" w:sz="4" w:space="0" w:color="auto"/>
            </w:tcBorders>
            <w:hideMark/>
          </w:tcPr>
          <w:p w14:paraId="6D317E6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Empirical</w:t>
            </w:r>
          </w:p>
        </w:tc>
        <w:tc>
          <w:tcPr>
            <w:tcW w:w="0" w:type="auto"/>
            <w:tcBorders>
              <w:top w:val="single" w:sz="4" w:space="0" w:color="auto"/>
            </w:tcBorders>
            <w:hideMark/>
          </w:tcPr>
          <w:p w14:paraId="1ECA3E3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Gamma</w:t>
            </w:r>
          </w:p>
        </w:tc>
        <w:tc>
          <w:tcPr>
            <w:tcW w:w="0" w:type="auto"/>
            <w:tcBorders>
              <w:top w:val="single" w:sz="4" w:space="0" w:color="auto"/>
            </w:tcBorders>
            <w:hideMark/>
          </w:tcPr>
          <w:p w14:paraId="4FC1518B"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0.919</w:t>
            </w:r>
          </w:p>
        </w:tc>
        <w:tc>
          <w:tcPr>
            <w:tcW w:w="0" w:type="auto"/>
            <w:tcBorders>
              <w:top w:val="single" w:sz="4" w:space="0" w:color="auto"/>
            </w:tcBorders>
            <w:hideMark/>
          </w:tcPr>
          <w:p w14:paraId="4662169D"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0.987</w:t>
            </w:r>
          </w:p>
        </w:tc>
        <w:tc>
          <w:tcPr>
            <w:tcW w:w="0" w:type="auto"/>
            <w:tcBorders>
              <w:top w:val="single" w:sz="4" w:space="0" w:color="auto"/>
            </w:tcBorders>
            <w:hideMark/>
          </w:tcPr>
          <w:p w14:paraId="3C0A6C10"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0.301</w:t>
            </w:r>
          </w:p>
        </w:tc>
        <w:tc>
          <w:tcPr>
            <w:tcW w:w="0" w:type="auto"/>
            <w:tcBorders>
              <w:top w:val="single" w:sz="4" w:space="0" w:color="auto"/>
            </w:tcBorders>
            <w:hideMark/>
          </w:tcPr>
          <w:p w14:paraId="76E07248"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0.393</w:t>
            </w:r>
          </w:p>
        </w:tc>
        <w:tc>
          <w:tcPr>
            <w:tcW w:w="0" w:type="auto"/>
            <w:tcBorders>
              <w:top w:val="single" w:sz="4" w:space="0" w:color="auto"/>
            </w:tcBorders>
            <w:hideMark/>
          </w:tcPr>
          <w:p w14:paraId="1B8D378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0.891</w:t>
            </w:r>
          </w:p>
        </w:tc>
        <w:tc>
          <w:tcPr>
            <w:tcW w:w="0" w:type="auto"/>
            <w:tcBorders>
              <w:top w:val="single" w:sz="4" w:space="0" w:color="auto"/>
            </w:tcBorders>
            <w:hideMark/>
          </w:tcPr>
          <w:p w14:paraId="139739BD"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0.906</w:t>
            </w:r>
          </w:p>
        </w:tc>
        <w:tc>
          <w:tcPr>
            <w:tcW w:w="0" w:type="auto"/>
            <w:tcBorders>
              <w:top w:val="single" w:sz="4" w:space="0" w:color="auto"/>
            </w:tcBorders>
            <w:hideMark/>
          </w:tcPr>
          <w:p w14:paraId="2B8ED46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0.974</w:t>
            </w:r>
          </w:p>
        </w:tc>
      </w:tr>
      <w:tr w:rsidR="00812647" w:rsidRPr="009B4D65" w14:paraId="52FA3A33" w14:textId="77777777" w:rsidTr="00A85FF5">
        <w:tc>
          <w:tcPr>
            <w:tcW w:w="0" w:type="auto"/>
            <w:hideMark/>
          </w:tcPr>
          <w:p w14:paraId="61DCB78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İznik</w:t>
            </w:r>
          </w:p>
        </w:tc>
        <w:tc>
          <w:tcPr>
            <w:tcW w:w="0" w:type="auto"/>
            <w:hideMark/>
          </w:tcPr>
          <w:p w14:paraId="6B78CF9D"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Empirical</w:t>
            </w:r>
          </w:p>
        </w:tc>
        <w:tc>
          <w:tcPr>
            <w:tcW w:w="0" w:type="auto"/>
            <w:hideMark/>
          </w:tcPr>
          <w:p w14:paraId="14C1AEA0"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Log-normal</w:t>
            </w:r>
          </w:p>
        </w:tc>
        <w:tc>
          <w:tcPr>
            <w:tcW w:w="0" w:type="auto"/>
            <w:hideMark/>
          </w:tcPr>
          <w:p w14:paraId="6554FBE0"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0.926</w:t>
            </w:r>
          </w:p>
        </w:tc>
        <w:tc>
          <w:tcPr>
            <w:tcW w:w="0" w:type="auto"/>
            <w:hideMark/>
          </w:tcPr>
          <w:p w14:paraId="084FB2B8"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0.987</w:t>
            </w:r>
          </w:p>
        </w:tc>
        <w:tc>
          <w:tcPr>
            <w:tcW w:w="0" w:type="auto"/>
            <w:hideMark/>
          </w:tcPr>
          <w:p w14:paraId="7487F75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0.288</w:t>
            </w:r>
          </w:p>
        </w:tc>
        <w:tc>
          <w:tcPr>
            <w:tcW w:w="0" w:type="auto"/>
            <w:hideMark/>
          </w:tcPr>
          <w:p w14:paraId="1F297F4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0.383</w:t>
            </w:r>
          </w:p>
        </w:tc>
        <w:tc>
          <w:tcPr>
            <w:tcW w:w="0" w:type="auto"/>
            <w:hideMark/>
          </w:tcPr>
          <w:p w14:paraId="1605A8FB"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0.861</w:t>
            </w:r>
          </w:p>
        </w:tc>
        <w:tc>
          <w:tcPr>
            <w:tcW w:w="0" w:type="auto"/>
            <w:hideMark/>
          </w:tcPr>
          <w:p w14:paraId="7230704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0.881</w:t>
            </w:r>
          </w:p>
        </w:tc>
        <w:tc>
          <w:tcPr>
            <w:tcW w:w="0" w:type="auto"/>
            <w:hideMark/>
          </w:tcPr>
          <w:p w14:paraId="474F945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0.966</w:t>
            </w:r>
          </w:p>
        </w:tc>
      </w:tr>
      <w:tr w:rsidR="00812647" w:rsidRPr="009B4D65" w14:paraId="4F502624" w14:textId="77777777" w:rsidTr="00A85FF5">
        <w:tc>
          <w:tcPr>
            <w:tcW w:w="0" w:type="auto"/>
            <w:hideMark/>
          </w:tcPr>
          <w:p w14:paraId="64978EA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İznik</w:t>
            </w:r>
          </w:p>
        </w:tc>
        <w:tc>
          <w:tcPr>
            <w:tcW w:w="0" w:type="auto"/>
            <w:hideMark/>
          </w:tcPr>
          <w:p w14:paraId="25481AC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Empirical</w:t>
            </w:r>
          </w:p>
        </w:tc>
        <w:tc>
          <w:tcPr>
            <w:tcW w:w="0" w:type="auto"/>
            <w:hideMark/>
          </w:tcPr>
          <w:p w14:paraId="5A38C93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Weibull</w:t>
            </w:r>
          </w:p>
        </w:tc>
        <w:tc>
          <w:tcPr>
            <w:tcW w:w="0" w:type="auto"/>
            <w:hideMark/>
          </w:tcPr>
          <w:p w14:paraId="4F8B48C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0.970</w:t>
            </w:r>
          </w:p>
        </w:tc>
        <w:tc>
          <w:tcPr>
            <w:tcW w:w="0" w:type="auto"/>
            <w:hideMark/>
          </w:tcPr>
          <w:p w14:paraId="2D73A3F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0.987</w:t>
            </w:r>
          </w:p>
        </w:tc>
        <w:tc>
          <w:tcPr>
            <w:tcW w:w="0" w:type="auto"/>
            <w:hideMark/>
          </w:tcPr>
          <w:p w14:paraId="4865A12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0.215</w:t>
            </w:r>
          </w:p>
        </w:tc>
        <w:tc>
          <w:tcPr>
            <w:tcW w:w="0" w:type="auto"/>
            <w:hideMark/>
          </w:tcPr>
          <w:p w14:paraId="7DE53DDF"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0.278</w:t>
            </w:r>
          </w:p>
        </w:tc>
        <w:tc>
          <w:tcPr>
            <w:tcW w:w="0" w:type="auto"/>
            <w:hideMark/>
          </w:tcPr>
          <w:p w14:paraId="5E837DE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0.815</w:t>
            </w:r>
          </w:p>
        </w:tc>
        <w:tc>
          <w:tcPr>
            <w:tcW w:w="0" w:type="auto"/>
            <w:hideMark/>
          </w:tcPr>
          <w:p w14:paraId="75813A4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0.842</w:t>
            </w:r>
          </w:p>
        </w:tc>
        <w:tc>
          <w:tcPr>
            <w:tcW w:w="0" w:type="auto"/>
            <w:hideMark/>
          </w:tcPr>
          <w:p w14:paraId="79A5238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0.953</w:t>
            </w:r>
          </w:p>
        </w:tc>
      </w:tr>
      <w:tr w:rsidR="00812647" w:rsidRPr="009B4D65" w14:paraId="3F775526" w14:textId="77777777" w:rsidTr="00A85FF5">
        <w:tc>
          <w:tcPr>
            <w:tcW w:w="0" w:type="auto"/>
            <w:hideMark/>
          </w:tcPr>
          <w:p w14:paraId="50D40CEB"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İznik</w:t>
            </w:r>
          </w:p>
        </w:tc>
        <w:tc>
          <w:tcPr>
            <w:tcW w:w="0" w:type="auto"/>
            <w:hideMark/>
          </w:tcPr>
          <w:p w14:paraId="7200650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Gamma</w:t>
            </w:r>
          </w:p>
        </w:tc>
        <w:tc>
          <w:tcPr>
            <w:tcW w:w="0" w:type="auto"/>
            <w:hideMark/>
          </w:tcPr>
          <w:p w14:paraId="1431306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Log-normal</w:t>
            </w:r>
          </w:p>
        </w:tc>
        <w:tc>
          <w:tcPr>
            <w:tcW w:w="0" w:type="auto"/>
            <w:hideMark/>
          </w:tcPr>
          <w:p w14:paraId="3E1A144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0.9996</w:t>
            </w:r>
          </w:p>
        </w:tc>
        <w:tc>
          <w:tcPr>
            <w:tcW w:w="0" w:type="auto"/>
            <w:hideMark/>
          </w:tcPr>
          <w:p w14:paraId="0988476D"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0.9998</w:t>
            </w:r>
          </w:p>
        </w:tc>
        <w:tc>
          <w:tcPr>
            <w:tcW w:w="0" w:type="auto"/>
            <w:hideMark/>
          </w:tcPr>
          <w:p w14:paraId="4C28E87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0.029</w:t>
            </w:r>
          </w:p>
        </w:tc>
        <w:tc>
          <w:tcPr>
            <w:tcW w:w="0" w:type="auto"/>
            <w:hideMark/>
          </w:tcPr>
          <w:p w14:paraId="586A8B65"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0.035</w:t>
            </w:r>
          </w:p>
        </w:tc>
        <w:tc>
          <w:tcPr>
            <w:tcW w:w="0" w:type="auto"/>
            <w:hideMark/>
          </w:tcPr>
          <w:p w14:paraId="0A72990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0.970</w:t>
            </w:r>
          </w:p>
        </w:tc>
        <w:tc>
          <w:tcPr>
            <w:tcW w:w="0" w:type="auto"/>
            <w:hideMark/>
          </w:tcPr>
          <w:p w14:paraId="69666F1F"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0.975</w:t>
            </w:r>
          </w:p>
        </w:tc>
        <w:tc>
          <w:tcPr>
            <w:tcW w:w="0" w:type="auto"/>
            <w:hideMark/>
          </w:tcPr>
          <w:p w14:paraId="19C1EB9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0.992</w:t>
            </w:r>
          </w:p>
        </w:tc>
      </w:tr>
      <w:tr w:rsidR="00812647" w:rsidRPr="009B4D65" w14:paraId="292C1803" w14:textId="77777777" w:rsidTr="00A85FF5">
        <w:tc>
          <w:tcPr>
            <w:tcW w:w="0" w:type="auto"/>
            <w:hideMark/>
          </w:tcPr>
          <w:p w14:paraId="600A581D"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İznik</w:t>
            </w:r>
          </w:p>
        </w:tc>
        <w:tc>
          <w:tcPr>
            <w:tcW w:w="0" w:type="auto"/>
            <w:hideMark/>
          </w:tcPr>
          <w:p w14:paraId="07E32B0D"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Gamma</w:t>
            </w:r>
          </w:p>
        </w:tc>
        <w:tc>
          <w:tcPr>
            <w:tcW w:w="0" w:type="auto"/>
            <w:hideMark/>
          </w:tcPr>
          <w:p w14:paraId="30F7556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Weibull</w:t>
            </w:r>
          </w:p>
        </w:tc>
        <w:tc>
          <w:tcPr>
            <w:tcW w:w="0" w:type="auto"/>
            <w:hideMark/>
          </w:tcPr>
          <w:p w14:paraId="1B936B4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0.973</w:t>
            </w:r>
          </w:p>
        </w:tc>
        <w:tc>
          <w:tcPr>
            <w:tcW w:w="0" w:type="auto"/>
            <w:hideMark/>
          </w:tcPr>
          <w:p w14:paraId="0186E14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0.999</w:t>
            </w:r>
          </w:p>
        </w:tc>
        <w:tc>
          <w:tcPr>
            <w:tcW w:w="0" w:type="auto"/>
            <w:hideMark/>
          </w:tcPr>
          <w:p w14:paraId="2E7E1965"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0.195</w:t>
            </w:r>
          </w:p>
        </w:tc>
        <w:tc>
          <w:tcPr>
            <w:tcW w:w="0" w:type="auto"/>
            <w:hideMark/>
          </w:tcPr>
          <w:p w14:paraId="36A10A0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0.240</w:t>
            </w:r>
          </w:p>
        </w:tc>
        <w:tc>
          <w:tcPr>
            <w:tcW w:w="0" w:type="auto"/>
            <w:hideMark/>
          </w:tcPr>
          <w:p w14:paraId="5B0AF88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0.923</w:t>
            </w:r>
          </w:p>
        </w:tc>
        <w:tc>
          <w:tcPr>
            <w:tcW w:w="0" w:type="auto"/>
            <w:hideMark/>
          </w:tcPr>
          <w:p w14:paraId="4EEC97B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0.935</w:t>
            </w:r>
          </w:p>
        </w:tc>
        <w:tc>
          <w:tcPr>
            <w:tcW w:w="0" w:type="auto"/>
            <w:hideMark/>
          </w:tcPr>
          <w:p w14:paraId="65848D4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0.979</w:t>
            </w:r>
          </w:p>
        </w:tc>
      </w:tr>
      <w:tr w:rsidR="00812647" w:rsidRPr="009B4D65" w14:paraId="039FEA6C" w14:textId="77777777" w:rsidTr="00A85FF5">
        <w:tc>
          <w:tcPr>
            <w:tcW w:w="0" w:type="auto"/>
            <w:hideMark/>
          </w:tcPr>
          <w:p w14:paraId="1BA1E84F"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İznik</w:t>
            </w:r>
          </w:p>
        </w:tc>
        <w:tc>
          <w:tcPr>
            <w:tcW w:w="0" w:type="auto"/>
            <w:hideMark/>
          </w:tcPr>
          <w:p w14:paraId="2D59E189"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Log-normal</w:t>
            </w:r>
          </w:p>
        </w:tc>
        <w:tc>
          <w:tcPr>
            <w:tcW w:w="0" w:type="auto"/>
            <w:hideMark/>
          </w:tcPr>
          <w:p w14:paraId="6C2E1F8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Weibull</w:t>
            </w:r>
          </w:p>
        </w:tc>
        <w:tc>
          <w:tcPr>
            <w:tcW w:w="0" w:type="auto"/>
            <w:hideMark/>
          </w:tcPr>
          <w:p w14:paraId="407B96CB"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0.979</w:t>
            </w:r>
          </w:p>
        </w:tc>
        <w:tc>
          <w:tcPr>
            <w:tcW w:w="0" w:type="auto"/>
            <w:hideMark/>
          </w:tcPr>
          <w:p w14:paraId="6054B83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0.999</w:t>
            </w:r>
          </w:p>
        </w:tc>
        <w:tc>
          <w:tcPr>
            <w:tcW w:w="0" w:type="auto"/>
            <w:hideMark/>
          </w:tcPr>
          <w:p w14:paraId="2D2B36D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0.170</w:t>
            </w:r>
          </w:p>
        </w:tc>
        <w:tc>
          <w:tcPr>
            <w:tcW w:w="0" w:type="auto"/>
            <w:hideMark/>
          </w:tcPr>
          <w:p w14:paraId="6DE2FC4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0.213</w:t>
            </w:r>
          </w:p>
        </w:tc>
        <w:tc>
          <w:tcPr>
            <w:tcW w:w="0" w:type="auto"/>
            <w:hideMark/>
          </w:tcPr>
          <w:p w14:paraId="37F49EB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0.953</w:t>
            </w:r>
          </w:p>
        </w:tc>
        <w:tc>
          <w:tcPr>
            <w:tcW w:w="0" w:type="auto"/>
            <w:hideMark/>
          </w:tcPr>
          <w:p w14:paraId="3E79761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0.961</w:t>
            </w:r>
          </w:p>
        </w:tc>
        <w:tc>
          <w:tcPr>
            <w:tcW w:w="0" w:type="auto"/>
            <w:hideMark/>
          </w:tcPr>
          <w:p w14:paraId="54B37518"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0.987</w:t>
            </w:r>
          </w:p>
        </w:tc>
      </w:tr>
      <w:tr w:rsidR="00812647" w:rsidRPr="009B4D65" w14:paraId="6590DD33" w14:textId="77777777" w:rsidTr="00A85FF5">
        <w:tc>
          <w:tcPr>
            <w:tcW w:w="0" w:type="auto"/>
            <w:hideMark/>
          </w:tcPr>
          <w:p w14:paraId="28F0D667"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3A5DE47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Empirical</w:t>
            </w:r>
          </w:p>
        </w:tc>
        <w:tc>
          <w:tcPr>
            <w:tcW w:w="0" w:type="auto"/>
            <w:hideMark/>
          </w:tcPr>
          <w:p w14:paraId="3F137CA8"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Gamma</w:t>
            </w:r>
          </w:p>
        </w:tc>
        <w:tc>
          <w:tcPr>
            <w:tcW w:w="0" w:type="auto"/>
            <w:hideMark/>
          </w:tcPr>
          <w:p w14:paraId="69A20C6D"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0.978</w:t>
            </w:r>
          </w:p>
        </w:tc>
        <w:tc>
          <w:tcPr>
            <w:tcW w:w="0" w:type="auto"/>
            <w:hideMark/>
          </w:tcPr>
          <w:p w14:paraId="08C391CF"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0.987</w:t>
            </w:r>
          </w:p>
        </w:tc>
        <w:tc>
          <w:tcPr>
            <w:tcW w:w="0" w:type="auto"/>
            <w:hideMark/>
          </w:tcPr>
          <w:p w14:paraId="51BD6E5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0.170</w:t>
            </w:r>
          </w:p>
        </w:tc>
        <w:tc>
          <w:tcPr>
            <w:tcW w:w="0" w:type="auto"/>
            <w:hideMark/>
          </w:tcPr>
          <w:p w14:paraId="6B3FE08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0.227</w:t>
            </w:r>
          </w:p>
        </w:tc>
        <w:tc>
          <w:tcPr>
            <w:tcW w:w="0" w:type="auto"/>
            <w:hideMark/>
          </w:tcPr>
          <w:p w14:paraId="0C951607"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0.852</w:t>
            </w:r>
          </w:p>
        </w:tc>
        <w:tc>
          <w:tcPr>
            <w:tcW w:w="0" w:type="auto"/>
            <w:hideMark/>
          </w:tcPr>
          <w:p w14:paraId="4E7AB79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0.873</w:t>
            </w:r>
          </w:p>
        </w:tc>
        <w:tc>
          <w:tcPr>
            <w:tcW w:w="0" w:type="auto"/>
            <w:hideMark/>
          </w:tcPr>
          <w:p w14:paraId="54E1629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0.964</w:t>
            </w:r>
          </w:p>
        </w:tc>
      </w:tr>
      <w:tr w:rsidR="00812647" w:rsidRPr="009B4D65" w14:paraId="0038A215" w14:textId="77777777" w:rsidTr="00A85FF5">
        <w:tc>
          <w:tcPr>
            <w:tcW w:w="0" w:type="auto"/>
            <w:hideMark/>
          </w:tcPr>
          <w:p w14:paraId="0182E84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16151A0D"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Empirical</w:t>
            </w:r>
          </w:p>
        </w:tc>
        <w:tc>
          <w:tcPr>
            <w:tcW w:w="0" w:type="auto"/>
            <w:hideMark/>
          </w:tcPr>
          <w:p w14:paraId="429511A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Log-normal</w:t>
            </w:r>
          </w:p>
        </w:tc>
        <w:tc>
          <w:tcPr>
            <w:tcW w:w="0" w:type="auto"/>
            <w:hideMark/>
          </w:tcPr>
          <w:p w14:paraId="6BD424F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0.980</w:t>
            </w:r>
          </w:p>
        </w:tc>
        <w:tc>
          <w:tcPr>
            <w:tcW w:w="0" w:type="auto"/>
            <w:hideMark/>
          </w:tcPr>
          <w:p w14:paraId="449A739D"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0.988</w:t>
            </w:r>
          </w:p>
        </w:tc>
        <w:tc>
          <w:tcPr>
            <w:tcW w:w="0" w:type="auto"/>
            <w:hideMark/>
          </w:tcPr>
          <w:p w14:paraId="7452394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0.165</w:t>
            </w:r>
          </w:p>
        </w:tc>
        <w:tc>
          <w:tcPr>
            <w:tcW w:w="0" w:type="auto"/>
            <w:hideMark/>
          </w:tcPr>
          <w:p w14:paraId="116B700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0.220</w:t>
            </w:r>
          </w:p>
        </w:tc>
        <w:tc>
          <w:tcPr>
            <w:tcW w:w="0" w:type="auto"/>
            <w:hideMark/>
          </w:tcPr>
          <w:p w14:paraId="61B63288"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0.852</w:t>
            </w:r>
          </w:p>
        </w:tc>
        <w:tc>
          <w:tcPr>
            <w:tcW w:w="0" w:type="auto"/>
            <w:hideMark/>
          </w:tcPr>
          <w:p w14:paraId="25BD71C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0.873</w:t>
            </w:r>
          </w:p>
        </w:tc>
        <w:tc>
          <w:tcPr>
            <w:tcW w:w="0" w:type="auto"/>
            <w:hideMark/>
          </w:tcPr>
          <w:p w14:paraId="6FC1FDF5"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0.964</w:t>
            </w:r>
          </w:p>
        </w:tc>
      </w:tr>
      <w:tr w:rsidR="00812647" w:rsidRPr="009B4D65" w14:paraId="33759610" w14:textId="77777777" w:rsidTr="00A85FF5">
        <w:tc>
          <w:tcPr>
            <w:tcW w:w="0" w:type="auto"/>
            <w:hideMark/>
          </w:tcPr>
          <w:p w14:paraId="17AEBFB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25FCCEC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Empirical</w:t>
            </w:r>
          </w:p>
        </w:tc>
        <w:tc>
          <w:tcPr>
            <w:tcW w:w="0" w:type="auto"/>
            <w:hideMark/>
          </w:tcPr>
          <w:p w14:paraId="6E94A81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Weibull</w:t>
            </w:r>
          </w:p>
        </w:tc>
        <w:tc>
          <w:tcPr>
            <w:tcW w:w="0" w:type="auto"/>
            <w:hideMark/>
          </w:tcPr>
          <w:p w14:paraId="5800A469"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0.979</w:t>
            </w:r>
          </w:p>
        </w:tc>
        <w:tc>
          <w:tcPr>
            <w:tcW w:w="0" w:type="auto"/>
            <w:hideMark/>
          </w:tcPr>
          <w:p w14:paraId="2BB04350"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0.987</w:t>
            </w:r>
          </w:p>
        </w:tc>
        <w:tc>
          <w:tcPr>
            <w:tcW w:w="0" w:type="auto"/>
            <w:hideMark/>
          </w:tcPr>
          <w:p w14:paraId="24130E8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0.172</w:t>
            </w:r>
          </w:p>
        </w:tc>
        <w:tc>
          <w:tcPr>
            <w:tcW w:w="0" w:type="auto"/>
            <w:hideMark/>
          </w:tcPr>
          <w:p w14:paraId="0A205EC8"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0.227</w:t>
            </w:r>
          </w:p>
        </w:tc>
        <w:tc>
          <w:tcPr>
            <w:tcW w:w="0" w:type="auto"/>
            <w:hideMark/>
          </w:tcPr>
          <w:p w14:paraId="16E0D20F"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0.837</w:t>
            </w:r>
          </w:p>
        </w:tc>
        <w:tc>
          <w:tcPr>
            <w:tcW w:w="0" w:type="auto"/>
            <w:hideMark/>
          </w:tcPr>
          <w:p w14:paraId="49E75427"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0.860</w:t>
            </w:r>
          </w:p>
        </w:tc>
        <w:tc>
          <w:tcPr>
            <w:tcW w:w="0" w:type="auto"/>
            <w:hideMark/>
          </w:tcPr>
          <w:p w14:paraId="4A9439A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0.961</w:t>
            </w:r>
          </w:p>
        </w:tc>
      </w:tr>
      <w:tr w:rsidR="00812647" w:rsidRPr="009B4D65" w14:paraId="20F09378" w14:textId="77777777" w:rsidTr="00A85FF5">
        <w:tc>
          <w:tcPr>
            <w:tcW w:w="0" w:type="auto"/>
            <w:hideMark/>
          </w:tcPr>
          <w:p w14:paraId="410AB31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5285339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Gamma</w:t>
            </w:r>
          </w:p>
        </w:tc>
        <w:tc>
          <w:tcPr>
            <w:tcW w:w="0" w:type="auto"/>
            <w:hideMark/>
          </w:tcPr>
          <w:p w14:paraId="5B186D69"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Log-normal</w:t>
            </w:r>
          </w:p>
        </w:tc>
        <w:tc>
          <w:tcPr>
            <w:tcW w:w="0" w:type="auto"/>
            <w:hideMark/>
          </w:tcPr>
          <w:p w14:paraId="532A3B45"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0.9997</w:t>
            </w:r>
          </w:p>
        </w:tc>
        <w:tc>
          <w:tcPr>
            <w:tcW w:w="0" w:type="auto"/>
            <w:hideMark/>
          </w:tcPr>
          <w:p w14:paraId="1630B60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0.9998</w:t>
            </w:r>
          </w:p>
        </w:tc>
        <w:tc>
          <w:tcPr>
            <w:tcW w:w="0" w:type="auto"/>
            <w:hideMark/>
          </w:tcPr>
          <w:p w14:paraId="65C352CD"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0.017</w:t>
            </w:r>
          </w:p>
        </w:tc>
        <w:tc>
          <w:tcPr>
            <w:tcW w:w="0" w:type="auto"/>
            <w:hideMark/>
          </w:tcPr>
          <w:p w14:paraId="114C67C7"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0.025</w:t>
            </w:r>
          </w:p>
        </w:tc>
        <w:tc>
          <w:tcPr>
            <w:tcW w:w="0" w:type="auto"/>
            <w:hideMark/>
          </w:tcPr>
          <w:p w14:paraId="3B3606F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1.000</w:t>
            </w:r>
          </w:p>
        </w:tc>
        <w:tc>
          <w:tcPr>
            <w:tcW w:w="0" w:type="auto"/>
            <w:hideMark/>
          </w:tcPr>
          <w:p w14:paraId="22B560F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1.000</w:t>
            </w:r>
          </w:p>
        </w:tc>
        <w:tc>
          <w:tcPr>
            <w:tcW w:w="0" w:type="auto"/>
            <w:hideMark/>
          </w:tcPr>
          <w:p w14:paraId="23557830"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1.000</w:t>
            </w:r>
          </w:p>
        </w:tc>
      </w:tr>
      <w:tr w:rsidR="00812647" w:rsidRPr="009B4D65" w14:paraId="5AEE5B8A" w14:textId="77777777" w:rsidTr="00A85FF5">
        <w:tc>
          <w:tcPr>
            <w:tcW w:w="0" w:type="auto"/>
            <w:hideMark/>
          </w:tcPr>
          <w:p w14:paraId="485627C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2C3FE3B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Gamma</w:t>
            </w:r>
          </w:p>
        </w:tc>
        <w:tc>
          <w:tcPr>
            <w:tcW w:w="0" w:type="auto"/>
            <w:hideMark/>
          </w:tcPr>
          <w:p w14:paraId="2A0EC93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Weibull</w:t>
            </w:r>
          </w:p>
        </w:tc>
        <w:tc>
          <w:tcPr>
            <w:tcW w:w="0" w:type="auto"/>
            <w:hideMark/>
          </w:tcPr>
          <w:p w14:paraId="1449A9CF"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0.997</w:t>
            </w:r>
          </w:p>
        </w:tc>
        <w:tc>
          <w:tcPr>
            <w:tcW w:w="0" w:type="auto"/>
            <w:hideMark/>
          </w:tcPr>
          <w:p w14:paraId="69041C79"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0.998</w:t>
            </w:r>
          </w:p>
        </w:tc>
        <w:tc>
          <w:tcPr>
            <w:tcW w:w="0" w:type="auto"/>
            <w:hideMark/>
          </w:tcPr>
          <w:p w14:paraId="5DC5499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0.057</w:t>
            </w:r>
          </w:p>
        </w:tc>
        <w:tc>
          <w:tcPr>
            <w:tcW w:w="0" w:type="auto"/>
            <w:hideMark/>
          </w:tcPr>
          <w:p w14:paraId="74A4F47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0.081</w:t>
            </w:r>
          </w:p>
        </w:tc>
        <w:tc>
          <w:tcPr>
            <w:tcW w:w="0" w:type="auto"/>
            <w:hideMark/>
          </w:tcPr>
          <w:p w14:paraId="7742F4BB"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0.951</w:t>
            </w:r>
          </w:p>
        </w:tc>
        <w:tc>
          <w:tcPr>
            <w:tcW w:w="0" w:type="auto"/>
            <w:hideMark/>
          </w:tcPr>
          <w:p w14:paraId="5EB3AE08"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0.959</w:t>
            </w:r>
          </w:p>
        </w:tc>
        <w:tc>
          <w:tcPr>
            <w:tcW w:w="0" w:type="auto"/>
            <w:hideMark/>
          </w:tcPr>
          <w:p w14:paraId="2E284BBD"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0.987</w:t>
            </w:r>
          </w:p>
        </w:tc>
      </w:tr>
      <w:tr w:rsidR="00812647" w:rsidRPr="009B4D65" w14:paraId="38E00EB3" w14:textId="77777777" w:rsidTr="00A85FF5">
        <w:tc>
          <w:tcPr>
            <w:tcW w:w="0" w:type="auto"/>
            <w:hideMark/>
          </w:tcPr>
          <w:p w14:paraId="053A9AB9"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344E59A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Log-normal</w:t>
            </w:r>
          </w:p>
        </w:tc>
        <w:tc>
          <w:tcPr>
            <w:tcW w:w="0" w:type="auto"/>
            <w:hideMark/>
          </w:tcPr>
          <w:p w14:paraId="3CD299E9"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Weibull</w:t>
            </w:r>
          </w:p>
        </w:tc>
        <w:tc>
          <w:tcPr>
            <w:tcW w:w="0" w:type="auto"/>
            <w:hideMark/>
          </w:tcPr>
          <w:p w14:paraId="76676099"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0.997</w:t>
            </w:r>
          </w:p>
        </w:tc>
        <w:tc>
          <w:tcPr>
            <w:tcW w:w="0" w:type="auto"/>
            <w:hideMark/>
          </w:tcPr>
          <w:p w14:paraId="76F1CF6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0.998</w:t>
            </w:r>
          </w:p>
        </w:tc>
        <w:tc>
          <w:tcPr>
            <w:tcW w:w="0" w:type="auto"/>
            <w:hideMark/>
          </w:tcPr>
          <w:p w14:paraId="35AFA6E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0.057</w:t>
            </w:r>
          </w:p>
        </w:tc>
        <w:tc>
          <w:tcPr>
            <w:tcW w:w="0" w:type="auto"/>
            <w:hideMark/>
          </w:tcPr>
          <w:p w14:paraId="2EA37E3B"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0.080</w:t>
            </w:r>
          </w:p>
        </w:tc>
        <w:tc>
          <w:tcPr>
            <w:tcW w:w="0" w:type="auto"/>
            <w:hideMark/>
          </w:tcPr>
          <w:p w14:paraId="512E76BF"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0.951</w:t>
            </w:r>
          </w:p>
        </w:tc>
        <w:tc>
          <w:tcPr>
            <w:tcW w:w="0" w:type="auto"/>
            <w:hideMark/>
          </w:tcPr>
          <w:p w14:paraId="7E8E6B0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0.959</w:t>
            </w:r>
          </w:p>
        </w:tc>
        <w:tc>
          <w:tcPr>
            <w:tcW w:w="0" w:type="auto"/>
            <w:hideMark/>
          </w:tcPr>
          <w:p w14:paraId="38ABFB9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0.987</w:t>
            </w:r>
          </w:p>
        </w:tc>
      </w:tr>
    </w:tbl>
    <w:p w14:paraId="06A0B502" w14:textId="1F705DAC" w:rsidR="00812647" w:rsidRPr="009B4D65" w:rsidRDefault="00812647" w:rsidP="009B4D65">
      <w:pPr>
        <w:spacing w:line="276" w:lineRule="auto"/>
        <w:rPr>
          <w:rFonts w:asciiTheme="majorBidi" w:hAnsiTheme="majorBidi" w:cstheme="majorBidi"/>
          <w:sz w:val="22"/>
          <w:szCs w:val="22"/>
        </w:rPr>
      </w:pPr>
    </w:p>
    <w:p w14:paraId="5E4CC83E" w14:textId="231D6495" w:rsidR="00812647" w:rsidRPr="009B4D65" w:rsidRDefault="002F41C5" w:rsidP="002F41C5">
      <w:pPr>
        <w:pStyle w:val="Caption"/>
        <w:rPr>
          <w:rFonts w:cstheme="majorBidi"/>
          <w:sz w:val="22"/>
          <w:szCs w:val="22"/>
        </w:rPr>
      </w:pPr>
      <w:r>
        <w:t xml:space="preserve">Table S </w:t>
      </w:r>
      <w:fldSimple w:instr=" SEQ Table_S \* ARABIC ">
        <w:r>
          <w:rPr>
            <w:noProof/>
          </w:rPr>
          <w:t>4</w:t>
        </w:r>
      </w:fldSimple>
      <w:r>
        <w:t>.</w:t>
      </w:r>
      <w:r>
        <w:rPr>
          <w:rFonts w:cstheme="majorBidi"/>
          <w:sz w:val="22"/>
          <w:szCs w:val="22"/>
        </w:rPr>
        <w:t xml:space="preserve"> </w:t>
      </w:r>
      <w:r w:rsidR="00812647" w:rsidRPr="009B4D65">
        <w:rPr>
          <w:rFonts w:cstheme="majorBidi"/>
          <w:sz w:val="22"/>
          <w:szCs w:val="22"/>
        </w:rPr>
        <w:t>Method agreement statistics: each parametric SLLI variant vs. the empirical reference, with event detection recall and precision.</w:t>
      </w:r>
    </w:p>
    <w:tbl>
      <w:tblPr>
        <w:tblStyle w:val="ElsevierFormate"/>
        <w:tblW w:w="0" w:type="auto"/>
        <w:tblLook w:val="04A0" w:firstRow="1" w:lastRow="0" w:firstColumn="1" w:lastColumn="0" w:noHBand="0" w:noVBand="1"/>
      </w:tblPr>
      <w:tblGrid>
        <w:gridCol w:w="728"/>
        <w:gridCol w:w="756"/>
        <w:gridCol w:w="773"/>
        <w:gridCol w:w="926"/>
        <w:gridCol w:w="594"/>
        <w:gridCol w:w="684"/>
        <w:gridCol w:w="580"/>
        <w:gridCol w:w="872"/>
        <w:gridCol w:w="851"/>
        <w:gridCol w:w="648"/>
        <w:gridCol w:w="580"/>
        <w:gridCol w:w="684"/>
        <w:gridCol w:w="684"/>
      </w:tblGrid>
      <w:tr w:rsidR="00812647" w:rsidRPr="009B4D65" w14:paraId="04A46F0A" w14:textId="77777777" w:rsidTr="00A85FF5">
        <w:tc>
          <w:tcPr>
            <w:tcW w:w="0" w:type="auto"/>
            <w:tcBorders>
              <w:top w:val="single" w:sz="4" w:space="0" w:color="auto"/>
              <w:bottom w:val="single" w:sz="4" w:space="0" w:color="auto"/>
            </w:tcBorders>
            <w:hideMark/>
          </w:tcPr>
          <w:p w14:paraId="42AAED68"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Lake</w:t>
            </w:r>
          </w:p>
        </w:tc>
        <w:tc>
          <w:tcPr>
            <w:tcW w:w="0" w:type="auto"/>
            <w:tcBorders>
              <w:top w:val="single" w:sz="4" w:space="0" w:color="auto"/>
              <w:bottom w:val="single" w:sz="4" w:space="0" w:color="auto"/>
            </w:tcBorders>
            <w:hideMark/>
          </w:tcPr>
          <w:p w14:paraId="3262846D"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Method</w:t>
            </w:r>
          </w:p>
        </w:tc>
        <w:tc>
          <w:tcPr>
            <w:tcW w:w="0" w:type="auto"/>
            <w:tcBorders>
              <w:top w:val="single" w:sz="4" w:space="0" w:color="auto"/>
              <w:bottom w:val="single" w:sz="4" w:space="0" w:color="auto"/>
            </w:tcBorders>
            <w:hideMark/>
          </w:tcPr>
          <w:p w14:paraId="087F14AE"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Pearson r</w:t>
            </w:r>
          </w:p>
        </w:tc>
        <w:tc>
          <w:tcPr>
            <w:tcW w:w="0" w:type="auto"/>
            <w:tcBorders>
              <w:top w:val="single" w:sz="4" w:space="0" w:color="auto"/>
              <w:bottom w:val="single" w:sz="4" w:space="0" w:color="auto"/>
            </w:tcBorders>
            <w:hideMark/>
          </w:tcPr>
          <w:p w14:paraId="0E490AD7"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Spearman ρ</w:t>
            </w:r>
          </w:p>
        </w:tc>
        <w:tc>
          <w:tcPr>
            <w:tcW w:w="0" w:type="auto"/>
            <w:tcBorders>
              <w:top w:val="single" w:sz="4" w:space="0" w:color="auto"/>
              <w:bottom w:val="single" w:sz="4" w:space="0" w:color="auto"/>
            </w:tcBorders>
            <w:hideMark/>
          </w:tcPr>
          <w:p w14:paraId="2331935A"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MAE</w:t>
            </w:r>
          </w:p>
        </w:tc>
        <w:tc>
          <w:tcPr>
            <w:tcW w:w="0" w:type="auto"/>
            <w:tcBorders>
              <w:top w:val="single" w:sz="4" w:space="0" w:color="auto"/>
              <w:bottom w:val="single" w:sz="4" w:space="0" w:color="auto"/>
            </w:tcBorders>
            <w:hideMark/>
          </w:tcPr>
          <w:p w14:paraId="3FEEB4D8"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RMSE</w:t>
            </w:r>
          </w:p>
        </w:tc>
        <w:tc>
          <w:tcPr>
            <w:tcW w:w="0" w:type="auto"/>
            <w:tcBorders>
              <w:top w:val="single" w:sz="4" w:space="0" w:color="auto"/>
              <w:bottom w:val="single" w:sz="4" w:space="0" w:color="auto"/>
            </w:tcBorders>
            <w:hideMark/>
          </w:tcPr>
          <w:p w14:paraId="439C9171"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κ</w:t>
            </w:r>
          </w:p>
        </w:tc>
        <w:tc>
          <w:tcPr>
            <w:tcW w:w="0" w:type="auto"/>
            <w:tcBorders>
              <w:top w:val="single" w:sz="4" w:space="0" w:color="auto"/>
              <w:bottom w:val="single" w:sz="4" w:space="0" w:color="auto"/>
            </w:tcBorders>
            <w:hideMark/>
          </w:tcPr>
          <w:p w14:paraId="6884871F"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Accuracy</w:t>
            </w:r>
          </w:p>
        </w:tc>
        <w:tc>
          <w:tcPr>
            <w:tcW w:w="0" w:type="auto"/>
            <w:tcBorders>
              <w:top w:val="single" w:sz="4" w:space="0" w:color="auto"/>
              <w:bottom w:val="single" w:sz="4" w:space="0" w:color="auto"/>
            </w:tcBorders>
            <w:hideMark/>
          </w:tcPr>
          <w:p w14:paraId="3F409FC1"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Precision</w:t>
            </w:r>
          </w:p>
        </w:tc>
        <w:tc>
          <w:tcPr>
            <w:tcW w:w="0" w:type="auto"/>
            <w:tcBorders>
              <w:top w:val="single" w:sz="4" w:space="0" w:color="auto"/>
              <w:bottom w:val="single" w:sz="4" w:space="0" w:color="auto"/>
            </w:tcBorders>
            <w:hideMark/>
          </w:tcPr>
          <w:p w14:paraId="2D3D93BE"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Recall</w:t>
            </w:r>
          </w:p>
        </w:tc>
        <w:tc>
          <w:tcPr>
            <w:tcW w:w="0" w:type="auto"/>
            <w:tcBorders>
              <w:top w:val="single" w:sz="4" w:space="0" w:color="auto"/>
              <w:bottom w:val="single" w:sz="4" w:space="0" w:color="auto"/>
            </w:tcBorders>
            <w:hideMark/>
          </w:tcPr>
          <w:p w14:paraId="2E59B7B1"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F1</w:t>
            </w:r>
          </w:p>
        </w:tc>
        <w:tc>
          <w:tcPr>
            <w:tcW w:w="0" w:type="auto"/>
            <w:tcBorders>
              <w:top w:val="single" w:sz="4" w:space="0" w:color="auto"/>
              <w:bottom w:val="single" w:sz="4" w:space="0" w:color="auto"/>
            </w:tcBorders>
            <w:hideMark/>
          </w:tcPr>
          <w:p w14:paraId="42E8C8B5"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Events (ref.)</w:t>
            </w:r>
          </w:p>
        </w:tc>
        <w:tc>
          <w:tcPr>
            <w:tcW w:w="0" w:type="auto"/>
            <w:tcBorders>
              <w:top w:val="single" w:sz="4" w:space="0" w:color="auto"/>
              <w:bottom w:val="single" w:sz="4" w:space="0" w:color="auto"/>
            </w:tcBorders>
            <w:hideMark/>
          </w:tcPr>
          <w:p w14:paraId="7768A590"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Events (test)</w:t>
            </w:r>
          </w:p>
        </w:tc>
      </w:tr>
      <w:tr w:rsidR="00812647" w:rsidRPr="009B4D65" w14:paraId="32232211" w14:textId="77777777" w:rsidTr="00A85FF5">
        <w:tc>
          <w:tcPr>
            <w:tcW w:w="0" w:type="auto"/>
            <w:tcBorders>
              <w:top w:val="single" w:sz="4" w:space="0" w:color="auto"/>
            </w:tcBorders>
            <w:hideMark/>
          </w:tcPr>
          <w:p w14:paraId="33449180"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İznik</w:t>
            </w:r>
          </w:p>
        </w:tc>
        <w:tc>
          <w:tcPr>
            <w:tcW w:w="0" w:type="auto"/>
            <w:tcBorders>
              <w:top w:val="single" w:sz="4" w:space="0" w:color="auto"/>
            </w:tcBorders>
            <w:hideMark/>
          </w:tcPr>
          <w:p w14:paraId="688E9E2F"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Gamma</w:t>
            </w:r>
          </w:p>
        </w:tc>
        <w:tc>
          <w:tcPr>
            <w:tcW w:w="0" w:type="auto"/>
            <w:tcBorders>
              <w:top w:val="single" w:sz="4" w:space="0" w:color="auto"/>
            </w:tcBorders>
            <w:hideMark/>
          </w:tcPr>
          <w:p w14:paraId="4257643D"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0.919</w:t>
            </w:r>
          </w:p>
        </w:tc>
        <w:tc>
          <w:tcPr>
            <w:tcW w:w="0" w:type="auto"/>
            <w:tcBorders>
              <w:top w:val="single" w:sz="4" w:space="0" w:color="auto"/>
            </w:tcBorders>
            <w:hideMark/>
          </w:tcPr>
          <w:p w14:paraId="2DAD58F8"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0.987</w:t>
            </w:r>
          </w:p>
        </w:tc>
        <w:tc>
          <w:tcPr>
            <w:tcW w:w="0" w:type="auto"/>
            <w:tcBorders>
              <w:top w:val="single" w:sz="4" w:space="0" w:color="auto"/>
            </w:tcBorders>
            <w:hideMark/>
          </w:tcPr>
          <w:p w14:paraId="6E3AEFA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0.301</w:t>
            </w:r>
          </w:p>
        </w:tc>
        <w:tc>
          <w:tcPr>
            <w:tcW w:w="0" w:type="auto"/>
            <w:tcBorders>
              <w:top w:val="single" w:sz="4" w:space="0" w:color="auto"/>
            </w:tcBorders>
            <w:hideMark/>
          </w:tcPr>
          <w:p w14:paraId="660866B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0.393</w:t>
            </w:r>
          </w:p>
        </w:tc>
        <w:tc>
          <w:tcPr>
            <w:tcW w:w="0" w:type="auto"/>
            <w:tcBorders>
              <w:top w:val="single" w:sz="4" w:space="0" w:color="auto"/>
            </w:tcBorders>
            <w:hideMark/>
          </w:tcPr>
          <w:p w14:paraId="6B58F89B"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0.891</w:t>
            </w:r>
          </w:p>
        </w:tc>
        <w:tc>
          <w:tcPr>
            <w:tcW w:w="0" w:type="auto"/>
            <w:tcBorders>
              <w:top w:val="single" w:sz="4" w:space="0" w:color="auto"/>
            </w:tcBorders>
            <w:hideMark/>
          </w:tcPr>
          <w:p w14:paraId="4F463DC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0.974</w:t>
            </w:r>
          </w:p>
        </w:tc>
        <w:tc>
          <w:tcPr>
            <w:tcW w:w="0" w:type="auto"/>
            <w:tcBorders>
              <w:top w:val="single" w:sz="4" w:space="0" w:color="auto"/>
            </w:tcBorders>
            <w:hideMark/>
          </w:tcPr>
          <w:p w14:paraId="54BC013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0.828</w:t>
            </w:r>
          </w:p>
        </w:tc>
        <w:tc>
          <w:tcPr>
            <w:tcW w:w="0" w:type="auto"/>
            <w:tcBorders>
              <w:top w:val="single" w:sz="4" w:space="0" w:color="auto"/>
            </w:tcBorders>
            <w:hideMark/>
          </w:tcPr>
          <w:p w14:paraId="4B8838C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1.000</w:t>
            </w:r>
          </w:p>
        </w:tc>
        <w:tc>
          <w:tcPr>
            <w:tcW w:w="0" w:type="auto"/>
            <w:tcBorders>
              <w:top w:val="single" w:sz="4" w:space="0" w:color="auto"/>
            </w:tcBorders>
            <w:hideMark/>
          </w:tcPr>
          <w:p w14:paraId="43F63BC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0.906</w:t>
            </w:r>
          </w:p>
        </w:tc>
        <w:tc>
          <w:tcPr>
            <w:tcW w:w="0" w:type="auto"/>
            <w:tcBorders>
              <w:top w:val="single" w:sz="4" w:space="0" w:color="auto"/>
            </w:tcBorders>
            <w:hideMark/>
          </w:tcPr>
          <w:p w14:paraId="585FF7D7"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4</w:t>
            </w:r>
          </w:p>
        </w:tc>
        <w:tc>
          <w:tcPr>
            <w:tcW w:w="0" w:type="auto"/>
            <w:tcBorders>
              <w:top w:val="single" w:sz="4" w:space="0" w:color="auto"/>
            </w:tcBorders>
            <w:hideMark/>
          </w:tcPr>
          <w:p w14:paraId="74B3D5EF"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7</w:t>
            </w:r>
          </w:p>
        </w:tc>
      </w:tr>
      <w:tr w:rsidR="00812647" w:rsidRPr="009B4D65" w14:paraId="21B7E0CF" w14:textId="77777777" w:rsidTr="00A85FF5">
        <w:tc>
          <w:tcPr>
            <w:tcW w:w="0" w:type="auto"/>
            <w:hideMark/>
          </w:tcPr>
          <w:p w14:paraId="08DEC3E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İznik</w:t>
            </w:r>
          </w:p>
        </w:tc>
        <w:tc>
          <w:tcPr>
            <w:tcW w:w="0" w:type="auto"/>
            <w:hideMark/>
          </w:tcPr>
          <w:p w14:paraId="650EA46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Log-normal</w:t>
            </w:r>
          </w:p>
        </w:tc>
        <w:tc>
          <w:tcPr>
            <w:tcW w:w="0" w:type="auto"/>
            <w:hideMark/>
          </w:tcPr>
          <w:p w14:paraId="7DC5C65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0.926</w:t>
            </w:r>
          </w:p>
        </w:tc>
        <w:tc>
          <w:tcPr>
            <w:tcW w:w="0" w:type="auto"/>
            <w:hideMark/>
          </w:tcPr>
          <w:p w14:paraId="27566639"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0.987</w:t>
            </w:r>
          </w:p>
        </w:tc>
        <w:tc>
          <w:tcPr>
            <w:tcW w:w="0" w:type="auto"/>
            <w:hideMark/>
          </w:tcPr>
          <w:p w14:paraId="389C6D27"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0.288</w:t>
            </w:r>
          </w:p>
        </w:tc>
        <w:tc>
          <w:tcPr>
            <w:tcW w:w="0" w:type="auto"/>
            <w:hideMark/>
          </w:tcPr>
          <w:p w14:paraId="64143FD7"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0.383</w:t>
            </w:r>
          </w:p>
        </w:tc>
        <w:tc>
          <w:tcPr>
            <w:tcW w:w="0" w:type="auto"/>
            <w:hideMark/>
          </w:tcPr>
          <w:p w14:paraId="77E210A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0.861</w:t>
            </w:r>
          </w:p>
        </w:tc>
        <w:tc>
          <w:tcPr>
            <w:tcW w:w="0" w:type="auto"/>
            <w:hideMark/>
          </w:tcPr>
          <w:p w14:paraId="36A649B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0.966</w:t>
            </w:r>
          </w:p>
        </w:tc>
        <w:tc>
          <w:tcPr>
            <w:tcW w:w="0" w:type="auto"/>
            <w:hideMark/>
          </w:tcPr>
          <w:p w14:paraId="2467946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0.787</w:t>
            </w:r>
          </w:p>
        </w:tc>
        <w:tc>
          <w:tcPr>
            <w:tcW w:w="0" w:type="auto"/>
            <w:hideMark/>
          </w:tcPr>
          <w:p w14:paraId="34B5FF5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1.000</w:t>
            </w:r>
          </w:p>
        </w:tc>
        <w:tc>
          <w:tcPr>
            <w:tcW w:w="0" w:type="auto"/>
            <w:hideMark/>
          </w:tcPr>
          <w:p w14:paraId="4511ECC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0.881</w:t>
            </w:r>
          </w:p>
        </w:tc>
        <w:tc>
          <w:tcPr>
            <w:tcW w:w="0" w:type="auto"/>
            <w:hideMark/>
          </w:tcPr>
          <w:p w14:paraId="5BB6246D"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4</w:t>
            </w:r>
          </w:p>
        </w:tc>
        <w:tc>
          <w:tcPr>
            <w:tcW w:w="0" w:type="auto"/>
            <w:hideMark/>
          </w:tcPr>
          <w:p w14:paraId="75A04D0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8</w:t>
            </w:r>
          </w:p>
        </w:tc>
      </w:tr>
      <w:tr w:rsidR="00812647" w:rsidRPr="009B4D65" w14:paraId="1E9F6F06" w14:textId="77777777" w:rsidTr="00A85FF5">
        <w:tc>
          <w:tcPr>
            <w:tcW w:w="0" w:type="auto"/>
            <w:hideMark/>
          </w:tcPr>
          <w:p w14:paraId="263821F8"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İznik</w:t>
            </w:r>
          </w:p>
        </w:tc>
        <w:tc>
          <w:tcPr>
            <w:tcW w:w="0" w:type="auto"/>
            <w:hideMark/>
          </w:tcPr>
          <w:p w14:paraId="527BE67B"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Weibull</w:t>
            </w:r>
          </w:p>
        </w:tc>
        <w:tc>
          <w:tcPr>
            <w:tcW w:w="0" w:type="auto"/>
            <w:hideMark/>
          </w:tcPr>
          <w:p w14:paraId="7645F025"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0.970</w:t>
            </w:r>
          </w:p>
        </w:tc>
        <w:tc>
          <w:tcPr>
            <w:tcW w:w="0" w:type="auto"/>
            <w:hideMark/>
          </w:tcPr>
          <w:p w14:paraId="741AB81F"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0.987</w:t>
            </w:r>
          </w:p>
        </w:tc>
        <w:tc>
          <w:tcPr>
            <w:tcW w:w="0" w:type="auto"/>
            <w:hideMark/>
          </w:tcPr>
          <w:p w14:paraId="401660B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0.215</w:t>
            </w:r>
          </w:p>
        </w:tc>
        <w:tc>
          <w:tcPr>
            <w:tcW w:w="0" w:type="auto"/>
            <w:hideMark/>
          </w:tcPr>
          <w:p w14:paraId="358841A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0.278</w:t>
            </w:r>
          </w:p>
        </w:tc>
        <w:tc>
          <w:tcPr>
            <w:tcW w:w="0" w:type="auto"/>
            <w:hideMark/>
          </w:tcPr>
          <w:p w14:paraId="474AF42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0.815</w:t>
            </w:r>
          </w:p>
        </w:tc>
        <w:tc>
          <w:tcPr>
            <w:tcW w:w="0" w:type="auto"/>
            <w:hideMark/>
          </w:tcPr>
          <w:p w14:paraId="2185C2F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0.953</w:t>
            </w:r>
          </w:p>
        </w:tc>
        <w:tc>
          <w:tcPr>
            <w:tcW w:w="0" w:type="auto"/>
            <w:hideMark/>
          </w:tcPr>
          <w:p w14:paraId="2394E05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0.727</w:t>
            </w:r>
          </w:p>
        </w:tc>
        <w:tc>
          <w:tcPr>
            <w:tcW w:w="0" w:type="auto"/>
            <w:hideMark/>
          </w:tcPr>
          <w:p w14:paraId="216FFB78"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1.000</w:t>
            </w:r>
          </w:p>
        </w:tc>
        <w:tc>
          <w:tcPr>
            <w:tcW w:w="0" w:type="auto"/>
            <w:hideMark/>
          </w:tcPr>
          <w:p w14:paraId="600F007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0.842</w:t>
            </w:r>
          </w:p>
        </w:tc>
        <w:tc>
          <w:tcPr>
            <w:tcW w:w="0" w:type="auto"/>
            <w:hideMark/>
          </w:tcPr>
          <w:p w14:paraId="3A918ED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4</w:t>
            </w:r>
          </w:p>
        </w:tc>
        <w:tc>
          <w:tcPr>
            <w:tcW w:w="0" w:type="auto"/>
            <w:hideMark/>
          </w:tcPr>
          <w:p w14:paraId="7D220ED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7</w:t>
            </w:r>
          </w:p>
        </w:tc>
      </w:tr>
      <w:tr w:rsidR="00812647" w:rsidRPr="009B4D65" w14:paraId="78A7CAEB" w14:textId="77777777" w:rsidTr="00A85FF5">
        <w:tc>
          <w:tcPr>
            <w:tcW w:w="0" w:type="auto"/>
            <w:hideMark/>
          </w:tcPr>
          <w:p w14:paraId="6572FFD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07CD9999"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Gamma</w:t>
            </w:r>
          </w:p>
        </w:tc>
        <w:tc>
          <w:tcPr>
            <w:tcW w:w="0" w:type="auto"/>
            <w:hideMark/>
          </w:tcPr>
          <w:p w14:paraId="758A48C9"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0.978</w:t>
            </w:r>
          </w:p>
        </w:tc>
        <w:tc>
          <w:tcPr>
            <w:tcW w:w="0" w:type="auto"/>
            <w:hideMark/>
          </w:tcPr>
          <w:p w14:paraId="55174EC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0.987</w:t>
            </w:r>
          </w:p>
        </w:tc>
        <w:tc>
          <w:tcPr>
            <w:tcW w:w="0" w:type="auto"/>
            <w:hideMark/>
          </w:tcPr>
          <w:p w14:paraId="7A367A50"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0.170</w:t>
            </w:r>
          </w:p>
        </w:tc>
        <w:tc>
          <w:tcPr>
            <w:tcW w:w="0" w:type="auto"/>
            <w:hideMark/>
          </w:tcPr>
          <w:p w14:paraId="16FF549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0.227</w:t>
            </w:r>
          </w:p>
        </w:tc>
        <w:tc>
          <w:tcPr>
            <w:tcW w:w="0" w:type="auto"/>
            <w:hideMark/>
          </w:tcPr>
          <w:p w14:paraId="5C5CCC57"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0.852</w:t>
            </w:r>
          </w:p>
        </w:tc>
        <w:tc>
          <w:tcPr>
            <w:tcW w:w="0" w:type="auto"/>
            <w:hideMark/>
          </w:tcPr>
          <w:p w14:paraId="6F181B3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0.964</w:t>
            </w:r>
          </w:p>
        </w:tc>
        <w:tc>
          <w:tcPr>
            <w:tcW w:w="0" w:type="auto"/>
            <w:hideMark/>
          </w:tcPr>
          <w:p w14:paraId="0AD9FA1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0.774</w:t>
            </w:r>
          </w:p>
        </w:tc>
        <w:tc>
          <w:tcPr>
            <w:tcW w:w="0" w:type="auto"/>
            <w:hideMark/>
          </w:tcPr>
          <w:p w14:paraId="675CBCE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1.000</w:t>
            </w:r>
          </w:p>
        </w:tc>
        <w:tc>
          <w:tcPr>
            <w:tcW w:w="0" w:type="auto"/>
            <w:hideMark/>
          </w:tcPr>
          <w:p w14:paraId="6BC763E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0.873</w:t>
            </w:r>
          </w:p>
        </w:tc>
        <w:tc>
          <w:tcPr>
            <w:tcW w:w="0" w:type="auto"/>
            <w:hideMark/>
          </w:tcPr>
          <w:p w14:paraId="5B51408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13</w:t>
            </w:r>
          </w:p>
        </w:tc>
        <w:tc>
          <w:tcPr>
            <w:tcW w:w="0" w:type="auto"/>
            <w:hideMark/>
          </w:tcPr>
          <w:p w14:paraId="5726701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14</w:t>
            </w:r>
          </w:p>
        </w:tc>
      </w:tr>
      <w:tr w:rsidR="00812647" w:rsidRPr="009B4D65" w14:paraId="2E95E5FC" w14:textId="77777777" w:rsidTr="00A85FF5">
        <w:tc>
          <w:tcPr>
            <w:tcW w:w="0" w:type="auto"/>
            <w:hideMark/>
          </w:tcPr>
          <w:p w14:paraId="5820970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754EB28B"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Log-normal</w:t>
            </w:r>
          </w:p>
        </w:tc>
        <w:tc>
          <w:tcPr>
            <w:tcW w:w="0" w:type="auto"/>
            <w:hideMark/>
          </w:tcPr>
          <w:p w14:paraId="672477E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0.980</w:t>
            </w:r>
          </w:p>
        </w:tc>
        <w:tc>
          <w:tcPr>
            <w:tcW w:w="0" w:type="auto"/>
            <w:hideMark/>
          </w:tcPr>
          <w:p w14:paraId="7D17D677"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0.988</w:t>
            </w:r>
          </w:p>
        </w:tc>
        <w:tc>
          <w:tcPr>
            <w:tcW w:w="0" w:type="auto"/>
            <w:hideMark/>
          </w:tcPr>
          <w:p w14:paraId="168B8A5F"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0.165</w:t>
            </w:r>
          </w:p>
        </w:tc>
        <w:tc>
          <w:tcPr>
            <w:tcW w:w="0" w:type="auto"/>
            <w:hideMark/>
          </w:tcPr>
          <w:p w14:paraId="02480AC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0.220</w:t>
            </w:r>
          </w:p>
        </w:tc>
        <w:tc>
          <w:tcPr>
            <w:tcW w:w="0" w:type="auto"/>
            <w:hideMark/>
          </w:tcPr>
          <w:p w14:paraId="20D2F500"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0.852</w:t>
            </w:r>
          </w:p>
        </w:tc>
        <w:tc>
          <w:tcPr>
            <w:tcW w:w="0" w:type="auto"/>
            <w:hideMark/>
          </w:tcPr>
          <w:p w14:paraId="580DC00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0.964</w:t>
            </w:r>
          </w:p>
        </w:tc>
        <w:tc>
          <w:tcPr>
            <w:tcW w:w="0" w:type="auto"/>
            <w:hideMark/>
          </w:tcPr>
          <w:p w14:paraId="228C4115"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0.774</w:t>
            </w:r>
          </w:p>
        </w:tc>
        <w:tc>
          <w:tcPr>
            <w:tcW w:w="0" w:type="auto"/>
            <w:hideMark/>
          </w:tcPr>
          <w:p w14:paraId="79A97E1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1.000</w:t>
            </w:r>
          </w:p>
        </w:tc>
        <w:tc>
          <w:tcPr>
            <w:tcW w:w="0" w:type="auto"/>
            <w:hideMark/>
          </w:tcPr>
          <w:p w14:paraId="76584DA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0.873</w:t>
            </w:r>
          </w:p>
        </w:tc>
        <w:tc>
          <w:tcPr>
            <w:tcW w:w="0" w:type="auto"/>
            <w:hideMark/>
          </w:tcPr>
          <w:p w14:paraId="34A7797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13</w:t>
            </w:r>
          </w:p>
        </w:tc>
        <w:tc>
          <w:tcPr>
            <w:tcW w:w="0" w:type="auto"/>
            <w:hideMark/>
          </w:tcPr>
          <w:p w14:paraId="17EB07C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14</w:t>
            </w:r>
          </w:p>
        </w:tc>
      </w:tr>
      <w:tr w:rsidR="00812647" w:rsidRPr="009B4D65" w14:paraId="4482D9E4" w14:textId="77777777" w:rsidTr="00A85FF5">
        <w:tc>
          <w:tcPr>
            <w:tcW w:w="0" w:type="auto"/>
            <w:hideMark/>
          </w:tcPr>
          <w:p w14:paraId="47A4D115"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18F5F8F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Weibull</w:t>
            </w:r>
          </w:p>
        </w:tc>
        <w:tc>
          <w:tcPr>
            <w:tcW w:w="0" w:type="auto"/>
            <w:hideMark/>
          </w:tcPr>
          <w:p w14:paraId="2F5D93AB"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0.979</w:t>
            </w:r>
          </w:p>
        </w:tc>
        <w:tc>
          <w:tcPr>
            <w:tcW w:w="0" w:type="auto"/>
            <w:hideMark/>
          </w:tcPr>
          <w:p w14:paraId="33F6E2D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0.987</w:t>
            </w:r>
          </w:p>
        </w:tc>
        <w:tc>
          <w:tcPr>
            <w:tcW w:w="0" w:type="auto"/>
            <w:hideMark/>
          </w:tcPr>
          <w:p w14:paraId="2168EBCF"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0.172</w:t>
            </w:r>
          </w:p>
        </w:tc>
        <w:tc>
          <w:tcPr>
            <w:tcW w:w="0" w:type="auto"/>
            <w:hideMark/>
          </w:tcPr>
          <w:p w14:paraId="512B234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0.227</w:t>
            </w:r>
          </w:p>
        </w:tc>
        <w:tc>
          <w:tcPr>
            <w:tcW w:w="0" w:type="auto"/>
            <w:hideMark/>
          </w:tcPr>
          <w:p w14:paraId="7EF5A578"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0.837</w:t>
            </w:r>
          </w:p>
        </w:tc>
        <w:tc>
          <w:tcPr>
            <w:tcW w:w="0" w:type="auto"/>
            <w:hideMark/>
          </w:tcPr>
          <w:p w14:paraId="30D9F9C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0.961</w:t>
            </w:r>
          </w:p>
        </w:tc>
        <w:tc>
          <w:tcPr>
            <w:tcW w:w="0" w:type="auto"/>
            <w:hideMark/>
          </w:tcPr>
          <w:p w14:paraId="354F6969"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0.780</w:t>
            </w:r>
          </w:p>
        </w:tc>
        <w:tc>
          <w:tcPr>
            <w:tcW w:w="0" w:type="auto"/>
            <w:hideMark/>
          </w:tcPr>
          <w:p w14:paraId="428BA42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0.958</w:t>
            </w:r>
          </w:p>
        </w:tc>
        <w:tc>
          <w:tcPr>
            <w:tcW w:w="0" w:type="auto"/>
            <w:hideMark/>
          </w:tcPr>
          <w:p w14:paraId="02246EAB"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0.860</w:t>
            </w:r>
          </w:p>
        </w:tc>
        <w:tc>
          <w:tcPr>
            <w:tcW w:w="0" w:type="auto"/>
            <w:hideMark/>
          </w:tcPr>
          <w:p w14:paraId="4AB64015"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13</w:t>
            </w:r>
          </w:p>
        </w:tc>
        <w:tc>
          <w:tcPr>
            <w:tcW w:w="0" w:type="auto"/>
            <w:hideMark/>
          </w:tcPr>
          <w:p w14:paraId="4CC534A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15</w:t>
            </w:r>
          </w:p>
        </w:tc>
      </w:tr>
    </w:tbl>
    <w:p w14:paraId="4309182E" w14:textId="357876F0" w:rsidR="00812647" w:rsidRPr="009B4D65" w:rsidRDefault="00812647" w:rsidP="009B4D65">
      <w:pPr>
        <w:spacing w:line="276" w:lineRule="auto"/>
        <w:rPr>
          <w:rFonts w:asciiTheme="majorBidi" w:hAnsiTheme="majorBidi" w:cstheme="majorBidi"/>
          <w:i/>
          <w:iCs/>
          <w:sz w:val="22"/>
          <w:szCs w:val="22"/>
        </w:rPr>
      </w:pPr>
      <w:r w:rsidRPr="009B4D65">
        <w:rPr>
          <w:rFonts w:asciiTheme="majorBidi" w:hAnsiTheme="majorBidi" w:cstheme="majorBidi"/>
          <w:i/>
          <w:iCs/>
          <w:sz w:val="22"/>
          <w:szCs w:val="22"/>
        </w:rPr>
        <w:t>Recall = 1.000 indicates all empirically identified events were captured by the parametric fit; precision &lt; 1.0 indicates over-detection relative to the empirical reference.</w:t>
      </w:r>
    </w:p>
    <w:p w14:paraId="705C73B6" w14:textId="4F4FE9F6" w:rsidR="00E767D6" w:rsidRPr="009B4D65" w:rsidRDefault="00001BB2" w:rsidP="00996918">
      <w:pPr>
        <w:pStyle w:val="Heading2"/>
      </w:pPr>
      <w:r w:rsidRPr="009B4D65">
        <w:t xml:space="preserve">S2.4. </w:t>
      </w:r>
      <w:r w:rsidR="00E767D6" w:rsidRPr="009B4D65">
        <w:t xml:space="preserve">SLLI Time Series and Drought Event Characterization </w:t>
      </w:r>
    </w:p>
    <w:p w14:paraId="25D00AA0" w14:textId="0F813442" w:rsidR="00E767D6" w:rsidRPr="009B4D65" w:rsidRDefault="00E767D6"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Across four fitted distribution assumptions; empirical, gamma, log-normal, and Weibull; the SLLI values were highly consistent throughout the 384-month record for both lakes. Pairwise Pearson correlations among the three parametric variants exceeded r = 0.973 in all cases, with the gamma and log-normal fits producing near-identical series for both İznik (r = 0.9996, ρ = 0.9998, MAE = 0.029, RMSE = 0.035) and Uluabat (r = 0.9997, ρ = 0.9998, MAE = 0.017, RMSE = 0.025). Agreement between the empirical quantile transformation and the parametric fits was somewhat lower but remained strong: for İznik, Pearson correlations ranged from r = 0.919 (empirical vs. gamma) to r = 0.970 (empirical vs. Weibull), with Cohen's κ between 0.815 and 0.891 and categorical accuracy from 95.3% to 97.4%. For Uluabat, the empirical–parametric agreement was somewhat tighter, with Pearson correlations in the range r = 0.977–0.980 and κ from 0.838 to 0.852 (accuracy: 96.1–96.4%; Table S2). In both lakes, the parametric fits detected systematically more drought and wet events than the empirical method, with recall = 1.0 across all fits (all empirically identified events were captured), but precision ranging from 0.727 to 0.828 (İznik) and 0.774 to 0.780 (Uluabat), indicating a tendency for over-detection relative to the empirical benchmark (</w:t>
      </w:r>
      <w:r w:rsidR="00996918" w:rsidRPr="00B65F75">
        <w:rPr>
          <w:rFonts w:asciiTheme="majorBidi" w:hAnsiTheme="majorBidi" w:cstheme="majorBidi"/>
          <w:sz w:val="22"/>
          <w:szCs w:val="22"/>
        </w:rPr>
        <w:fldChar w:fldCharType="begin"/>
      </w:r>
      <w:r w:rsidR="00996918" w:rsidRPr="00B65F75">
        <w:rPr>
          <w:rFonts w:asciiTheme="majorBidi" w:hAnsiTheme="majorBidi" w:cstheme="majorBidi"/>
          <w:sz w:val="22"/>
          <w:szCs w:val="22"/>
        </w:rPr>
        <w:instrText xml:space="preserve"> REF _Ref232334161 \h </w:instrText>
      </w:r>
      <w:r w:rsidR="00B65F75" w:rsidRPr="00B65F75">
        <w:rPr>
          <w:rFonts w:asciiTheme="majorBidi" w:hAnsiTheme="majorBidi" w:cstheme="majorBidi"/>
          <w:sz w:val="22"/>
          <w:szCs w:val="22"/>
        </w:rPr>
        <w:instrText xml:space="preserve"> \* MERGEFORMAT </w:instrText>
      </w:r>
      <w:r w:rsidR="00996918" w:rsidRPr="00B65F75">
        <w:rPr>
          <w:rFonts w:asciiTheme="majorBidi" w:hAnsiTheme="majorBidi" w:cstheme="majorBidi"/>
          <w:sz w:val="22"/>
          <w:szCs w:val="22"/>
        </w:rPr>
      </w:r>
      <w:r w:rsidR="00996918" w:rsidRPr="00B65F75">
        <w:rPr>
          <w:rFonts w:asciiTheme="majorBidi" w:hAnsiTheme="majorBidi" w:cstheme="majorBidi"/>
          <w:sz w:val="22"/>
          <w:szCs w:val="22"/>
        </w:rPr>
        <w:fldChar w:fldCharType="separate"/>
      </w:r>
      <w:r w:rsidR="00996918" w:rsidRPr="00B65F75">
        <w:rPr>
          <w:rFonts w:asciiTheme="majorBidi" w:hAnsiTheme="majorBidi" w:cstheme="majorBidi"/>
          <w:sz w:val="22"/>
          <w:szCs w:val="22"/>
        </w:rPr>
        <w:t xml:space="preserve">Table S </w:t>
      </w:r>
      <w:r w:rsidR="00996918" w:rsidRPr="00B65F75">
        <w:rPr>
          <w:rFonts w:asciiTheme="majorBidi" w:hAnsiTheme="majorBidi" w:cstheme="majorBidi"/>
          <w:noProof/>
          <w:sz w:val="22"/>
          <w:szCs w:val="22"/>
        </w:rPr>
        <w:t>3</w:t>
      </w:r>
      <w:r w:rsidR="00996918" w:rsidRPr="00B65F75">
        <w:rPr>
          <w:rFonts w:asciiTheme="majorBidi" w:hAnsiTheme="majorBidi" w:cstheme="majorBidi"/>
          <w:sz w:val="22"/>
          <w:szCs w:val="22"/>
        </w:rPr>
        <w:fldChar w:fldCharType="end"/>
      </w:r>
      <w:r w:rsidRPr="009B4D65">
        <w:rPr>
          <w:rFonts w:asciiTheme="majorBidi" w:hAnsiTheme="majorBidi" w:cstheme="majorBidi"/>
          <w:sz w:val="22"/>
          <w:szCs w:val="22"/>
        </w:rPr>
        <w:t>).</w:t>
      </w:r>
    </w:p>
    <w:p w14:paraId="330D030F" w14:textId="0AF12C9D" w:rsidR="00AD0248" w:rsidRDefault="00AD0248" w:rsidP="009B4D65">
      <w:pPr>
        <w:spacing w:line="276" w:lineRule="auto"/>
        <w:rPr>
          <w:rFonts w:asciiTheme="majorBidi" w:hAnsiTheme="majorBidi" w:cstheme="majorBidi"/>
          <w:sz w:val="22"/>
          <w:szCs w:val="22"/>
        </w:rPr>
      </w:pPr>
      <w:r w:rsidRPr="00AD0248">
        <w:rPr>
          <w:rFonts w:asciiTheme="majorBidi" w:hAnsiTheme="majorBidi" w:cstheme="majorBidi"/>
          <w:sz w:val="22"/>
          <w:szCs w:val="22"/>
        </w:rPr>
        <w:t>The LOO stability analysis confirmed that the SLLI is highly insensitive to the omission of any individual month. For Lake İznik, the LOO series showed near-perfect agreement with the full series (Pearson's r = 0.998, Spearman's ρ = 1.000, MAE = 0.068, RMSE = 0.110), while similarly strong performance was obtained for Lake Uluabat (r = 0.998, ρ = 1.000, MAE = 0.068, RMSE = 0.110). The perfect rank correlation in both lakes indicates complete preservation of the ordering of all 384 monthly SLLI values regardless of which observation was withheld, demonstrating that the index is not unduly influenced by any single month.</w:t>
      </w:r>
    </w:p>
    <w:p w14:paraId="284E8811" w14:textId="3AD89DB6" w:rsidR="00E767D6" w:rsidRPr="007E4228" w:rsidRDefault="00E767D6" w:rsidP="009B4D65">
      <w:pPr>
        <w:spacing w:line="276" w:lineRule="auto"/>
        <w:rPr>
          <w:rFonts w:asciiTheme="majorBidi" w:hAnsiTheme="majorBidi" w:cstheme="majorBidi"/>
          <w:sz w:val="22"/>
          <w:szCs w:val="22"/>
        </w:rPr>
      </w:pPr>
      <w:r w:rsidRPr="007E4228">
        <w:rPr>
          <w:rFonts w:asciiTheme="majorBidi" w:hAnsiTheme="majorBidi" w:cstheme="majorBidi"/>
          <w:sz w:val="22"/>
          <w:szCs w:val="22"/>
        </w:rPr>
        <w:t>The empirical SLLI series for Lake İznik exhibited a near-symmetric distribution over the 384-month record (mean = 0.072), with 16.1% of months classified as wet or wetter (SLLI ≥ 1.0) and 12.5% classified as drought or drier (SLLI ≤ −1.0). Of the 384 months, 274 (71.4%) fell within the "near normal" class (−1.0 &lt; SLLI &lt; 1.0), 38 (9.9%) in the moderately wet class, 12 (3.1%) each in the very wet and extremely wet classes, 36 (9.4%) in the moderate drought class, and 12 (3.1%) each in the severe and extreme drought classes.</w:t>
      </w:r>
    </w:p>
    <w:p w14:paraId="67C6B0CA" w14:textId="71CCF65B" w:rsidR="00E767D6" w:rsidRPr="009B4D65" w:rsidRDefault="00E767D6" w:rsidP="009B4D65">
      <w:pPr>
        <w:spacing w:line="276" w:lineRule="auto"/>
        <w:rPr>
          <w:rFonts w:asciiTheme="majorBidi" w:hAnsiTheme="majorBidi" w:cstheme="majorBidi"/>
          <w:sz w:val="22"/>
          <w:szCs w:val="22"/>
        </w:rPr>
      </w:pPr>
      <w:r w:rsidRPr="007E4228">
        <w:rPr>
          <w:rFonts w:asciiTheme="majorBidi" w:hAnsiTheme="majorBidi" w:cstheme="majorBidi"/>
          <w:sz w:val="22"/>
          <w:szCs w:val="22"/>
        </w:rPr>
        <w:t>At the standard drought-identification threshold of SLLI ≤ −1.0, four distinct drought events were identified for Lake İznik over the full record. The first event was brief (October–December 2009; duration = 3 months; minimum SLLI = −1.097; severity = 2.27). The second event occurred between December</w:t>
      </w:r>
      <w:r w:rsidRPr="009B4D65">
        <w:rPr>
          <w:rFonts w:asciiTheme="majorBidi" w:hAnsiTheme="majorBidi" w:cstheme="majorBidi"/>
          <w:sz w:val="22"/>
          <w:szCs w:val="22"/>
        </w:rPr>
        <w:t xml:space="preserve"> 2019 and June 2020 (7 months; minimum SLLI = −1.097; severity = 7.55). The third and by far most severe event commenced in October 2020 and persisted through October 2023 (37 consecutive months), with a minimum SLLI of −1.691, a mean index of −1.444, and cumulative severity of 53.44; accounting for approximately 69% of the total drought severity accumulated across all four events. A fourth, shorter event emerged in June–October 2024 (5 months; severity = 5.04). The dominance of the 2020–2023 episode in the threshold-sensitivity analysis is striking: lowering the threshold from −1.0 to −1.2 collapses the event count from four to one (the 2020–2023 event alone), and at −1.5 only this single event remains, now spanning 13 months of its most intense phase (Table S4). No months exceeded the SLLI ≤ −2.0 threshold, indicating that even the most extreme drought phase did not reach the "exceptional drought" category under the empirical transformation.</w:t>
      </w:r>
    </w:p>
    <w:p w14:paraId="41DA5785" w14:textId="0AE250C5" w:rsidR="00E767D6" w:rsidRPr="00175F46" w:rsidRDefault="00E767D6" w:rsidP="008F4FB6">
      <w:pPr>
        <w:spacing w:line="276" w:lineRule="auto"/>
        <w:rPr>
          <w:rFonts w:asciiTheme="majorBidi" w:hAnsiTheme="majorBidi" w:cstheme="majorBidi"/>
          <w:color w:val="000000" w:themeColor="text1"/>
          <w:sz w:val="22"/>
          <w:szCs w:val="22"/>
        </w:rPr>
      </w:pPr>
      <w:r w:rsidRPr="009B4D65">
        <w:rPr>
          <w:rFonts w:asciiTheme="majorBidi" w:hAnsiTheme="majorBidi" w:cstheme="majorBidi"/>
          <w:sz w:val="22"/>
          <w:szCs w:val="22"/>
        </w:rPr>
        <w:t>For Lake Uluabat, the SLLI distribution was similarly symmetric (mean = 0.071), with 15.6% of months classified as wet or wetter and 12.5% as drought or drier, broadly consistent with the theoretical expectation under a symmetric transformation. However, the structure of identified drought events differed substantially from İznik. Thirteen distinct events were identified at the −1.0 threshold over the 384-month record, with a substantially higher event frequency but shorter individual durations (mean event duration = 4.7 months</w:t>
      </w:r>
      <w:r w:rsidR="00C43BC2">
        <w:rPr>
          <w:rFonts w:asciiTheme="majorBidi" w:hAnsiTheme="majorBidi" w:cstheme="majorBidi"/>
          <w:sz w:val="22"/>
          <w:szCs w:val="22"/>
        </w:rPr>
        <w:t>)</w:t>
      </w:r>
      <w:r w:rsidRPr="009B4D65">
        <w:rPr>
          <w:rFonts w:asciiTheme="majorBidi" w:hAnsiTheme="majorBidi" w:cstheme="majorBidi"/>
          <w:sz w:val="22"/>
          <w:szCs w:val="22"/>
        </w:rPr>
        <w:t xml:space="preserve">. The longest event extended from December 2006 through December 2007 (13 months; severity = 19.93), followed by a 9-month event from May 2008 to January 2009 (severity = 11.72). The most recent event identified in the observed record ran from January to April 2023 (4 months; severity = 4.39). Unlike İznik, where one event dominates the integrated severity budget, the Uluabat drought history is more temporally distributed and shows no single overwhelming episode. Threshold sensitivity at Uluabat was considerably more gradual than at İznik: 13 events at −1.0, 9 events at −1.2, and 4 events at −1.5, suggesting that the drought signal at this lake is distributed more evenly across intensity classes and is less susceptible to threshold </w:t>
      </w:r>
      <w:r w:rsidRPr="00175F46">
        <w:rPr>
          <w:rFonts w:asciiTheme="majorBidi" w:hAnsiTheme="majorBidi" w:cstheme="majorBidi"/>
          <w:color w:val="000000" w:themeColor="text1"/>
          <w:sz w:val="22"/>
          <w:szCs w:val="22"/>
        </w:rPr>
        <w:t>choice (</w:t>
      </w:r>
      <w:r w:rsidR="00175F46" w:rsidRPr="00175F46">
        <w:rPr>
          <w:rFonts w:asciiTheme="majorBidi" w:hAnsiTheme="majorBidi" w:cstheme="majorBidi"/>
          <w:color w:val="000000" w:themeColor="text1"/>
          <w:sz w:val="22"/>
          <w:szCs w:val="22"/>
        </w:rPr>
        <w:fldChar w:fldCharType="begin"/>
      </w:r>
      <w:r w:rsidR="00175F46" w:rsidRPr="00175F46">
        <w:rPr>
          <w:rFonts w:asciiTheme="majorBidi" w:hAnsiTheme="majorBidi" w:cstheme="majorBidi"/>
          <w:color w:val="000000" w:themeColor="text1"/>
          <w:sz w:val="22"/>
          <w:szCs w:val="22"/>
        </w:rPr>
        <w:instrText xml:space="preserve"> REF _Ref232280938 \h  \* MERGEFORMAT </w:instrText>
      </w:r>
      <w:r w:rsidR="00175F46" w:rsidRPr="00175F46">
        <w:rPr>
          <w:rFonts w:asciiTheme="majorBidi" w:hAnsiTheme="majorBidi" w:cstheme="majorBidi"/>
          <w:color w:val="000000" w:themeColor="text1"/>
          <w:sz w:val="22"/>
          <w:szCs w:val="22"/>
        </w:rPr>
      </w:r>
      <w:r w:rsidR="00175F46" w:rsidRPr="00175F46">
        <w:rPr>
          <w:rFonts w:asciiTheme="majorBidi" w:hAnsiTheme="majorBidi" w:cstheme="majorBidi"/>
          <w:color w:val="000000" w:themeColor="text1"/>
          <w:sz w:val="22"/>
          <w:szCs w:val="22"/>
        </w:rPr>
        <w:fldChar w:fldCharType="separate"/>
      </w:r>
      <w:r w:rsidR="00175F46" w:rsidRPr="00175F46">
        <w:rPr>
          <w:rFonts w:asciiTheme="majorBidi" w:hAnsiTheme="majorBidi" w:cstheme="majorBidi"/>
          <w:sz w:val="22"/>
          <w:szCs w:val="22"/>
        </w:rPr>
        <w:t xml:space="preserve">Table S </w:t>
      </w:r>
      <w:r w:rsidR="00175F46" w:rsidRPr="00175F46">
        <w:rPr>
          <w:rFonts w:asciiTheme="majorBidi" w:hAnsiTheme="majorBidi" w:cstheme="majorBidi"/>
          <w:noProof/>
          <w:sz w:val="22"/>
          <w:szCs w:val="22"/>
        </w:rPr>
        <w:t>5</w:t>
      </w:r>
      <w:r w:rsidR="00175F46" w:rsidRPr="00175F46">
        <w:rPr>
          <w:rFonts w:asciiTheme="majorBidi" w:hAnsiTheme="majorBidi" w:cstheme="majorBidi"/>
          <w:color w:val="000000" w:themeColor="text1"/>
          <w:sz w:val="22"/>
          <w:szCs w:val="22"/>
        </w:rPr>
        <w:fldChar w:fldCharType="end"/>
      </w:r>
      <w:r w:rsidRPr="00175F46">
        <w:rPr>
          <w:rFonts w:asciiTheme="majorBidi" w:hAnsiTheme="majorBidi" w:cstheme="majorBidi"/>
          <w:color w:val="000000" w:themeColor="text1"/>
          <w:sz w:val="22"/>
          <w:szCs w:val="22"/>
        </w:rPr>
        <w:t>).</w:t>
      </w:r>
    </w:p>
    <w:p w14:paraId="4EF170DB" w14:textId="3F265C19" w:rsidR="00812647" w:rsidRPr="009B4D65" w:rsidRDefault="002F41C5" w:rsidP="002F41C5">
      <w:pPr>
        <w:pStyle w:val="Caption"/>
        <w:rPr>
          <w:rFonts w:cstheme="majorBidi"/>
          <w:sz w:val="22"/>
          <w:szCs w:val="22"/>
        </w:rPr>
      </w:pPr>
      <w:bookmarkStart w:id="4" w:name="_Ref232280938"/>
      <w:r>
        <w:t xml:space="preserve">Table S </w:t>
      </w:r>
      <w:fldSimple w:instr=" SEQ Table_S \* ARABIC ">
        <w:r>
          <w:rPr>
            <w:noProof/>
          </w:rPr>
          <w:t>5</w:t>
        </w:r>
      </w:fldSimple>
      <w:bookmarkEnd w:id="4"/>
      <w:r>
        <w:t>.</w:t>
      </w:r>
      <w:r>
        <w:rPr>
          <w:rFonts w:cstheme="majorBidi"/>
          <w:sz w:val="22"/>
          <w:szCs w:val="22"/>
        </w:rPr>
        <w:t xml:space="preserve"> </w:t>
      </w:r>
      <w:r w:rsidR="00812647" w:rsidRPr="009B4D65">
        <w:rPr>
          <w:rFonts w:cstheme="majorBidi"/>
          <w:sz w:val="22"/>
          <w:szCs w:val="22"/>
        </w:rPr>
        <w:t>Threshold sensitivity analysis: dependence of drought event statistics on the SLLI detection threshold.</w:t>
      </w:r>
    </w:p>
    <w:tbl>
      <w:tblPr>
        <w:tblStyle w:val="ElsevierFormate"/>
        <w:tblW w:w="0" w:type="auto"/>
        <w:tblLook w:val="04A0" w:firstRow="1" w:lastRow="0" w:firstColumn="1" w:lastColumn="0" w:noHBand="0" w:noVBand="1"/>
      </w:tblPr>
      <w:tblGrid>
        <w:gridCol w:w="913"/>
        <w:gridCol w:w="1109"/>
        <w:gridCol w:w="1075"/>
        <w:gridCol w:w="1942"/>
        <w:gridCol w:w="1979"/>
        <w:gridCol w:w="1314"/>
        <w:gridCol w:w="1028"/>
      </w:tblGrid>
      <w:tr w:rsidR="00812647" w:rsidRPr="00AA6EA3" w14:paraId="5E5E1277" w14:textId="77777777" w:rsidTr="00A85FF5">
        <w:tc>
          <w:tcPr>
            <w:tcW w:w="0" w:type="auto"/>
            <w:tcBorders>
              <w:top w:val="single" w:sz="4" w:space="0" w:color="auto"/>
              <w:bottom w:val="single" w:sz="4" w:space="0" w:color="auto"/>
            </w:tcBorders>
            <w:hideMark/>
          </w:tcPr>
          <w:p w14:paraId="1F835ABA"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Lake</w:t>
            </w:r>
          </w:p>
        </w:tc>
        <w:tc>
          <w:tcPr>
            <w:tcW w:w="0" w:type="auto"/>
            <w:tcBorders>
              <w:top w:val="single" w:sz="4" w:space="0" w:color="auto"/>
              <w:bottom w:val="single" w:sz="4" w:space="0" w:color="auto"/>
            </w:tcBorders>
            <w:hideMark/>
          </w:tcPr>
          <w:p w14:paraId="0D3C4AE5"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Threshold</w:t>
            </w:r>
          </w:p>
        </w:tc>
        <w:tc>
          <w:tcPr>
            <w:tcW w:w="0" w:type="auto"/>
            <w:tcBorders>
              <w:top w:val="single" w:sz="4" w:space="0" w:color="auto"/>
              <w:bottom w:val="single" w:sz="4" w:space="0" w:color="auto"/>
            </w:tcBorders>
            <w:hideMark/>
          </w:tcPr>
          <w:p w14:paraId="5D11E4F1"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Events (N)</w:t>
            </w:r>
          </w:p>
        </w:tc>
        <w:tc>
          <w:tcPr>
            <w:tcW w:w="0" w:type="auto"/>
            <w:tcBorders>
              <w:top w:val="single" w:sz="4" w:space="0" w:color="auto"/>
              <w:bottom w:val="single" w:sz="4" w:space="0" w:color="auto"/>
            </w:tcBorders>
            <w:hideMark/>
          </w:tcPr>
          <w:p w14:paraId="1288E2C5"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Total duration (months)</w:t>
            </w:r>
          </w:p>
        </w:tc>
        <w:tc>
          <w:tcPr>
            <w:tcW w:w="0" w:type="auto"/>
            <w:tcBorders>
              <w:top w:val="single" w:sz="4" w:space="0" w:color="auto"/>
              <w:bottom w:val="single" w:sz="4" w:space="0" w:color="auto"/>
            </w:tcBorders>
            <w:hideMark/>
          </w:tcPr>
          <w:p w14:paraId="287064A7"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Mean duration (months)</w:t>
            </w:r>
          </w:p>
        </w:tc>
        <w:tc>
          <w:tcPr>
            <w:tcW w:w="0" w:type="auto"/>
            <w:tcBorders>
              <w:top w:val="single" w:sz="4" w:space="0" w:color="auto"/>
              <w:bottom w:val="single" w:sz="4" w:space="0" w:color="auto"/>
            </w:tcBorders>
            <w:hideMark/>
          </w:tcPr>
          <w:p w14:paraId="7AD22046"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Mean severity</w:t>
            </w:r>
          </w:p>
        </w:tc>
        <w:tc>
          <w:tcPr>
            <w:tcW w:w="0" w:type="auto"/>
            <w:tcBorders>
              <w:top w:val="single" w:sz="4" w:space="0" w:color="auto"/>
              <w:bottom w:val="single" w:sz="4" w:space="0" w:color="auto"/>
            </w:tcBorders>
            <w:hideMark/>
          </w:tcPr>
          <w:p w14:paraId="6A2D13D0"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Min SLLI</w:t>
            </w:r>
          </w:p>
        </w:tc>
      </w:tr>
      <w:tr w:rsidR="00812647" w:rsidRPr="00AA6EA3" w14:paraId="07BA5A81" w14:textId="77777777" w:rsidTr="00A85FF5">
        <w:tc>
          <w:tcPr>
            <w:tcW w:w="0" w:type="auto"/>
            <w:tcBorders>
              <w:top w:val="single" w:sz="4" w:space="0" w:color="auto"/>
            </w:tcBorders>
            <w:hideMark/>
          </w:tcPr>
          <w:p w14:paraId="59F73B64"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İznik</w:t>
            </w:r>
          </w:p>
        </w:tc>
        <w:tc>
          <w:tcPr>
            <w:tcW w:w="0" w:type="auto"/>
            <w:tcBorders>
              <w:top w:val="single" w:sz="4" w:space="0" w:color="auto"/>
            </w:tcBorders>
            <w:hideMark/>
          </w:tcPr>
          <w:p w14:paraId="7CAE5533"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−0.5</w:t>
            </w:r>
          </w:p>
        </w:tc>
        <w:tc>
          <w:tcPr>
            <w:tcW w:w="0" w:type="auto"/>
            <w:tcBorders>
              <w:top w:val="single" w:sz="4" w:space="0" w:color="auto"/>
            </w:tcBorders>
            <w:hideMark/>
          </w:tcPr>
          <w:p w14:paraId="4707789E"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13</w:t>
            </w:r>
          </w:p>
        </w:tc>
        <w:tc>
          <w:tcPr>
            <w:tcW w:w="0" w:type="auto"/>
            <w:tcBorders>
              <w:top w:val="single" w:sz="4" w:space="0" w:color="auto"/>
            </w:tcBorders>
            <w:hideMark/>
          </w:tcPr>
          <w:p w14:paraId="04AB1F3E"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120</w:t>
            </w:r>
          </w:p>
        </w:tc>
        <w:tc>
          <w:tcPr>
            <w:tcW w:w="0" w:type="auto"/>
            <w:tcBorders>
              <w:top w:val="single" w:sz="4" w:space="0" w:color="auto"/>
            </w:tcBorders>
            <w:hideMark/>
          </w:tcPr>
          <w:p w14:paraId="33DA38D5"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9.2</w:t>
            </w:r>
          </w:p>
        </w:tc>
        <w:tc>
          <w:tcPr>
            <w:tcW w:w="0" w:type="auto"/>
            <w:tcBorders>
              <w:top w:val="single" w:sz="4" w:space="0" w:color="auto"/>
            </w:tcBorders>
            <w:hideMark/>
          </w:tcPr>
          <w:p w14:paraId="55C31CC4"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8.79</w:t>
            </w:r>
          </w:p>
        </w:tc>
        <w:tc>
          <w:tcPr>
            <w:tcW w:w="0" w:type="auto"/>
            <w:tcBorders>
              <w:top w:val="single" w:sz="4" w:space="0" w:color="auto"/>
            </w:tcBorders>
            <w:hideMark/>
          </w:tcPr>
          <w:p w14:paraId="39337FCB"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−1.691</w:t>
            </w:r>
          </w:p>
        </w:tc>
      </w:tr>
      <w:tr w:rsidR="00812647" w:rsidRPr="00AA6EA3" w14:paraId="21ED5217" w14:textId="77777777" w:rsidTr="00A85FF5">
        <w:tc>
          <w:tcPr>
            <w:tcW w:w="0" w:type="auto"/>
            <w:hideMark/>
          </w:tcPr>
          <w:p w14:paraId="132EAC7B"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İznik</w:t>
            </w:r>
          </w:p>
        </w:tc>
        <w:tc>
          <w:tcPr>
            <w:tcW w:w="0" w:type="auto"/>
            <w:hideMark/>
          </w:tcPr>
          <w:p w14:paraId="009BA535"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−0.8</w:t>
            </w:r>
          </w:p>
        </w:tc>
        <w:tc>
          <w:tcPr>
            <w:tcW w:w="0" w:type="auto"/>
            <w:hideMark/>
          </w:tcPr>
          <w:p w14:paraId="6E1D9068"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8</w:t>
            </w:r>
          </w:p>
        </w:tc>
        <w:tc>
          <w:tcPr>
            <w:tcW w:w="0" w:type="auto"/>
            <w:hideMark/>
          </w:tcPr>
          <w:p w14:paraId="7F39E1C9"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79</w:t>
            </w:r>
          </w:p>
        </w:tc>
        <w:tc>
          <w:tcPr>
            <w:tcW w:w="0" w:type="auto"/>
            <w:hideMark/>
          </w:tcPr>
          <w:p w14:paraId="6A97D913"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9.9</w:t>
            </w:r>
          </w:p>
        </w:tc>
        <w:tc>
          <w:tcPr>
            <w:tcW w:w="0" w:type="auto"/>
            <w:hideMark/>
          </w:tcPr>
          <w:p w14:paraId="5E6F8DE2"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11.40</w:t>
            </w:r>
          </w:p>
        </w:tc>
        <w:tc>
          <w:tcPr>
            <w:tcW w:w="0" w:type="auto"/>
            <w:hideMark/>
          </w:tcPr>
          <w:p w14:paraId="78A30B16"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−1.691</w:t>
            </w:r>
          </w:p>
        </w:tc>
      </w:tr>
      <w:tr w:rsidR="00812647" w:rsidRPr="00AA6EA3" w14:paraId="3A8D8132" w14:textId="77777777" w:rsidTr="00A85FF5">
        <w:tc>
          <w:tcPr>
            <w:tcW w:w="0" w:type="auto"/>
            <w:hideMark/>
          </w:tcPr>
          <w:p w14:paraId="28730304"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İznik</w:t>
            </w:r>
          </w:p>
        </w:tc>
        <w:tc>
          <w:tcPr>
            <w:tcW w:w="0" w:type="auto"/>
            <w:hideMark/>
          </w:tcPr>
          <w:p w14:paraId="5F476EF1"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−1.0</w:t>
            </w:r>
          </w:p>
        </w:tc>
        <w:tc>
          <w:tcPr>
            <w:tcW w:w="0" w:type="auto"/>
            <w:hideMark/>
          </w:tcPr>
          <w:p w14:paraId="5278001F"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4</w:t>
            </w:r>
          </w:p>
        </w:tc>
        <w:tc>
          <w:tcPr>
            <w:tcW w:w="0" w:type="auto"/>
            <w:hideMark/>
          </w:tcPr>
          <w:p w14:paraId="60A986AB"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52</w:t>
            </w:r>
          </w:p>
        </w:tc>
        <w:tc>
          <w:tcPr>
            <w:tcW w:w="0" w:type="auto"/>
            <w:hideMark/>
          </w:tcPr>
          <w:p w14:paraId="62A02D0E"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13.0</w:t>
            </w:r>
          </w:p>
        </w:tc>
        <w:tc>
          <w:tcPr>
            <w:tcW w:w="0" w:type="auto"/>
            <w:hideMark/>
          </w:tcPr>
          <w:p w14:paraId="35ED513F"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17.07</w:t>
            </w:r>
          </w:p>
        </w:tc>
        <w:tc>
          <w:tcPr>
            <w:tcW w:w="0" w:type="auto"/>
            <w:hideMark/>
          </w:tcPr>
          <w:p w14:paraId="6C52AB96"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−1.691</w:t>
            </w:r>
          </w:p>
        </w:tc>
      </w:tr>
      <w:tr w:rsidR="00812647" w:rsidRPr="00AA6EA3" w14:paraId="18FF157B" w14:textId="77777777" w:rsidTr="00A85FF5">
        <w:tc>
          <w:tcPr>
            <w:tcW w:w="0" w:type="auto"/>
            <w:hideMark/>
          </w:tcPr>
          <w:p w14:paraId="61A21DA0"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İznik</w:t>
            </w:r>
          </w:p>
        </w:tc>
        <w:tc>
          <w:tcPr>
            <w:tcW w:w="0" w:type="auto"/>
            <w:hideMark/>
          </w:tcPr>
          <w:p w14:paraId="23576163"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−1.2</w:t>
            </w:r>
          </w:p>
        </w:tc>
        <w:tc>
          <w:tcPr>
            <w:tcW w:w="0" w:type="auto"/>
            <w:hideMark/>
          </w:tcPr>
          <w:p w14:paraId="6A3FD9C5"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w:t>
            </w:r>
          </w:p>
        </w:tc>
        <w:tc>
          <w:tcPr>
            <w:tcW w:w="0" w:type="auto"/>
            <w:hideMark/>
          </w:tcPr>
          <w:p w14:paraId="2E924D5C"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37</w:t>
            </w:r>
          </w:p>
        </w:tc>
        <w:tc>
          <w:tcPr>
            <w:tcW w:w="0" w:type="auto"/>
            <w:hideMark/>
          </w:tcPr>
          <w:p w14:paraId="3DAE8063"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37.0</w:t>
            </w:r>
          </w:p>
        </w:tc>
        <w:tc>
          <w:tcPr>
            <w:tcW w:w="0" w:type="auto"/>
            <w:hideMark/>
          </w:tcPr>
          <w:p w14:paraId="6A80381E"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53.44</w:t>
            </w:r>
          </w:p>
        </w:tc>
        <w:tc>
          <w:tcPr>
            <w:tcW w:w="0" w:type="auto"/>
            <w:hideMark/>
          </w:tcPr>
          <w:p w14:paraId="53F5D527"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−1.691</w:t>
            </w:r>
          </w:p>
        </w:tc>
      </w:tr>
      <w:tr w:rsidR="00812647" w:rsidRPr="00AA6EA3" w14:paraId="5C2B0802" w14:textId="77777777" w:rsidTr="00A85FF5">
        <w:tc>
          <w:tcPr>
            <w:tcW w:w="0" w:type="auto"/>
            <w:hideMark/>
          </w:tcPr>
          <w:p w14:paraId="0CE7E122"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İznik</w:t>
            </w:r>
          </w:p>
        </w:tc>
        <w:tc>
          <w:tcPr>
            <w:tcW w:w="0" w:type="auto"/>
            <w:hideMark/>
          </w:tcPr>
          <w:p w14:paraId="36B499D6"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−1.5</w:t>
            </w:r>
          </w:p>
        </w:tc>
        <w:tc>
          <w:tcPr>
            <w:tcW w:w="0" w:type="auto"/>
            <w:hideMark/>
          </w:tcPr>
          <w:p w14:paraId="497E8155"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w:t>
            </w:r>
          </w:p>
        </w:tc>
        <w:tc>
          <w:tcPr>
            <w:tcW w:w="0" w:type="auto"/>
            <w:hideMark/>
          </w:tcPr>
          <w:p w14:paraId="15346483"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13</w:t>
            </w:r>
          </w:p>
        </w:tc>
        <w:tc>
          <w:tcPr>
            <w:tcW w:w="0" w:type="auto"/>
            <w:hideMark/>
          </w:tcPr>
          <w:p w14:paraId="1600A5C6"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13.0</w:t>
            </w:r>
          </w:p>
        </w:tc>
        <w:tc>
          <w:tcPr>
            <w:tcW w:w="0" w:type="auto"/>
            <w:hideMark/>
          </w:tcPr>
          <w:p w14:paraId="31E4488A"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21.25</w:t>
            </w:r>
          </w:p>
        </w:tc>
        <w:tc>
          <w:tcPr>
            <w:tcW w:w="0" w:type="auto"/>
            <w:hideMark/>
          </w:tcPr>
          <w:p w14:paraId="1DBFA509"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−1.691</w:t>
            </w:r>
          </w:p>
        </w:tc>
      </w:tr>
      <w:tr w:rsidR="00812647" w:rsidRPr="00AA6EA3" w14:paraId="0F7D4DBC" w14:textId="77777777" w:rsidTr="00A85FF5">
        <w:tc>
          <w:tcPr>
            <w:tcW w:w="0" w:type="auto"/>
            <w:hideMark/>
          </w:tcPr>
          <w:p w14:paraId="79DF2856"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İznik</w:t>
            </w:r>
          </w:p>
        </w:tc>
        <w:tc>
          <w:tcPr>
            <w:tcW w:w="0" w:type="auto"/>
            <w:hideMark/>
          </w:tcPr>
          <w:p w14:paraId="011B75DD"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−2.0</w:t>
            </w:r>
          </w:p>
        </w:tc>
        <w:tc>
          <w:tcPr>
            <w:tcW w:w="0" w:type="auto"/>
            <w:hideMark/>
          </w:tcPr>
          <w:p w14:paraId="15855443"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0</w:t>
            </w:r>
          </w:p>
        </w:tc>
        <w:tc>
          <w:tcPr>
            <w:tcW w:w="0" w:type="auto"/>
            <w:hideMark/>
          </w:tcPr>
          <w:p w14:paraId="36FE51ED"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w:t>
            </w:r>
          </w:p>
        </w:tc>
        <w:tc>
          <w:tcPr>
            <w:tcW w:w="0" w:type="auto"/>
            <w:hideMark/>
          </w:tcPr>
          <w:p w14:paraId="5599D04B"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w:t>
            </w:r>
          </w:p>
        </w:tc>
        <w:tc>
          <w:tcPr>
            <w:tcW w:w="0" w:type="auto"/>
            <w:hideMark/>
          </w:tcPr>
          <w:p w14:paraId="08D8B1A7"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w:t>
            </w:r>
          </w:p>
        </w:tc>
        <w:tc>
          <w:tcPr>
            <w:tcW w:w="0" w:type="auto"/>
            <w:hideMark/>
          </w:tcPr>
          <w:p w14:paraId="7C24166D"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−1.691</w:t>
            </w:r>
          </w:p>
        </w:tc>
      </w:tr>
      <w:tr w:rsidR="00812647" w:rsidRPr="00AA6EA3" w14:paraId="40911493" w14:textId="77777777" w:rsidTr="00A85FF5">
        <w:tc>
          <w:tcPr>
            <w:tcW w:w="0" w:type="auto"/>
            <w:hideMark/>
          </w:tcPr>
          <w:p w14:paraId="551BDBC5"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Uluabat</w:t>
            </w:r>
          </w:p>
        </w:tc>
        <w:tc>
          <w:tcPr>
            <w:tcW w:w="0" w:type="auto"/>
            <w:hideMark/>
          </w:tcPr>
          <w:p w14:paraId="28CAF06E"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−0.5</w:t>
            </w:r>
          </w:p>
        </w:tc>
        <w:tc>
          <w:tcPr>
            <w:tcW w:w="0" w:type="auto"/>
            <w:hideMark/>
          </w:tcPr>
          <w:p w14:paraId="0C7679F7"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27</w:t>
            </w:r>
          </w:p>
        </w:tc>
        <w:tc>
          <w:tcPr>
            <w:tcW w:w="0" w:type="auto"/>
            <w:hideMark/>
          </w:tcPr>
          <w:p w14:paraId="3831AF94"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134</w:t>
            </w:r>
          </w:p>
        </w:tc>
        <w:tc>
          <w:tcPr>
            <w:tcW w:w="0" w:type="auto"/>
            <w:hideMark/>
          </w:tcPr>
          <w:p w14:paraId="6529991B"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5.0</w:t>
            </w:r>
          </w:p>
        </w:tc>
        <w:tc>
          <w:tcPr>
            <w:tcW w:w="0" w:type="auto"/>
            <w:hideMark/>
          </w:tcPr>
          <w:p w14:paraId="07E38092"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4.23</w:t>
            </w:r>
          </w:p>
        </w:tc>
        <w:tc>
          <w:tcPr>
            <w:tcW w:w="0" w:type="auto"/>
            <w:hideMark/>
          </w:tcPr>
          <w:p w14:paraId="3DC819C3"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−1.691</w:t>
            </w:r>
          </w:p>
        </w:tc>
      </w:tr>
      <w:tr w:rsidR="00812647" w:rsidRPr="00AA6EA3" w14:paraId="1BC4A269" w14:textId="77777777" w:rsidTr="00A85FF5">
        <w:tc>
          <w:tcPr>
            <w:tcW w:w="0" w:type="auto"/>
            <w:hideMark/>
          </w:tcPr>
          <w:p w14:paraId="18CF10DD"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Uluabat</w:t>
            </w:r>
          </w:p>
        </w:tc>
        <w:tc>
          <w:tcPr>
            <w:tcW w:w="0" w:type="auto"/>
            <w:hideMark/>
          </w:tcPr>
          <w:p w14:paraId="5AC6B05F"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−0.8</w:t>
            </w:r>
          </w:p>
        </w:tc>
        <w:tc>
          <w:tcPr>
            <w:tcW w:w="0" w:type="auto"/>
            <w:hideMark/>
          </w:tcPr>
          <w:p w14:paraId="13690E4C"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15</w:t>
            </w:r>
          </w:p>
        </w:tc>
        <w:tc>
          <w:tcPr>
            <w:tcW w:w="0" w:type="auto"/>
            <w:hideMark/>
          </w:tcPr>
          <w:p w14:paraId="40562EA9"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86</w:t>
            </w:r>
          </w:p>
        </w:tc>
        <w:tc>
          <w:tcPr>
            <w:tcW w:w="0" w:type="auto"/>
            <w:hideMark/>
          </w:tcPr>
          <w:p w14:paraId="4548D3F3"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5.7</w:t>
            </w:r>
          </w:p>
        </w:tc>
        <w:tc>
          <w:tcPr>
            <w:tcW w:w="0" w:type="auto"/>
            <w:hideMark/>
          </w:tcPr>
          <w:p w14:paraId="15F7E0DB"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6.09</w:t>
            </w:r>
          </w:p>
        </w:tc>
        <w:tc>
          <w:tcPr>
            <w:tcW w:w="0" w:type="auto"/>
            <w:hideMark/>
          </w:tcPr>
          <w:p w14:paraId="6179E149"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−1.691</w:t>
            </w:r>
          </w:p>
        </w:tc>
      </w:tr>
      <w:tr w:rsidR="00812647" w:rsidRPr="00AA6EA3" w14:paraId="331BFC31" w14:textId="77777777" w:rsidTr="00A85FF5">
        <w:tc>
          <w:tcPr>
            <w:tcW w:w="0" w:type="auto"/>
            <w:hideMark/>
          </w:tcPr>
          <w:p w14:paraId="61975768"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Uluabat</w:t>
            </w:r>
          </w:p>
        </w:tc>
        <w:tc>
          <w:tcPr>
            <w:tcW w:w="0" w:type="auto"/>
            <w:hideMark/>
          </w:tcPr>
          <w:p w14:paraId="060112A4"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−1.0</w:t>
            </w:r>
          </w:p>
        </w:tc>
        <w:tc>
          <w:tcPr>
            <w:tcW w:w="0" w:type="auto"/>
            <w:hideMark/>
          </w:tcPr>
          <w:p w14:paraId="7234D998"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13</w:t>
            </w:r>
          </w:p>
        </w:tc>
        <w:tc>
          <w:tcPr>
            <w:tcW w:w="0" w:type="auto"/>
            <w:hideMark/>
          </w:tcPr>
          <w:p w14:paraId="708C8903"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61</w:t>
            </w:r>
          </w:p>
        </w:tc>
        <w:tc>
          <w:tcPr>
            <w:tcW w:w="0" w:type="auto"/>
            <w:hideMark/>
          </w:tcPr>
          <w:p w14:paraId="5A712E66"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4.7</w:t>
            </w:r>
          </w:p>
        </w:tc>
        <w:tc>
          <w:tcPr>
            <w:tcW w:w="0" w:type="auto"/>
            <w:hideMark/>
          </w:tcPr>
          <w:p w14:paraId="430DF810"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5.68</w:t>
            </w:r>
          </w:p>
        </w:tc>
        <w:tc>
          <w:tcPr>
            <w:tcW w:w="0" w:type="auto"/>
            <w:hideMark/>
          </w:tcPr>
          <w:p w14:paraId="09F26511"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−1.691</w:t>
            </w:r>
          </w:p>
        </w:tc>
      </w:tr>
      <w:tr w:rsidR="00812647" w:rsidRPr="00AA6EA3" w14:paraId="309B4252" w14:textId="77777777" w:rsidTr="00A85FF5">
        <w:tc>
          <w:tcPr>
            <w:tcW w:w="0" w:type="auto"/>
            <w:hideMark/>
          </w:tcPr>
          <w:p w14:paraId="53A6B46C"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Uluabat</w:t>
            </w:r>
          </w:p>
        </w:tc>
        <w:tc>
          <w:tcPr>
            <w:tcW w:w="0" w:type="auto"/>
            <w:hideMark/>
          </w:tcPr>
          <w:p w14:paraId="3D647E28"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−1.2</w:t>
            </w:r>
          </w:p>
        </w:tc>
        <w:tc>
          <w:tcPr>
            <w:tcW w:w="0" w:type="auto"/>
            <w:hideMark/>
          </w:tcPr>
          <w:p w14:paraId="5348A616"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9</w:t>
            </w:r>
          </w:p>
        </w:tc>
        <w:tc>
          <w:tcPr>
            <w:tcW w:w="0" w:type="auto"/>
            <w:hideMark/>
          </w:tcPr>
          <w:p w14:paraId="251886DD"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45</w:t>
            </w:r>
          </w:p>
        </w:tc>
        <w:tc>
          <w:tcPr>
            <w:tcW w:w="0" w:type="auto"/>
            <w:hideMark/>
          </w:tcPr>
          <w:p w14:paraId="38FAA334"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5.0</w:t>
            </w:r>
          </w:p>
        </w:tc>
        <w:tc>
          <w:tcPr>
            <w:tcW w:w="0" w:type="auto"/>
            <w:hideMark/>
          </w:tcPr>
          <w:p w14:paraId="0253D058"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6.55</w:t>
            </w:r>
          </w:p>
        </w:tc>
        <w:tc>
          <w:tcPr>
            <w:tcW w:w="0" w:type="auto"/>
            <w:hideMark/>
          </w:tcPr>
          <w:p w14:paraId="646C7A43"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−1.691</w:t>
            </w:r>
          </w:p>
        </w:tc>
      </w:tr>
      <w:tr w:rsidR="00812647" w:rsidRPr="00AA6EA3" w14:paraId="4BF271FF" w14:textId="77777777" w:rsidTr="00A85FF5">
        <w:tc>
          <w:tcPr>
            <w:tcW w:w="0" w:type="auto"/>
            <w:hideMark/>
          </w:tcPr>
          <w:p w14:paraId="4F4C166F"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Uluabat</w:t>
            </w:r>
          </w:p>
        </w:tc>
        <w:tc>
          <w:tcPr>
            <w:tcW w:w="0" w:type="auto"/>
            <w:hideMark/>
          </w:tcPr>
          <w:p w14:paraId="35058794"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−1.5</w:t>
            </w:r>
          </w:p>
        </w:tc>
        <w:tc>
          <w:tcPr>
            <w:tcW w:w="0" w:type="auto"/>
            <w:hideMark/>
          </w:tcPr>
          <w:p w14:paraId="302EF7C8"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4</w:t>
            </w:r>
          </w:p>
        </w:tc>
        <w:tc>
          <w:tcPr>
            <w:tcW w:w="0" w:type="auto"/>
            <w:hideMark/>
          </w:tcPr>
          <w:p w14:paraId="14E48448"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16</w:t>
            </w:r>
          </w:p>
        </w:tc>
        <w:tc>
          <w:tcPr>
            <w:tcW w:w="0" w:type="auto"/>
            <w:hideMark/>
          </w:tcPr>
          <w:p w14:paraId="1DB382B8"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4.0</w:t>
            </w:r>
          </w:p>
        </w:tc>
        <w:tc>
          <w:tcPr>
            <w:tcW w:w="0" w:type="auto"/>
            <w:hideMark/>
          </w:tcPr>
          <w:p w14:paraId="0AAA880A"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5.99</w:t>
            </w:r>
          </w:p>
        </w:tc>
        <w:tc>
          <w:tcPr>
            <w:tcW w:w="0" w:type="auto"/>
            <w:hideMark/>
          </w:tcPr>
          <w:p w14:paraId="4B31AE24"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−1.691</w:t>
            </w:r>
          </w:p>
        </w:tc>
      </w:tr>
      <w:tr w:rsidR="00812647" w:rsidRPr="00AA6EA3" w14:paraId="2F596979" w14:textId="77777777" w:rsidTr="00A85FF5">
        <w:tc>
          <w:tcPr>
            <w:tcW w:w="0" w:type="auto"/>
            <w:hideMark/>
          </w:tcPr>
          <w:p w14:paraId="2F0C1217"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Uluabat</w:t>
            </w:r>
          </w:p>
        </w:tc>
        <w:tc>
          <w:tcPr>
            <w:tcW w:w="0" w:type="auto"/>
            <w:hideMark/>
          </w:tcPr>
          <w:p w14:paraId="7D1EB6A5"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−2.0</w:t>
            </w:r>
          </w:p>
        </w:tc>
        <w:tc>
          <w:tcPr>
            <w:tcW w:w="0" w:type="auto"/>
            <w:hideMark/>
          </w:tcPr>
          <w:p w14:paraId="1E51E449"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0</w:t>
            </w:r>
          </w:p>
        </w:tc>
        <w:tc>
          <w:tcPr>
            <w:tcW w:w="0" w:type="auto"/>
            <w:hideMark/>
          </w:tcPr>
          <w:p w14:paraId="46AF803D"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w:t>
            </w:r>
          </w:p>
        </w:tc>
        <w:tc>
          <w:tcPr>
            <w:tcW w:w="0" w:type="auto"/>
            <w:hideMark/>
          </w:tcPr>
          <w:p w14:paraId="55D77515"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w:t>
            </w:r>
          </w:p>
        </w:tc>
        <w:tc>
          <w:tcPr>
            <w:tcW w:w="0" w:type="auto"/>
            <w:hideMark/>
          </w:tcPr>
          <w:p w14:paraId="45B38710"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w:t>
            </w:r>
          </w:p>
        </w:tc>
        <w:tc>
          <w:tcPr>
            <w:tcW w:w="0" w:type="auto"/>
            <w:hideMark/>
          </w:tcPr>
          <w:p w14:paraId="135141E3" w14:textId="77777777" w:rsidR="00812647" w:rsidRPr="00AA6EA3" w:rsidRDefault="00812647" w:rsidP="009B4D65">
            <w:pPr>
              <w:spacing w:line="276" w:lineRule="auto"/>
              <w:jc w:val="center"/>
              <w:rPr>
                <w:rFonts w:asciiTheme="majorBidi" w:hAnsiTheme="majorBidi" w:cstheme="majorBidi"/>
                <w:szCs w:val="22"/>
              </w:rPr>
            </w:pPr>
            <w:r w:rsidRPr="00AA6EA3">
              <w:rPr>
                <w:rFonts w:asciiTheme="majorBidi" w:hAnsiTheme="majorBidi" w:cstheme="majorBidi"/>
                <w:szCs w:val="22"/>
              </w:rPr>
              <w:t>−1.691</w:t>
            </w:r>
          </w:p>
        </w:tc>
      </w:tr>
    </w:tbl>
    <w:p w14:paraId="058AD4A0" w14:textId="27414A18" w:rsidR="00A85FF5" w:rsidRPr="00AA6EA3" w:rsidRDefault="00A85FF5" w:rsidP="009B4D65">
      <w:pPr>
        <w:spacing w:line="276" w:lineRule="auto"/>
        <w:rPr>
          <w:rFonts w:asciiTheme="majorBidi" w:hAnsiTheme="majorBidi" w:cstheme="majorBidi"/>
          <w:sz w:val="20"/>
          <w:szCs w:val="20"/>
        </w:rPr>
      </w:pPr>
    </w:p>
    <w:p w14:paraId="639903DD" w14:textId="25833FA4" w:rsidR="00812647" w:rsidRPr="009B4D65" w:rsidRDefault="002F41C5" w:rsidP="002F41C5">
      <w:pPr>
        <w:pStyle w:val="Caption"/>
        <w:rPr>
          <w:rFonts w:cstheme="majorBidi"/>
          <w:sz w:val="22"/>
          <w:szCs w:val="22"/>
        </w:rPr>
      </w:pPr>
      <w:r>
        <w:t xml:space="preserve">Table S </w:t>
      </w:r>
      <w:fldSimple w:instr=" SEQ Table_S \* ARABIC ">
        <w:r>
          <w:rPr>
            <w:noProof/>
          </w:rPr>
          <w:t>6</w:t>
        </w:r>
      </w:fldSimple>
      <w:r>
        <w:t>.</w:t>
      </w:r>
      <w:r w:rsidR="00812647" w:rsidRPr="009B4D65">
        <w:rPr>
          <w:rFonts w:cstheme="majorBidi"/>
          <w:sz w:val="22"/>
          <w:szCs w:val="22"/>
        </w:rPr>
        <w:t xml:space="preserve"> SLLI–SNDWI lag-correlation analysis (SNDWI leading SLLI) for Lake İznik and Lake Uluabat.</w:t>
      </w:r>
    </w:p>
    <w:tbl>
      <w:tblPr>
        <w:tblStyle w:val="ElsevierFormate"/>
        <w:tblW w:w="0" w:type="auto"/>
        <w:tblLook w:val="04A0" w:firstRow="1" w:lastRow="0" w:firstColumn="1" w:lastColumn="0" w:noHBand="0" w:noVBand="1"/>
      </w:tblPr>
      <w:tblGrid>
        <w:gridCol w:w="1482"/>
        <w:gridCol w:w="858"/>
        <w:gridCol w:w="1152"/>
        <w:gridCol w:w="919"/>
        <w:gridCol w:w="1127"/>
        <w:gridCol w:w="1152"/>
        <w:gridCol w:w="1188"/>
      </w:tblGrid>
      <w:tr w:rsidR="00812647" w:rsidRPr="009B4D65" w14:paraId="56BBFD09" w14:textId="77777777" w:rsidTr="00A85FF5">
        <w:tc>
          <w:tcPr>
            <w:tcW w:w="0" w:type="auto"/>
            <w:tcBorders>
              <w:top w:val="single" w:sz="4" w:space="0" w:color="auto"/>
              <w:bottom w:val="single" w:sz="4" w:space="0" w:color="auto"/>
            </w:tcBorders>
            <w:hideMark/>
          </w:tcPr>
          <w:p w14:paraId="00362190"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Lag (months)</w:t>
            </w:r>
          </w:p>
        </w:tc>
        <w:tc>
          <w:tcPr>
            <w:tcW w:w="0" w:type="auto"/>
            <w:tcBorders>
              <w:top w:val="single" w:sz="4" w:space="0" w:color="auto"/>
              <w:bottom w:val="single" w:sz="4" w:space="0" w:color="auto"/>
            </w:tcBorders>
            <w:hideMark/>
          </w:tcPr>
          <w:p w14:paraId="37B2307C"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İznik r</w:t>
            </w:r>
          </w:p>
        </w:tc>
        <w:tc>
          <w:tcPr>
            <w:tcW w:w="0" w:type="auto"/>
            <w:tcBorders>
              <w:top w:val="single" w:sz="4" w:space="0" w:color="auto"/>
              <w:bottom w:val="single" w:sz="4" w:space="0" w:color="auto"/>
            </w:tcBorders>
            <w:hideMark/>
          </w:tcPr>
          <w:p w14:paraId="49FACE1A"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İznik p</w:t>
            </w:r>
          </w:p>
        </w:tc>
        <w:tc>
          <w:tcPr>
            <w:tcW w:w="0" w:type="auto"/>
            <w:tcBorders>
              <w:top w:val="single" w:sz="4" w:space="0" w:color="auto"/>
              <w:bottom w:val="single" w:sz="4" w:space="0" w:color="auto"/>
            </w:tcBorders>
            <w:hideMark/>
          </w:tcPr>
          <w:p w14:paraId="35C1A77E"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İznik N</w:t>
            </w:r>
          </w:p>
        </w:tc>
        <w:tc>
          <w:tcPr>
            <w:tcW w:w="0" w:type="auto"/>
            <w:tcBorders>
              <w:top w:val="single" w:sz="4" w:space="0" w:color="auto"/>
              <w:bottom w:val="single" w:sz="4" w:space="0" w:color="auto"/>
            </w:tcBorders>
            <w:hideMark/>
          </w:tcPr>
          <w:p w14:paraId="614363C3"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Uluabat r</w:t>
            </w:r>
          </w:p>
        </w:tc>
        <w:tc>
          <w:tcPr>
            <w:tcW w:w="0" w:type="auto"/>
            <w:tcBorders>
              <w:top w:val="single" w:sz="4" w:space="0" w:color="auto"/>
              <w:bottom w:val="single" w:sz="4" w:space="0" w:color="auto"/>
            </w:tcBorders>
            <w:hideMark/>
          </w:tcPr>
          <w:p w14:paraId="71572B9E"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Uluabat p</w:t>
            </w:r>
          </w:p>
        </w:tc>
        <w:tc>
          <w:tcPr>
            <w:tcW w:w="0" w:type="auto"/>
            <w:tcBorders>
              <w:top w:val="single" w:sz="4" w:space="0" w:color="auto"/>
              <w:bottom w:val="single" w:sz="4" w:space="0" w:color="auto"/>
            </w:tcBorders>
            <w:hideMark/>
          </w:tcPr>
          <w:p w14:paraId="38314F4D" w14:textId="77777777" w:rsidR="00812647" w:rsidRPr="009B4D65" w:rsidRDefault="00812647" w:rsidP="009B4D65">
            <w:pPr>
              <w:spacing w:line="276" w:lineRule="auto"/>
              <w:jc w:val="center"/>
              <w:rPr>
                <w:rFonts w:asciiTheme="majorBidi" w:hAnsiTheme="majorBidi" w:cstheme="majorBidi"/>
                <w:b/>
                <w:bCs/>
                <w:szCs w:val="22"/>
              </w:rPr>
            </w:pPr>
            <w:r w:rsidRPr="009B4D65">
              <w:rPr>
                <w:rFonts w:asciiTheme="majorBidi" w:hAnsiTheme="majorBidi" w:cstheme="majorBidi"/>
                <w:b/>
                <w:bCs/>
                <w:szCs w:val="22"/>
              </w:rPr>
              <w:t>Uluabat N</w:t>
            </w:r>
          </w:p>
        </w:tc>
      </w:tr>
      <w:tr w:rsidR="00812647" w:rsidRPr="009B4D65" w14:paraId="6B9CA690" w14:textId="77777777" w:rsidTr="00A85FF5">
        <w:tc>
          <w:tcPr>
            <w:tcW w:w="0" w:type="auto"/>
            <w:tcBorders>
              <w:top w:val="single" w:sz="4" w:space="0" w:color="auto"/>
            </w:tcBorders>
            <w:hideMark/>
          </w:tcPr>
          <w:p w14:paraId="04E727B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w:t>
            </w:r>
          </w:p>
        </w:tc>
        <w:tc>
          <w:tcPr>
            <w:tcW w:w="0" w:type="auto"/>
            <w:tcBorders>
              <w:top w:val="single" w:sz="4" w:space="0" w:color="auto"/>
            </w:tcBorders>
            <w:hideMark/>
          </w:tcPr>
          <w:p w14:paraId="32EBBBCD"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0.451</w:t>
            </w:r>
          </w:p>
        </w:tc>
        <w:tc>
          <w:tcPr>
            <w:tcW w:w="0" w:type="auto"/>
            <w:tcBorders>
              <w:top w:val="single" w:sz="4" w:space="0" w:color="auto"/>
            </w:tcBorders>
            <w:hideMark/>
          </w:tcPr>
          <w:p w14:paraId="189067E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1.3 × 10⁻¹⁴</w:t>
            </w:r>
          </w:p>
        </w:tc>
        <w:tc>
          <w:tcPr>
            <w:tcW w:w="0" w:type="auto"/>
            <w:tcBorders>
              <w:top w:val="single" w:sz="4" w:space="0" w:color="auto"/>
            </w:tcBorders>
            <w:hideMark/>
          </w:tcPr>
          <w:p w14:paraId="76EF379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263</w:t>
            </w:r>
          </w:p>
        </w:tc>
        <w:tc>
          <w:tcPr>
            <w:tcW w:w="0" w:type="auto"/>
            <w:tcBorders>
              <w:top w:val="single" w:sz="4" w:space="0" w:color="auto"/>
            </w:tcBorders>
            <w:hideMark/>
          </w:tcPr>
          <w:p w14:paraId="5233EBC0"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−0.130</w:t>
            </w:r>
          </w:p>
        </w:tc>
        <w:tc>
          <w:tcPr>
            <w:tcW w:w="0" w:type="auto"/>
            <w:tcBorders>
              <w:top w:val="single" w:sz="4" w:space="0" w:color="auto"/>
            </w:tcBorders>
            <w:hideMark/>
          </w:tcPr>
          <w:p w14:paraId="2CE80D9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0.079</w:t>
            </w:r>
          </w:p>
        </w:tc>
        <w:tc>
          <w:tcPr>
            <w:tcW w:w="0" w:type="auto"/>
            <w:tcBorders>
              <w:top w:val="single" w:sz="4" w:space="0" w:color="auto"/>
            </w:tcBorders>
            <w:hideMark/>
          </w:tcPr>
          <w:p w14:paraId="5D5D9EA9"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184</w:t>
            </w:r>
          </w:p>
        </w:tc>
      </w:tr>
      <w:tr w:rsidR="00812647" w:rsidRPr="009B4D65" w14:paraId="019FD7E9" w14:textId="77777777" w:rsidTr="00A85FF5">
        <w:tc>
          <w:tcPr>
            <w:tcW w:w="0" w:type="auto"/>
            <w:hideMark/>
          </w:tcPr>
          <w:p w14:paraId="73AED51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w:t>
            </w:r>
          </w:p>
        </w:tc>
        <w:tc>
          <w:tcPr>
            <w:tcW w:w="0" w:type="auto"/>
            <w:hideMark/>
          </w:tcPr>
          <w:p w14:paraId="15322AC7"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0.469</w:t>
            </w:r>
          </w:p>
        </w:tc>
        <w:tc>
          <w:tcPr>
            <w:tcW w:w="0" w:type="auto"/>
            <w:hideMark/>
          </w:tcPr>
          <w:p w14:paraId="409FD029"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9.2 × 10⁻¹⁶</w:t>
            </w:r>
          </w:p>
        </w:tc>
        <w:tc>
          <w:tcPr>
            <w:tcW w:w="0" w:type="auto"/>
            <w:hideMark/>
          </w:tcPr>
          <w:p w14:paraId="4E0193C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262</w:t>
            </w:r>
          </w:p>
        </w:tc>
        <w:tc>
          <w:tcPr>
            <w:tcW w:w="0" w:type="auto"/>
            <w:hideMark/>
          </w:tcPr>
          <w:p w14:paraId="2D8E2B4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−0.173</w:t>
            </w:r>
          </w:p>
        </w:tc>
        <w:tc>
          <w:tcPr>
            <w:tcW w:w="0" w:type="auto"/>
            <w:hideMark/>
          </w:tcPr>
          <w:p w14:paraId="42202128"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0.019</w:t>
            </w:r>
          </w:p>
        </w:tc>
        <w:tc>
          <w:tcPr>
            <w:tcW w:w="0" w:type="auto"/>
            <w:hideMark/>
          </w:tcPr>
          <w:p w14:paraId="65A4E2DB"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183</w:t>
            </w:r>
          </w:p>
        </w:tc>
      </w:tr>
      <w:tr w:rsidR="00812647" w:rsidRPr="009B4D65" w14:paraId="4BB5B0F8" w14:textId="77777777" w:rsidTr="00A85FF5">
        <w:tc>
          <w:tcPr>
            <w:tcW w:w="0" w:type="auto"/>
            <w:hideMark/>
          </w:tcPr>
          <w:p w14:paraId="6C2AABC8"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2</w:t>
            </w:r>
          </w:p>
        </w:tc>
        <w:tc>
          <w:tcPr>
            <w:tcW w:w="0" w:type="auto"/>
            <w:hideMark/>
          </w:tcPr>
          <w:p w14:paraId="3C0D02F5"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0.447</w:t>
            </w:r>
          </w:p>
        </w:tc>
        <w:tc>
          <w:tcPr>
            <w:tcW w:w="0" w:type="auto"/>
            <w:hideMark/>
          </w:tcPr>
          <w:p w14:paraId="5A373437"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3.0 × 10⁻¹⁴</w:t>
            </w:r>
          </w:p>
        </w:tc>
        <w:tc>
          <w:tcPr>
            <w:tcW w:w="0" w:type="auto"/>
            <w:hideMark/>
          </w:tcPr>
          <w:p w14:paraId="12DAF93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261</w:t>
            </w:r>
          </w:p>
        </w:tc>
        <w:tc>
          <w:tcPr>
            <w:tcW w:w="0" w:type="auto"/>
            <w:hideMark/>
          </w:tcPr>
          <w:p w14:paraId="7596DD7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−0.208</w:t>
            </w:r>
          </w:p>
        </w:tc>
        <w:tc>
          <w:tcPr>
            <w:tcW w:w="0" w:type="auto"/>
            <w:hideMark/>
          </w:tcPr>
          <w:p w14:paraId="37BBD49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0.005</w:t>
            </w:r>
          </w:p>
        </w:tc>
        <w:tc>
          <w:tcPr>
            <w:tcW w:w="0" w:type="auto"/>
            <w:hideMark/>
          </w:tcPr>
          <w:p w14:paraId="3BD73FC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182</w:t>
            </w:r>
          </w:p>
        </w:tc>
      </w:tr>
      <w:tr w:rsidR="00812647" w:rsidRPr="009B4D65" w14:paraId="497FF23F" w14:textId="77777777" w:rsidTr="00A85FF5">
        <w:tc>
          <w:tcPr>
            <w:tcW w:w="0" w:type="auto"/>
            <w:hideMark/>
          </w:tcPr>
          <w:p w14:paraId="1452FC7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3</w:t>
            </w:r>
          </w:p>
        </w:tc>
        <w:tc>
          <w:tcPr>
            <w:tcW w:w="0" w:type="auto"/>
            <w:hideMark/>
          </w:tcPr>
          <w:p w14:paraId="4EAC9AC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b/>
                <w:bCs/>
                <w:szCs w:val="22"/>
              </w:rPr>
              <w:t>0.478</w:t>
            </w:r>
          </w:p>
        </w:tc>
        <w:tc>
          <w:tcPr>
            <w:tcW w:w="0" w:type="auto"/>
            <w:hideMark/>
          </w:tcPr>
          <w:p w14:paraId="4EB9AE10"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b/>
                <w:bCs/>
                <w:szCs w:val="22"/>
              </w:rPr>
              <w:t>3.0 × 10⁻¹⁶</w:t>
            </w:r>
          </w:p>
        </w:tc>
        <w:tc>
          <w:tcPr>
            <w:tcW w:w="0" w:type="auto"/>
            <w:hideMark/>
          </w:tcPr>
          <w:p w14:paraId="44576E6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260</w:t>
            </w:r>
          </w:p>
        </w:tc>
        <w:tc>
          <w:tcPr>
            <w:tcW w:w="0" w:type="auto"/>
            <w:hideMark/>
          </w:tcPr>
          <w:p w14:paraId="693285E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−0.139</w:t>
            </w:r>
          </w:p>
        </w:tc>
        <w:tc>
          <w:tcPr>
            <w:tcW w:w="0" w:type="auto"/>
            <w:hideMark/>
          </w:tcPr>
          <w:p w14:paraId="5247189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0.062</w:t>
            </w:r>
          </w:p>
        </w:tc>
        <w:tc>
          <w:tcPr>
            <w:tcW w:w="0" w:type="auto"/>
            <w:hideMark/>
          </w:tcPr>
          <w:p w14:paraId="0C879C3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181</w:t>
            </w:r>
          </w:p>
        </w:tc>
      </w:tr>
      <w:tr w:rsidR="00812647" w:rsidRPr="009B4D65" w14:paraId="26E73A57" w14:textId="77777777" w:rsidTr="00A85FF5">
        <w:tc>
          <w:tcPr>
            <w:tcW w:w="0" w:type="auto"/>
            <w:hideMark/>
          </w:tcPr>
          <w:p w14:paraId="4C7D2AAF"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4</w:t>
            </w:r>
          </w:p>
        </w:tc>
        <w:tc>
          <w:tcPr>
            <w:tcW w:w="0" w:type="auto"/>
            <w:hideMark/>
          </w:tcPr>
          <w:p w14:paraId="78DB669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0.459</w:t>
            </w:r>
          </w:p>
        </w:tc>
        <w:tc>
          <w:tcPr>
            <w:tcW w:w="0" w:type="auto"/>
            <w:hideMark/>
          </w:tcPr>
          <w:p w14:paraId="13FAD79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6.5 × 10⁻¹⁵</w:t>
            </w:r>
          </w:p>
        </w:tc>
        <w:tc>
          <w:tcPr>
            <w:tcW w:w="0" w:type="auto"/>
            <w:hideMark/>
          </w:tcPr>
          <w:p w14:paraId="192C982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259</w:t>
            </w:r>
          </w:p>
        </w:tc>
        <w:tc>
          <w:tcPr>
            <w:tcW w:w="0" w:type="auto"/>
            <w:hideMark/>
          </w:tcPr>
          <w:p w14:paraId="5ED554F9"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−0.148</w:t>
            </w:r>
          </w:p>
        </w:tc>
        <w:tc>
          <w:tcPr>
            <w:tcW w:w="0" w:type="auto"/>
            <w:hideMark/>
          </w:tcPr>
          <w:p w14:paraId="3929C1A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0.047</w:t>
            </w:r>
          </w:p>
        </w:tc>
        <w:tc>
          <w:tcPr>
            <w:tcW w:w="0" w:type="auto"/>
            <w:hideMark/>
          </w:tcPr>
          <w:p w14:paraId="11F609EB"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180</w:t>
            </w:r>
          </w:p>
        </w:tc>
      </w:tr>
      <w:tr w:rsidR="00812647" w:rsidRPr="009B4D65" w14:paraId="320D9F98" w14:textId="77777777" w:rsidTr="00A85FF5">
        <w:tc>
          <w:tcPr>
            <w:tcW w:w="0" w:type="auto"/>
            <w:hideMark/>
          </w:tcPr>
          <w:p w14:paraId="0FB5D767"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5</w:t>
            </w:r>
          </w:p>
        </w:tc>
        <w:tc>
          <w:tcPr>
            <w:tcW w:w="0" w:type="auto"/>
            <w:hideMark/>
          </w:tcPr>
          <w:p w14:paraId="4E153BF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0.458</w:t>
            </w:r>
          </w:p>
        </w:tc>
        <w:tc>
          <w:tcPr>
            <w:tcW w:w="0" w:type="auto"/>
            <w:hideMark/>
          </w:tcPr>
          <w:p w14:paraId="1FA98F3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9.4 × 10⁻¹⁵</w:t>
            </w:r>
          </w:p>
        </w:tc>
        <w:tc>
          <w:tcPr>
            <w:tcW w:w="0" w:type="auto"/>
            <w:hideMark/>
          </w:tcPr>
          <w:p w14:paraId="46E8758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258</w:t>
            </w:r>
          </w:p>
        </w:tc>
        <w:tc>
          <w:tcPr>
            <w:tcW w:w="0" w:type="auto"/>
            <w:hideMark/>
          </w:tcPr>
          <w:p w14:paraId="5EF133CD"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−0.127</w:t>
            </w:r>
          </w:p>
        </w:tc>
        <w:tc>
          <w:tcPr>
            <w:tcW w:w="0" w:type="auto"/>
            <w:hideMark/>
          </w:tcPr>
          <w:p w14:paraId="665D1A0F"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0.090</w:t>
            </w:r>
          </w:p>
        </w:tc>
        <w:tc>
          <w:tcPr>
            <w:tcW w:w="0" w:type="auto"/>
            <w:hideMark/>
          </w:tcPr>
          <w:p w14:paraId="1CBDA27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179</w:t>
            </w:r>
          </w:p>
        </w:tc>
      </w:tr>
      <w:tr w:rsidR="00812647" w:rsidRPr="009B4D65" w14:paraId="775B16B5" w14:textId="77777777" w:rsidTr="00A85FF5">
        <w:tc>
          <w:tcPr>
            <w:tcW w:w="0" w:type="auto"/>
            <w:hideMark/>
          </w:tcPr>
          <w:p w14:paraId="4FB05C3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6</w:t>
            </w:r>
          </w:p>
        </w:tc>
        <w:tc>
          <w:tcPr>
            <w:tcW w:w="0" w:type="auto"/>
            <w:hideMark/>
          </w:tcPr>
          <w:p w14:paraId="3BCD92B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0.433</w:t>
            </w:r>
          </w:p>
        </w:tc>
        <w:tc>
          <w:tcPr>
            <w:tcW w:w="0" w:type="auto"/>
            <w:hideMark/>
          </w:tcPr>
          <w:p w14:paraId="5881C12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3.7 × 10⁻¹³</w:t>
            </w:r>
          </w:p>
        </w:tc>
        <w:tc>
          <w:tcPr>
            <w:tcW w:w="0" w:type="auto"/>
            <w:hideMark/>
          </w:tcPr>
          <w:p w14:paraId="04DB029B"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257</w:t>
            </w:r>
          </w:p>
        </w:tc>
        <w:tc>
          <w:tcPr>
            <w:tcW w:w="0" w:type="auto"/>
            <w:hideMark/>
          </w:tcPr>
          <w:p w14:paraId="60FFB23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−0.204</w:t>
            </w:r>
          </w:p>
        </w:tc>
        <w:tc>
          <w:tcPr>
            <w:tcW w:w="0" w:type="auto"/>
            <w:hideMark/>
          </w:tcPr>
          <w:p w14:paraId="4C6429B7"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0.006</w:t>
            </w:r>
          </w:p>
        </w:tc>
        <w:tc>
          <w:tcPr>
            <w:tcW w:w="0" w:type="auto"/>
            <w:hideMark/>
          </w:tcPr>
          <w:p w14:paraId="39A12D7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178</w:t>
            </w:r>
          </w:p>
        </w:tc>
      </w:tr>
      <w:tr w:rsidR="00812647" w:rsidRPr="009B4D65" w14:paraId="6E0518B7" w14:textId="77777777" w:rsidTr="00A85FF5">
        <w:tc>
          <w:tcPr>
            <w:tcW w:w="0" w:type="auto"/>
            <w:hideMark/>
          </w:tcPr>
          <w:p w14:paraId="7C831915"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7</w:t>
            </w:r>
          </w:p>
        </w:tc>
        <w:tc>
          <w:tcPr>
            <w:tcW w:w="0" w:type="auto"/>
            <w:hideMark/>
          </w:tcPr>
          <w:p w14:paraId="4C663A3B"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0.438</w:t>
            </w:r>
          </w:p>
        </w:tc>
        <w:tc>
          <w:tcPr>
            <w:tcW w:w="0" w:type="auto"/>
            <w:hideMark/>
          </w:tcPr>
          <w:p w14:paraId="08D4D02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2.1 × 10⁻¹³</w:t>
            </w:r>
          </w:p>
        </w:tc>
        <w:tc>
          <w:tcPr>
            <w:tcW w:w="0" w:type="auto"/>
            <w:hideMark/>
          </w:tcPr>
          <w:p w14:paraId="67428FDB"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256</w:t>
            </w:r>
          </w:p>
        </w:tc>
        <w:tc>
          <w:tcPr>
            <w:tcW w:w="0" w:type="auto"/>
            <w:hideMark/>
          </w:tcPr>
          <w:p w14:paraId="7F95B20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−0.205</w:t>
            </w:r>
          </w:p>
        </w:tc>
        <w:tc>
          <w:tcPr>
            <w:tcW w:w="0" w:type="auto"/>
            <w:hideMark/>
          </w:tcPr>
          <w:p w14:paraId="2CDB9ED8"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0.006</w:t>
            </w:r>
          </w:p>
        </w:tc>
        <w:tc>
          <w:tcPr>
            <w:tcW w:w="0" w:type="auto"/>
            <w:hideMark/>
          </w:tcPr>
          <w:p w14:paraId="0069985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177</w:t>
            </w:r>
          </w:p>
        </w:tc>
      </w:tr>
      <w:tr w:rsidR="00812647" w:rsidRPr="009B4D65" w14:paraId="3014192B" w14:textId="77777777" w:rsidTr="00A85FF5">
        <w:tc>
          <w:tcPr>
            <w:tcW w:w="0" w:type="auto"/>
            <w:hideMark/>
          </w:tcPr>
          <w:p w14:paraId="549214A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8</w:t>
            </w:r>
          </w:p>
        </w:tc>
        <w:tc>
          <w:tcPr>
            <w:tcW w:w="0" w:type="auto"/>
            <w:hideMark/>
          </w:tcPr>
          <w:p w14:paraId="032F096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0.444</w:t>
            </w:r>
          </w:p>
        </w:tc>
        <w:tc>
          <w:tcPr>
            <w:tcW w:w="0" w:type="auto"/>
            <w:hideMark/>
          </w:tcPr>
          <w:p w14:paraId="3E87CFB7"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9.1 × 10⁻¹⁴</w:t>
            </w:r>
          </w:p>
        </w:tc>
        <w:tc>
          <w:tcPr>
            <w:tcW w:w="0" w:type="auto"/>
            <w:hideMark/>
          </w:tcPr>
          <w:p w14:paraId="7B38748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255</w:t>
            </w:r>
          </w:p>
        </w:tc>
        <w:tc>
          <w:tcPr>
            <w:tcW w:w="0" w:type="auto"/>
            <w:hideMark/>
          </w:tcPr>
          <w:p w14:paraId="3FDB2FB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−0.161</w:t>
            </w:r>
          </w:p>
        </w:tc>
        <w:tc>
          <w:tcPr>
            <w:tcW w:w="0" w:type="auto"/>
            <w:hideMark/>
          </w:tcPr>
          <w:p w14:paraId="56C357A0"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0.032</w:t>
            </w:r>
          </w:p>
        </w:tc>
        <w:tc>
          <w:tcPr>
            <w:tcW w:w="0" w:type="auto"/>
            <w:hideMark/>
          </w:tcPr>
          <w:p w14:paraId="1F057988"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176</w:t>
            </w:r>
          </w:p>
        </w:tc>
      </w:tr>
      <w:tr w:rsidR="00812647" w:rsidRPr="009B4D65" w14:paraId="4A94CA50" w14:textId="77777777" w:rsidTr="00A85FF5">
        <w:tc>
          <w:tcPr>
            <w:tcW w:w="0" w:type="auto"/>
            <w:hideMark/>
          </w:tcPr>
          <w:p w14:paraId="0E165A65"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9</w:t>
            </w:r>
          </w:p>
        </w:tc>
        <w:tc>
          <w:tcPr>
            <w:tcW w:w="0" w:type="auto"/>
            <w:hideMark/>
          </w:tcPr>
          <w:p w14:paraId="0A968B05"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0.449</w:t>
            </w:r>
          </w:p>
        </w:tc>
        <w:tc>
          <w:tcPr>
            <w:tcW w:w="0" w:type="auto"/>
            <w:hideMark/>
          </w:tcPr>
          <w:p w14:paraId="4C5FE66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5.7 × 10⁻¹⁴</w:t>
            </w:r>
          </w:p>
        </w:tc>
        <w:tc>
          <w:tcPr>
            <w:tcW w:w="0" w:type="auto"/>
            <w:hideMark/>
          </w:tcPr>
          <w:p w14:paraId="1615ED7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254</w:t>
            </w:r>
          </w:p>
        </w:tc>
        <w:tc>
          <w:tcPr>
            <w:tcW w:w="0" w:type="auto"/>
            <w:hideMark/>
          </w:tcPr>
          <w:p w14:paraId="62446425"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−0.142</w:t>
            </w:r>
          </w:p>
        </w:tc>
        <w:tc>
          <w:tcPr>
            <w:tcW w:w="0" w:type="auto"/>
            <w:hideMark/>
          </w:tcPr>
          <w:p w14:paraId="74C2BED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0.062</w:t>
            </w:r>
          </w:p>
        </w:tc>
        <w:tc>
          <w:tcPr>
            <w:tcW w:w="0" w:type="auto"/>
            <w:hideMark/>
          </w:tcPr>
          <w:p w14:paraId="6E1F874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175</w:t>
            </w:r>
          </w:p>
        </w:tc>
      </w:tr>
      <w:tr w:rsidR="00812647" w:rsidRPr="009B4D65" w14:paraId="347A810B" w14:textId="77777777" w:rsidTr="00A85FF5">
        <w:tc>
          <w:tcPr>
            <w:tcW w:w="0" w:type="auto"/>
            <w:hideMark/>
          </w:tcPr>
          <w:p w14:paraId="4922491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10</w:t>
            </w:r>
          </w:p>
        </w:tc>
        <w:tc>
          <w:tcPr>
            <w:tcW w:w="0" w:type="auto"/>
            <w:hideMark/>
          </w:tcPr>
          <w:p w14:paraId="435AABA8"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0.402</w:t>
            </w:r>
          </w:p>
        </w:tc>
        <w:tc>
          <w:tcPr>
            <w:tcW w:w="0" w:type="auto"/>
            <w:hideMark/>
          </w:tcPr>
          <w:p w14:paraId="08781DA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3.0 × 10⁻¹¹</w:t>
            </w:r>
          </w:p>
        </w:tc>
        <w:tc>
          <w:tcPr>
            <w:tcW w:w="0" w:type="auto"/>
            <w:hideMark/>
          </w:tcPr>
          <w:p w14:paraId="03157BEA"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253</w:t>
            </w:r>
          </w:p>
        </w:tc>
        <w:tc>
          <w:tcPr>
            <w:tcW w:w="0" w:type="auto"/>
            <w:hideMark/>
          </w:tcPr>
          <w:p w14:paraId="6A3F6BFD"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−0.125</w:t>
            </w:r>
          </w:p>
        </w:tc>
        <w:tc>
          <w:tcPr>
            <w:tcW w:w="0" w:type="auto"/>
            <w:hideMark/>
          </w:tcPr>
          <w:p w14:paraId="1E1EBAA8"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0.101</w:t>
            </w:r>
          </w:p>
        </w:tc>
        <w:tc>
          <w:tcPr>
            <w:tcW w:w="0" w:type="auto"/>
            <w:hideMark/>
          </w:tcPr>
          <w:p w14:paraId="1BEB7F2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174</w:t>
            </w:r>
          </w:p>
        </w:tc>
      </w:tr>
      <w:tr w:rsidR="00812647" w:rsidRPr="009B4D65" w14:paraId="07426A80" w14:textId="77777777" w:rsidTr="00A85FF5">
        <w:tc>
          <w:tcPr>
            <w:tcW w:w="0" w:type="auto"/>
            <w:hideMark/>
          </w:tcPr>
          <w:p w14:paraId="5AB55677"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11</w:t>
            </w:r>
          </w:p>
        </w:tc>
        <w:tc>
          <w:tcPr>
            <w:tcW w:w="0" w:type="auto"/>
            <w:hideMark/>
          </w:tcPr>
          <w:p w14:paraId="79C2FA67"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0.402</w:t>
            </w:r>
          </w:p>
        </w:tc>
        <w:tc>
          <w:tcPr>
            <w:tcW w:w="0" w:type="auto"/>
            <w:hideMark/>
          </w:tcPr>
          <w:p w14:paraId="480D4631"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3.4 × 10⁻¹¹</w:t>
            </w:r>
          </w:p>
        </w:tc>
        <w:tc>
          <w:tcPr>
            <w:tcW w:w="0" w:type="auto"/>
            <w:hideMark/>
          </w:tcPr>
          <w:p w14:paraId="404A9A8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252</w:t>
            </w:r>
          </w:p>
        </w:tc>
        <w:tc>
          <w:tcPr>
            <w:tcW w:w="0" w:type="auto"/>
            <w:hideMark/>
          </w:tcPr>
          <w:p w14:paraId="0917B10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−0.204</w:t>
            </w:r>
          </w:p>
        </w:tc>
        <w:tc>
          <w:tcPr>
            <w:tcW w:w="0" w:type="auto"/>
            <w:hideMark/>
          </w:tcPr>
          <w:p w14:paraId="6CEFD812"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0.007</w:t>
            </w:r>
          </w:p>
        </w:tc>
        <w:tc>
          <w:tcPr>
            <w:tcW w:w="0" w:type="auto"/>
            <w:hideMark/>
          </w:tcPr>
          <w:p w14:paraId="48412C04"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173</w:t>
            </w:r>
          </w:p>
        </w:tc>
      </w:tr>
      <w:tr w:rsidR="00812647" w:rsidRPr="009B4D65" w14:paraId="3B967767" w14:textId="77777777" w:rsidTr="00A85FF5">
        <w:tc>
          <w:tcPr>
            <w:tcW w:w="0" w:type="auto"/>
            <w:hideMark/>
          </w:tcPr>
          <w:p w14:paraId="19FC6A3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12</w:t>
            </w:r>
          </w:p>
        </w:tc>
        <w:tc>
          <w:tcPr>
            <w:tcW w:w="0" w:type="auto"/>
            <w:hideMark/>
          </w:tcPr>
          <w:p w14:paraId="0382D4C3"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0.385</w:t>
            </w:r>
          </w:p>
        </w:tc>
        <w:tc>
          <w:tcPr>
            <w:tcW w:w="0" w:type="auto"/>
            <w:hideMark/>
          </w:tcPr>
          <w:p w14:paraId="4D28F316"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2.7 × 10⁻¹⁰</w:t>
            </w:r>
          </w:p>
        </w:tc>
        <w:tc>
          <w:tcPr>
            <w:tcW w:w="0" w:type="auto"/>
            <w:hideMark/>
          </w:tcPr>
          <w:p w14:paraId="37028050"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251</w:t>
            </w:r>
          </w:p>
        </w:tc>
        <w:tc>
          <w:tcPr>
            <w:tcW w:w="0" w:type="auto"/>
            <w:hideMark/>
          </w:tcPr>
          <w:p w14:paraId="7601576C"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b/>
                <w:bCs/>
                <w:szCs w:val="22"/>
              </w:rPr>
              <w:t>−0.265</w:t>
            </w:r>
          </w:p>
        </w:tc>
        <w:tc>
          <w:tcPr>
            <w:tcW w:w="0" w:type="auto"/>
            <w:hideMark/>
          </w:tcPr>
          <w:p w14:paraId="2C83CCB0"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b/>
                <w:bCs/>
                <w:szCs w:val="22"/>
              </w:rPr>
              <w:t>4.4 × 10⁻⁴</w:t>
            </w:r>
          </w:p>
        </w:tc>
        <w:tc>
          <w:tcPr>
            <w:tcW w:w="0" w:type="auto"/>
            <w:hideMark/>
          </w:tcPr>
          <w:p w14:paraId="5750388E" w14:textId="77777777" w:rsidR="00812647" w:rsidRPr="009B4D65" w:rsidRDefault="00812647" w:rsidP="009B4D65">
            <w:pPr>
              <w:spacing w:line="276" w:lineRule="auto"/>
              <w:jc w:val="center"/>
              <w:rPr>
                <w:rFonts w:asciiTheme="majorBidi" w:hAnsiTheme="majorBidi" w:cstheme="majorBidi"/>
                <w:szCs w:val="22"/>
              </w:rPr>
            </w:pPr>
            <w:r w:rsidRPr="009B4D65">
              <w:rPr>
                <w:rFonts w:asciiTheme="majorBidi" w:hAnsiTheme="majorBidi" w:cstheme="majorBidi"/>
                <w:szCs w:val="22"/>
              </w:rPr>
              <w:t>172</w:t>
            </w:r>
          </w:p>
        </w:tc>
      </w:tr>
    </w:tbl>
    <w:p w14:paraId="25E1DE49" w14:textId="65195CF3" w:rsidR="0083730C" w:rsidRPr="00AA6EA3" w:rsidRDefault="00812647" w:rsidP="009B4D65">
      <w:pPr>
        <w:spacing w:line="276" w:lineRule="auto"/>
        <w:rPr>
          <w:rFonts w:asciiTheme="majorBidi" w:hAnsiTheme="majorBidi" w:cstheme="majorBidi"/>
          <w:i/>
          <w:iCs/>
          <w:sz w:val="20"/>
          <w:szCs w:val="20"/>
        </w:rPr>
      </w:pPr>
      <w:r w:rsidRPr="00AA6EA3">
        <w:rPr>
          <w:rFonts w:asciiTheme="majorBidi" w:hAnsiTheme="majorBidi" w:cstheme="majorBidi"/>
          <w:i/>
          <w:iCs/>
          <w:sz w:val="20"/>
          <w:szCs w:val="20"/>
        </w:rPr>
        <w:t>Bold indicates the lag with the highest correlation magnitude for each lake. Note the opposite sign of all Uluabat lag-correlations relative to İznik.</w:t>
      </w:r>
    </w:p>
    <w:p w14:paraId="4A984B1D" w14:textId="764C13D3" w:rsidR="00001BB2" w:rsidRPr="009B4D65" w:rsidRDefault="002F41C5" w:rsidP="002F41C5">
      <w:pPr>
        <w:pStyle w:val="Caption"/>
        <w:rPr>
          <w:rFonts w:cstheme="majorBidi"/>
          <w:sz w:val="22"/>
          <w:szCs w:val="22"/>
        </w:rPr>
      </w:pPr>
      <w:bookmarkStart w:id="5" w:name="_Toc232099200"/>
      <w:r>
        <w:t xml:space="preserve">Table S </w:t>
      </w:r>
      <w:fldSimple w:instr=" SEQ Table_S \* ARABIC ">
        <w:r>
          <w:rPr>
            <w:noProof/>
          </w:rPr>
          <w:t>7</w:t>
        </w:r>
      </w:fldSimple>
      <w:r>
        <w:t>.</w:t>
      </w:r>
      <w:r w:rsidR="00001BB2" w:rsidRPr="009B4D65">
        <w:rPr>
          <w:rFonts w:cstheme="majorBidi"/>
          <w:sz w:val="22"/>
          <w:szCs w:val="22"/>
        </w:rPr>
        <w:t xml:space="preserve"> Drought events identified from the empirical SLLI at the SLLI ≤ −1.0 threshold for Lake İznik and Lake Uluabat over the full 384-month composite record (January 1993–December 2024).</w:t>
      </w:r>
      <w:bookmarkEnd w:id="5"/>
    </w:p>
    <w:tbl>
      <w:tblPr>
        <w:tblStyle w:val="Elsevier"/>
        <w:tblW w:w="0" w:type="auto"/>
        <w:tblLook w:val="04A0" w:firstRow="1" w:lastRow="0" w:firstColumn="1" w:lastColumn="0" w:noHBand="0" w:noVBand="1"/>
      </w:tblPr>
      <w:tblGrid>
        <w:gridCol w:w="913"/>
        <w:gridCol w:w="1115"/>
        <w:gridCol w:w="1115"/>
        <w:gridCol w:w="1970"/>
        <w:gridCol w:w="1219"/>
        <w:gridCol w:w="1311"/>
        <w:gridCol w:w="986"/>
      </w:tblGrid>
      <w:tr w:rsidR="00001BB2" w:rsidRPr="009B4D65" w14:paraId="17D40A46" w14:textId="77777777" w:rsidTr="00DE6960">
        <w:tc>
          <w:tcPr>
            <w:tcW w:w="0" w:type="auto"/>
            <w:tcBorders>
              <w:top w:val="single" w:sz="4" w:space="0" w:color="auto"/>
              <w:bottom w:val="single" w:sz="4" w:space="0" w:color="auto"/>
            </w:tcBorders>
            <w:hideMark/>
          </w:tcPr>
          <w:p w14:paraId="4F86805C" w14:textId="77777777" w:rsidR="00001BB2" w:rsidRPr="009B4D65" w:rsidRDefault="00001BB2" w:rsidP="009B4D65">
            <w:pPr>
              <w:spacing w:line="276" w:lineRule="auto"/>
              <w:rPr>
                <w:rFonts w:asciiTheme="majorBidi" w:hAnsiTheme="majorBidi" w:cstheme="majorBidi"/>
                <w:b/>
                <w:bCs/>
                <w:szCs w:val="22"/>
              </w:rPr>
            </w:pPr>
            <w:r w:rsidRPr="009B4D65">
              <w:rPr>
                <w:rFonts w:asciiTheme="majorBidi" w:hAnsiTheme="majorBidi" w:cstheme="majorBidi"/>
                <w:b/>
                <w:bCs/>
                <w:szCs w:val="22"/>
              </w:rPr>
              <w:t>Lake</w:t>
            </w:r>
          </w:p>
        </w:tc>
        <w:tc>
          <w:tcPr>
            <w:tcW w:w="0" w:type="auto"/>
            <w:tcBorders>
              <w:top w:val="single" w:sz="4" w:space="0" w:color="auto"/>
              <w:bottom w:val="single" w:sz="4" w:space="0" w:color="auto"/>
            </w:tcBorders>
            <w:hideMark/>
          </w:tcPr>
          <w:p w14:paraId="75F727AE" w14:textId="77777777" w:rsidR="00001BB2" w:rsidRPr="009B4D65" w:rsidRDefault="00001BB2" w:rsidP="009B4D65">
            <w:pPr>
              <w:spacing w:line="276" w:lineRule="auto"/>
              <w:rPr>
                <w:rFonts w:asciiTheme="majorBidi" w:hAnsiTheme="majorBidi" w:cstheme="majorBidi"/>
                <w:b/>
                <w:bCs/>
                <w:szCs w:val="22"/>
              </w:rPr>
            </w:pPr>
            <w:r w:rsidRPr="009B4D65">
              <w:rPr>
                <w:rFonts w:asciiTheme="majorBidi" w:hAnsiTheme="majorBidi" w:cstheme="majorBidi"/>
                <w:b/>
                <w:bCs/>
                <w:szCs w:val="22"/>
              </w:rPr>
              <w:t>Start</w:t>
            </w:r>
          </w:p>
        </w:tc>
        <w:tc>
          <w:tcPr>
            <w:tcW w:w="0" w:type="auto"/>
            <w:tcBorders>
              <w:top w:val="single" w:sz="4" w:space="0" w:color="auto"/>
              <w:bottom w:val="single" w:sz="4" w:space="0" w:color="auto"/>
            </w:tcBorders>
            <w:hideMark/>
          </w:tcPr>
          <w:p w14:paraId="25BA2B62" w14:textId="77777777" w:rsidR="00001BB2" w:rsidRPr="009B4D65" w:rsidRDefault="00001BB2" w:rsidP="009B4D65">
            <w:pPr>
              <w:spacing w:line="276" w:lineRule="auto"/>
              <w:rPr>
                <w:rFonts w:asciiTheme="majorBidi" w:hAnsiTheme="majorBidi" w:cstheme="majorBidi"/>
                <w:b/>
                <w:bCs/>
                <w:szCs w:val="22"/>
              </w:rPr>
            </w:pPr>
            <w:r w:rsidRPr="009B4D65">
              <w:rPr>
                <w:rFonts w:asciiTheme="majorBidi" w:hAnsiTheme="majorBidi" w:cstheme="majorBidi"/>
                <w:b/>
                <w:bCs/>
                <w:szCs w:val="22"/>
              </w:rPr>
              <w:t>End</w:t>
            </w:r>
          </w:p>
        </w:tc>
        <w:tc>
          <w:tcPr>
            <w:tcW w:w="0" w:type="auto"/>
            <w:tcBorders>
              <w:top w:val="single" w:sz="4" w:space="0" w:color="auto"/>
              <w:bottom w:val="single" w:sz="4" w:space="0" w:color="auto"/>
            </w:tcBorders>
            <w:hideMark/>
          </w:tcPr>
          <w:p w14:paraId="721F1B1A" w14:textId="77777777" w:rsidR="00001BB2" w:rsidRPr="009B4D65" w:rsidRDefault="00001BB2" w:rsidP="009B4D65">
            <w:pPr>
              <w:spacing w:line="276" w:lineRule="auto"/>
              <w:rPr>
                <w:rFonts w:asciiTheme="majorBidi" w:hAnsiTheme="majorBidi" w:cstheme="majorBidi"/>
                <w:b/>
                <w:bCs/>
                <w:szCs w:val="22"/>
              </w:rPr>
            </w:pPr>
            <w:r w:rsidRPr="009B4D65">
              <w:rPr>
                <w:rFonts w:asciiTheme="majorBidi" w:hAnsiTheme="majorBidi" w:cstheme="majorBidi"/>
                <w:b/>
                <w:bCs/>
                <w:szCs w:val="22"/>
              </w:rPr>
              <w:t>Duration (months)</w:t>
            </w:r>
          </w:p>
        </w:tc>
        <w:tc>
          <w:tcPr>
            <w:tcW w:w="0" w:type="auto"/>
            <w:tcBorders>
              <w:top w:val="single" w:sz="4" w:space="0" w:color="auto"/>
              <w:bottom w:val="single" w:sz="4" w:space="0" w:color="auto"/>
            </w:tcBorders>
            <w:hideMark/>
          </w:tcPr>
          <w:p w14:paraId="2E5F9FBE" w14:textId="77777777" w:rsidR="00001BB2" w:rsidRPr="009B4D65" w:rsidRDefault="00001BB2" w:rsidP="009B4D65">
            <w:pPr>
              <w:spacing w:line="276" w:lineRule="auto"/>
              <w:rPr>
                <w:rFonts w:asciiTheme="majorBidi" w:hAnsiTheme="majorBidi" w:cstheme="majorBidi"/>
                <w:b/>
                <w:bCs/>
                <w:szCs w:val="22"/>
              </w:rPr>
            </w:pPr>
            <w:r w:rsidRPr="009B4D65">
              <w:rPr>
                <w:rFonts w:asciiTheme="majorBidi" w:hAnsiTheme="majorBidi" w:cstheme="majorBidi"/>
                <w:b/>
                <w:bCs/>
                <w:szCs w:val="22"/>
              </w:rPr>
              <w:t>Min. SLLI</w:t>
            </w:r>
          </w:p>
        </w:tc>
        <w:tc>
          <w:tcPr>
            <w:tcW w:w="0" w:type="auto"/>
            <w:tcBorders>
              <w:top w:val="single" w:sz="4" w:space="0" w:color="auto"/>
              <w:bottom w:val="single" w:sz="4" w:space="0" w:color="auto"/>
            </w:tcBorders>
            <w:hideMark/>
          </w:tcPr>
          <w:p w14:paraId="25801A0F" w14:textId="77777777" w:rsidR="00001BB2" w:rsidRPr="009B4D65" w:rsidRDefault="00001BB2" w:rsidP="009B4D65">
            <w:pPr>
              <w:spacing w:line="276" w:lineRule="auto"/>
              <w:rPr>
                <w:rFonts w:asciiTheme="majorBidi" w:hAnsiTheme="majorBidi" w:cstheme="majorBidi"/>
                <w:b/>
                <w:bCs/>
                <w:szCs w:val="22"/>
              </w:rPr>
            </w:pPr>
            <w:r w:rsidRPr="009B4D65">
              <w:rPr>
                <w:rFonts w:asciiTheme="majorBidi" w:hAnsiTheme="majorBidi" w:cstheme="majorBidi"/>
                <w:b/>
                <w:bCs/>
                <w:szCs w:val="22"/>
              </w:rPr>
              <w:t>Mean SLLI</w:t>
            </w:r>
          </w:p>
        </w:tc>
        <w:tc>
          <w:tcPr>
            <w:tcW w:w="0" w:type="auto"/>
            <w:tcBorders>
              <w:top w:val="single" w:sz="4" w:space="0" w:color="auto"/>
              <w:bottom w:val="single" w:sz="4" w:space="0" w:color="auto"/>
            </w:tcBorders>
            <w:hideMark/>
          </w:tcPr>
          <w:p w14:paraId="3E7489B7" w14:textId="77777777" w:rsidR="00001BB2" w:rsidRPr="009B4D65" w:rsidRDefault="00001BB2" w:rsidP="009B4D65">
            <w:pPr>
              <w:spacing w:line="276" w:lineRule="auto"/>
              <w:rPr>
                <w:rFonts w:asciiTheme="majorBidi" w:hAnsiTheme="majorBidi" w:cstheme="majorBidi"/>
                <w:b/>
                <w:bCs/>
                <w:szCs w:val="22"/>
              </w:rPr>
            </w:pPr>
            <w:r w:rsidRPr="009B4D65">
              <w:rPr>
                <w:rFonts w:asciiTheme="majorBidi" w:hAnsiTheme="majorBidi" w:cstheme="majorBidi"/>
                <w:b/>
                <w:bCs/>
                <w:szCs w:val="22"/>
              </w:rPr>
              <w:t>Severity</w:t>
            </w:r>
          </w:p>
        </w:tc>
      </w:tr>
      <w:tr w:rsidR="00001BB2" w:rsidRPr="009B4D65" w14:paraId="5FACD207" w14:textId="77777777" w:rsidTr="00DE6960">
        <w:tc>
          <w:tcPr>
            <w:tcW w:w="0" w:type="auto"/>
            <w:tcBorders>
              <w:top w:val="single" w:sz="4" w:space="0" w:color="auto"/>
            </w:tcBorders>
            <w:hideMark/>
          </w:tcPr>
          <w:p w14:paraId="3C9ADC46"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İznik</w:t>
            </w:r>
          </w:p>
        </w:tc>
        <w:tc>
          <w:tcPr>
            <w:tcW w:w="0" w:type="auto"/>
            <w:tcBorders>
              <w:top w:val="single" w:sz="4" w:space="0" w:color="auto"/>
            </w:tcBorders>
            <w:hideMark/>
          </w:tcPr>
          <w:p w14:paraId="1C012FCA"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Oct 2009</w:t>
            </w:r>
          </w:p>
        </w:tc>
        <w:tc>
          <w:tcPr>
            <w:tcW w:w="0" w:type="auto"/>
            <w:tcBorders>
              <w:top w:val="single" w:sz="4" w:space="0" w:color="auto"/>
            </w:tcBorders>
            <w:hideMark/>
          </w:tcPr>
          <w:p w14:paraId="7493215C"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Dec 2009</w:t>
            </w:r>
          </w:p>
        </w:tc>
        <w:tc>
          <w:tcPr>
            <w:tcW w:w="0" w:type="auto"/>
            <w:tcBorders>
              <w:top w:val="single" w:sz="4" w:space="0" w:color="auto"/>
            </w:tcBorders>
            <w:hideMark/>
          </w:tcPr>
          <w:p w14:paraId="4B73C37A"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3</w:t>
            </w:r>
          </w:p>
        </w:tc>
        <w:tc>
          <w:tcPr>
            <w:tcW w:w="0" w:type="auto"/>
            <w:tcBorders>
              <w:top w:val="single" w:sz="4" w:space="0" w:color="auto"/>
            </w:tcBorders>
            <w:hideMark/>
          </w:tcPr>
          <w:p w14:paraId="331EFF4E"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−1.097</w:t>
            </w:r>
          </w:p>
        </w:tc>
        <w:tc>
          <w:tcPr>
            <w:tcW w:w="0" w:type="auto"/>
            <w:tcBorders>
              <w:top w:val="single" w:sz="4" w:space="0" w:color="auto"/>
            </w:tcBorders>
            <w:hideMark/>
          </w:tcPr>
          <w:p w14:paraId="473520F6"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−0.757</w:t>
            </w:r>
          </w:p>
        </w:tc>
        <w:tc>
          <w:tcPr>
            <w:tcW w:w="0" w:type="auto"/>
            <w:tcBorders>
              <w:top w:val="single" w:sz="4" w:space="0" w:color="auto"/>
            </w:tcBorders>
            <w:hideMark/>
          </w:tcPr>
          <w:p w14:paraId="5C3E5E19"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2.27</w:t>
            </w:r>
          </w:p>
        </w:tc>
      </w:tr>
      <w:tr w:rsidR="00001BB2" w:rsidRPr="009B4D65" w14:paraId="135ADD4C" w14:textId="77777777" w:rsidTr="00DE6960">
        <w:tc>
          <w:tcPr>
            <w:tcW w:w="0" w:type="auto"/>
            <w:hideMark/>
          </w:tcPr>
          <w:p w14:paraId="0402346F"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İznik</w:t>
            </w:r>
          </w:p>
        </w:tc>
        <w:tc>
          <w:tcPr>
            <w:tcW w:w="0" w:type="auto"/>
            <w:hideMark/>
          </w:tcPr>
          <w:p w14:paraId="63A22A4A"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Dec 2019</w:t>
            </w:r>
          </w:p>
        </w:tc>
        <w:tc>
          <w:tcPr>
            <w:tcW w:w="0" w:type="auto"/>
            <w:hideMark/>
          </w:tcPr>
          <w:p w14:paraId="5F3D39EA"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Jun 2020</w:t>
            </w:r>
          </w:p>
        </w:tc>
        <w:tc>
          <w:tcPr>
            <w:tcW w:w="0" w:type="auto"/>
            <w:hideMark/>
          </w:tcPr>
          <w:p w14:paraId="4AE3A877"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7</w:t>
            </w:r>
          </w:p>
        </w:tc>
        <w:tc>
          <w:tcPr>
            <w:tcW w:w="0" w:type="auto"/>
            <w:hideMark/>
          </w:tcPr>
          <w:p w14:paraId="1AC2AAA2"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−1.097</w:t>
            </w:r>
          </w:p>
        </w:tc>
        <w:tc>
          <w:tcPr>
            <w:tcW w:w="0" w:type="auto"/>
            <w:hideMark/>
          </w:tcPr>
          <w:p w14:paraId="3918D4AE"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−1.078</w:t>
            </w:r>
          </w:p>
        </w:tc>
        <w:tc>
          <w:tcPr>
            <w:tcW w:w="0" w:type="auto"/>
            <w:hideMark/>
          </w:tcPr>
          <w:p w14:paraId="08A3EA29"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7.55</w:t>
            </w:r>
          </w:p>
        </w:tc>
      </w:tr>
      <w:tr w:rsidR="00001BB2" w:rsidRPr="009B4D65" w14:paraId="649C4449" w14:textId="77777777" w:rsidTr="00DE6960">
        <w:tc>
          <w:tcPr>
            <w:tcW w:w="0" w:type="auto"/>
            <w:hideMark/>
          </w:tcPr>
          <w:p w14:paraId="1FE85B24"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İznik</w:t>
            </w:r>
          </w:p>
        </w:tc>
        <w:tc>
          <w:tcPr>
            <w:tcW w:w="0" w:type="auto"/>
            <w:hideMark/>
          </w:tcPr>
          <w:p w14:paraId="2FFD4633"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Oct 2020</w:t>
            </w:r>
          </w:p>
        </w:tc>
        <w:tc>
          <w:tcPr>
            <w:tcW w:w="0" w:type="auto"/>
            <w:hideMark/>
          </w:tcPr>
          <w:p w14:paraId="227AEF5E"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Oct 2023</w:t>
            </w:r>
          </w:p>
        </w:tc>
        <w:tc>
          <w:tcPr>
            <w:tcW w:w="0" w:type="auto"/>
            <w:hideMark/>
          </w:tcPr>
          <w:p w14:paraId="613D9EA5"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b/>
                <w:bCs/>
                <w:szCs w:val="22"/>
              </w:rPr>
              <w:t>37</w:t>
            </w:r>
          </w:p>
        </w:tc>
        <w:tc>
          <w:tcPr>
            <w:tcW w:w="0" w:type="auto"/>
            <w:hideMark/>
          </w:tcPr>
          <w:p w14:paraId="13FC144F"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b/>
                <w:bCs/>
                <w:szCs w:val="22"/>
              </w:rPr>
              <w:t>−1.691</w:t>
            </w:r>
          </w:p>
        </w:tc>
        <w:tc>
          <w:tcPr>
            <w:tcW w:w="0" w:type="auto"/>
            <w:hideMark/>
          </w:tcPr>
          <w:p w14:paraId="48A3D18C"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b/>
                <w:bCs/>
                <w:szCs w:val="22"/>
              </w:rPr>
              <w:t>−1.444</w:t>
            </w:r>
          </w:p>
        </w:tc>
        <w:tc>
          <w:tcPr>
            <w:tcW w:w="0" w:type="auto"/>
            <w:hideMark/>
          </w:tcPr>
          <w:p w14:paraId="4FAAC033"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b/>
                <w:bCs/>
                <w:szCs w:val="22"/>
              </w:rPr>
              <w:t>53.44</w:t>
            </w:r>
          </w:p>
        </w:tc>
      </w:tr>
      <w:tr w:rsidR="00001BB2" w:rsidRPr="009B4D65" w14:paraId="0C8CA177" w14:textId="77777777" w:rsidTr="00DE6960">
        <w:tc>
          <w:tcPr>
            <w:tcW w:w="0" w:type="auto"/>
            <w:hideMark/>
          </w:tcPr>
          <w:p w14:paraId="59F4839A"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İznik</w:t>
            </w:r>
          </w:p>
        </w:tc>
        <w:tc>
          <w:tcPr>
            <w:tcW w:w="0" w:type="auto"/>
            <w:hideMark/>
          </w:tcPr>
          <w:p w14:paraId="1469980B"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Jun 2024</w:t>
            </w:r>
          </w:p>
        </w:tc>
        <w:tc>
          <w:tcPr>
            <w:tcW w:w="0" w:type="auto"/>
            <w:hideMark/>
          </w:tcPr>
          <w:p w14:paraId="31FAA375"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Oct 2024</w:t>
            </w:r>
          </w:p>
        </w:tc>
        <w:tc>
          <w:tcPr>
            <w:tcW w:w="0" w:type="auto"/>
            <w:hideMark/>
          </w:tcPr>
          <w:p w14:paraId="775D8196"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5</w:t>
            </w:r>
          </w:p>
        </w:tc>
        <w:tc>
          <w:tcPr>
            <w:tcW w:w="0" w:type="auto"/>
            <w:hideMark/>
          </w:tcPr>
          <w:p w14:paraId="59415FA3"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−1.097</w:t>
            </w:r>
          </w:p>
        </w:tc>
        <w:tc>
          <w:tcPr>
            <w:tcW w:w="0" w:type="auto"/>
            <w:hideMark/>
          </w:tcPr>
          <w:p w14:paraId="3BFECBB4"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−1.008</w:t>
            </w:r>
          </w:p>
        </w:tc>
        <w:tc>
          <w:tcPr>
            <w:tcW w:w="0" w:type="auto"/>
            <w:hideMark/>
          </w:tcPr>
          <w:p w14:paraId="38D989EA"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5.04</w:t>
            </w:r>
          </w:p>
        </w:tc>
      </w:tr>
      <w:tr w:rsidR="00001BB2" w:rsidRPr="009B4D65" w14:paraId="2AA91AB7" w14:textId="77777777" w:rsidTr="00DE6960">
        <w:tc>
          <w:tcPr>
            <w:tcW w:w="0" w:type="auto"/>
            <w:hideMark/>
          </w:tcPr>
          <w:p w14:paraId="0A1B0257"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4935683F"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Apr 2002</w:t>
            </w:r>
          </w:p>
        </w:tc>
        <w:tc>
          <w:tcPr>
            <w:tcW w:w="0" w:type="auto"/>
            <w:hideMark/>
          </w:tcPr>
          <w:p w14:paraId="20ED0BE9"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Jun 2002</w:t>
            </w:r>
          </w:p>
        </w:tc>
        <w:tc>
          <w:tcPr>
            <w:tcW w:w="0" w:type="auto"/>
            <w:hideMark/>
          </w:tcPr>
          <w:p w14:paraId="40EEA703"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3</w:t>
            </w:r>
          </w:p>
        </w:tc>
        <w:tc>
          <w:tcPr>
            <w:tcW w:w="0" w:type="auto"/>
            <w:hideMark/>
          </w:tcPr>
          <w:p w14:paraId="1E89EEDD"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−1.434</w:t>
            </w:r>
          </w:p>
        </w:tc>
        <w:tc>
          <w:tcPr>
            <w:tcW w:w="0" w:type="auto"/>
            <w:hideMark/>
          </w:tcPr>
          <w:p w14:paraId="2C9D66C8"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−1.128</w:t>
            </w:r>
          </w:p>
        </w:tc>
        <w:tc>
          <w:tcPr>
            <w:tcW w:w="0" w:type="auto"/>
            <w:hideMark/>
          </w:tcPr>
          <w:p w14:paraId="2D7CDFF9"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3.38</w:t>
            </w:r>
          </w:p>
        </w:tc>
      </w:tr>
      <w:tr w:rsidR="00001BB2" w:rsidRPr="009B4D65" w14:paraId="5A15C35C" w14:textId="77777777" w:rsidTr="00DE6960">
        <w:tc>
          <w:tcPr>
            <w:tcW w:w="0" w:type="auto"/>
            <w:hideMark/>
          </w:tcPr>
          <w:p w14:paraId="3472AE5B"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2E97A4AA"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Apr 2003</w:t>
            </w:r>
          </w:p>
        </w:tc>
        <w:tc>
          <w:tcPr>
            <w:tcW w:w="0" w:type="auto"/>
            <w:hideMark/>
          </w:tcPr>
          <w:p w14:paraId="0A94CBCD"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Jul 2003</w:t>
            </w:r>
          </w:p>
        </w:tc>
        <w:tc>
          <w:tcPr>
            <w:tcW w:w="0" w:type="auto"/>
            <w:hideMark/>
          </w:tcPr>
          <w:p w14:paraId="095B3A3D"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4</w:t>
            </w:r>
          </w:p>
        </w:tc>
        <w:tc>
          <w:tcPr>
            <w:tcW w:w="0" w:type="auto"/>
            <w:hideMark/>
          </w:tcPr>
          <w:p w14:paraId="0BD5E392"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−1.248</w:t>
            </w:r>
          </w:p>
        </w:tc>
        <w:tc>
          <w:tcPr>
            <w:tcW w:w="0" w:type="auto"/>
            <w:hideMark/>
          </w:tcPr>
          <w:p w14:paraId="27880E5D"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−1.054</w:t>
            </w:r>
          </w:p>
        </w:tc>
        <w:tc>
          <w:tcPr>
            <w:tcW w:w="0" w:type="auto"/>
            <w:hideMark/>
          </w:tcPr>
          <w:p w14:paraId="299BD3B6"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4.22</w:t>
            </w:r>
          </w:p>
        </w:tc>
      </w:tr>
      <w:tr w:rsidR="00001BB2" w:rsidRPr="009B4D65" w14:paraId="411C4EB6" w14:textId="77777777" w:rsidTr="00DE6960">
        <w:tc>
          <w:tcPr>
            <w:tcW w:w="0" w:type="auto"/>
            <w:hideMark/>
          </w:tcPr>
          <w:p w14:paraId="0FF47CE3"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3167C97D"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Jul 2004</w:t>
            </w:r>
          </w:p>
        </w:tc>
        <w:tc>
          <w:tcPr>
            <w:tcW w:w="0" w:type="auto"/>
            <w:hideMark/>
          </w:tcPr>
          <w:p w14:paraId="75A97CA6"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Aug 2004</w:t>
            </w:r>
          </w:p>
        </w:tc>
        <w:tc>
          <w:tcPr>
            <w:tcW w:w="0" w:type="auto"/>
            <w:hideMark/>
          </w:tcPr>
          <w:p w14:paraId="021FEE02"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2</w:t>
            </w:r>
          </w:p>
        </w:tc>
        <w:tc>
          <w:tcPr>
            <w:tcW w:w="0" w:type="auto"/>
            <w:hideMark/>
          </w:tcPr>
          <w:p w14:paraId="1DFA8664"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−1.097</w:t>
            </w:r>
          </w:p>
        </w:tc>
        <w:tc>
          <w:tcPr>
            <w:tcW w:w="0" w:type="auto"/>
            <w:hideMark/>
          </w:tcPr>
          <w:p w14:paraId="2F025EA2"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−0.975</w:t>
            </w:r>
          </w:p>
        </w:tc>
        <w:tc>
          <w:tcPr>
            <w:tcW w:w="0" w:type="auto"/>
            <w:hideMark/>
          </w:tcPr>
          <w:p w14:paraId="08F52F18"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1.95</w:t>
            </w:r>
          </w:p>
        </w:tc>
      </w:tr>
      <w:tr w:rsidR="00001BB2" w:rsidRPr="009B4D65" w14:paraId="50279A41" w14:textId="77777777" w:rsidTr="00DE6960">
        <w:tc>
          <w:tcPr>
            <w:tcW w:w="0" w:type="auto"/>
            <w:hideMark/>
          </w:tcPr>
          <w:p w14:paraId="76046F49"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232E3530"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Oct 2004</w:t>
            </w:r>
          </w:p>
        </w:tc>
        <w:tc>
          <w:tcPr>
            <w:tcW w:w="0" w:type="auto"/>
            <w:hideMark/>
          </w:tcPr>
          <w:p w14:paraId="3EBB3B0B"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Feb 2005</w:t>
            </w:r>
          </w:p>
        </w:tc>
        <w:tc>
          <w:tcPr>
            <w:tcW w:w="0" w:type="auto"/>
            <w:hideMark/>
          </w:tcPr>
          <w:p w14:paraId="2FD4EF36"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5</w:t>
            </w:r>
          </w:p>
        </w:tc>
        <w:tc>
          <w:tcPr>
            <w:tcW w:w="0" w:type="auto"/>
            <w:hideMark/>
          </w:tcPr>
          <w:p w14:paraId="16E9B8C5"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−1.434</w:t>
            </w:r>
          </w:p>
        </w:tc>
        <w:tc>
          <w:tcPr>
            <w:tcW w:w="0" w:type="auto"/>
            <w:hideMark/>
          </w:tcPr>
          <w:p w14:paraId="1F62225A"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−1.266</w:t>
            </w:r>
          </w:p>
        </w:tc>
        <w:tc>
          <w:tcPr>
            <w:tcW w:w="0" w:type="auto"/>
            <w:hideMark/>
          </w:tcPr>
          <w:p w14:paraId="12CCA6CC"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6.33</w:t>
            </w:r>
          </w:p>
        </w:tc>
      </w:tr>
      <w:tr w:rsidR="00001BB2" w:rsidRPr="009B4D65" w14:paraId="2CE709C5" w14:textId="77777777" w:rsidTr="00DE6960">
        <w:tc>
          <w:tcPr>
            <w:tcW w:w="0" w:type="auto"/>
            <w:hideMark/>
          </w:tcPr>
          <w:p w14:paraId="1A5587A8"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5E41FBEA"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Sep 2005</w:t>
            </w:r>
          </w:p>
        </w:tc>
        <w:tc>
          <w:tcPr>
            <w:tcW w:w="0" w:type="auto"/>
            <w:hideMark/>
          </w:tcPr>
          <w:p w14:paraId="246A2F94"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Oct 2005</w:t>
            </w:r>
          </w:p>
        </w:tc>
        <w:tc>
          <w:tcPr>
            <w:tcW w:w="0" w:type="auto"/>
            <w:hideMark/>
          </w:tcPr>
          <w:p w14:paraId="18B00601"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2</w:t>
            </w:r>
          </w:p>
        </w:tc>
        <w:tc>
          <w:tcPr>
            <w:tcW w:w="0" w:type="auto"/>
            <w:hideMark/>
          </w:tcPr>
          <w:p w14:paraId="33E3018C"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−1.097</w:t>
            </w:r>
          </w:p>
        </w:tc>
        <w:tc>
          <w:tcPr>
            <w:tcW w:w="0" w:type="auto"/>
            <w:hideMark/>
          </w:tcPr>
          <w:p w14:paraId="26BF1FA4"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−1.032</w:t>
            </w:r>
          </w:p>
        </w:tc>
        <w:tc>
          <w:tcPr>
            <w:tcW w:w="0" w:type="auto"/>
            <w:hideMark/>
          </w:tcPr>
          <w:p w14:paraId="0D2DB0DF"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2.06</w:t>
            </w:r>
          </w:p>
        </w:tc>
      </w:tr>
      <w:tr w:rsidR="00001BB2" w:rsidRPr="009B4D65" w14:paraId="4D2CCBC6" w14:textId="77777777" w:rsidTr="00DE6960">
        <w:tc>
          <w:tcPr>
            <w:tcW w:w="0" w:type="auto"/>
            <w:hideMark/>
          </w:tcPr>
          <w:p w14:paraId="366E8B3B"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49E026E8"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Nov 2005</w:t>
            </w:r>
          </w:p>
        </w:tc>
        <w:tc>
          <w:tcPr>
            <w:tcW w:w="0" w:type="auto"/>
            <w:hideMark/>
          </w:tcPr>
          <w:p w14:paraId="37416F45"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Feb 2006</w:t>
            </w:r>
          </w:p>
        </w:tc>
        <w:tc>
          <w:tcPr>
            <w:tcW w:w="0" w:type="auto"/>
            <w:hideMark/>
          </w:tcPr>
          <w:p w14:paraId="64566D80"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4</w:t>
            </w:r>
          </w:p>
        </w:tc>
        <w:tc>
          <w:tcPr>
            <w:tcW w:w="0" w:type="auto"/>
            <w:hideMark/>
          </w:tcPr>
          <w:p w14:paraId="62B3B39F"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−1.097</w:t>
            </w:r>
          </w:p>
        </w:tc>
        <w:tc>
          <w:tcPr>
            <w:tcW w:w="0" w:type="auto"/>
            <w:hideMark/>
          </w:tcPr>
          <w:p w14:paraId="22FEB8B9"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−0.704</w:t>
            </w:r>
          </w:p>
        </w:tc>
        <w:tc>
          <w:tcPr>
            <w:tcW w:w="0" w:type="auto"/>
            <w:hideMark/>
          </w:tcPr>
          <w:p w14:paraId="21016282"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3.29</w:t>
            </w:r>
          </w:p>
        </w:tc>
      </w:tr>
      <w:tr w:rsidR="00001BB2" w:rsidRPr="009B4D65" w14:paraId="3A01AB57" w14:textId="77777777" w:rsidTr="00DE6960">
        <w:tc>
          <w:tcPr>
            <w:tcW w:w="0" w:type="auto"/>
            <w:hideMark/>
          </w:tcPr>
          <w:p w14:paraId="4A924DC3"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69BDFBB8"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Jun 2006</w:t>
            </w:r>
          </w:p>
        </w:tc>
        <w:tc>
          <w:tcPr>
            <w:tcW w:w="0" w:type="auto"/>
            <w:hideMark/>
          </w:tcPr>
          <w:p w14:paraId="386E9F6E"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Nov 2006</w:t>
            </w:r>
          </w:p>
        </w:tc>
        <w:tc>
          <w:tcPr>
            <w:tcW w:w="0" w:type="auto"/>
            <w:hideMark/>
          </w:tcPr>
          <w:p w14:paraId="06E713C9"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6</w:t>
            </w:r>
          </w:p>
        </w:tc>
        <w:tc>
          <w:tcPr>
            <w:tcW w:w="0" w:type="auto"/>
            <w:hideMark/>
          </w:tcPr>
          <w:p w14:paraId="69EEAACF"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−1.691</w:t>
            </w:r>
          </w:p>
        </w:tc>
        <w:tc>
          <w:tcPr>
            <w:tcW w:w="0" w:type="auto"/>
            <w:hideMark/>
          </w:tcPr>
          <w:p w14:paraId="041BA829"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−1.250</w:t>
            </w:r>
          </w:p>
        </w:tc>
        <w:tc>
          <w:tcPr>
            <w:tcW w:w="0" w:type="auto"/>
            <w:hideMark/>
          </w:tcPr>
          <w:p w14:paraId="340EE205"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7.50</w:t>
            </w:r>
          </w:p>
        </w:tc>
      </w:tr>
      <w:tr w:rsidR="00001BB2" w:rsidRPr="009B4D65" w14:paraId="269F6356" w14:textId="77777777" w:rsidTr="00DE6960">
        <w:tc>
          <w:tcPr>
            <w:tcW w:w="0" w:type="auto"/>
            <w:hideMark/>
          </w:tcPr>
          <w:p w14:paraId="6D16F40E"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249DB9EB"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Dec 2006</w:t>
            </w:r>
          </w:p>
        </w:tc>
        <w:tc>
          <w:tcPr>
            <w:tcW w:w="0" w:type="auto"/>
            <w:hideMark/>
          </w:tcPr>
          <w:p w14:paraId="51F23786"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Dec 2007</w:t>
            </w:r>
          </w:p>
        </w:tc>
        <w:tc>
          <w:tcPr>
            <w:tcW w:w="0" w:type="auto"/>
            <w:hideMark/>
          </w:tcPr>
          <w:p w14:paraId="5448F0A3"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b/>
                <w:bCs/>
                <w:szCs w:val="22"/>
              </w:rPr>
              <w:t>13</w:t>
            </w:r>
          </w:p>
        </w:tc>
        <w:tc>
          <w:tcPr>
            <w:tcW w:w="0" w:type="auto"/>
            <w:hideMark/>
          </w:tcPr>
          <w:p w14:paraId="0D4478B5"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b/>
                <w:bCs/>
                <w:szCs w:val="22"/>
              </w:rPr>
              <w:t>−1.691</w:t>
            </w:r>
          </w:p>
        </w:tc>
        <w:tc>
          <w:tcPr>
            <w:tcW w:w="0" w:type="auto"/>
            <w:hideMark/>
          </w:tcPr>
          <w:p w14:paraId="16D762EA"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b/>
                <w:bCs/>
                <w:szCs w:val="22"/>
              </w:rPr>
              <w:t>−1.533</w:t>
            </w:r>
          </w:p>
        </w:tc>
        <w:tc>
          <w:tcPr>
            <w:tcW w:w="0" w:type="auto"/>
            <w:hideMark/>
          </w:tcPr>
          <w:p w14:paraId="5FFA7675"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b/>
                <w:bCs/>
                <w:szCs w:val="22"/>
              </w:rPr>
              <w:t>19.93</w:t>
            </w:r>
          </w:p>
        </w:tc>
      </w:tr>
      <w:tr w:rsidR="00001BB2" w:rsidRPr="009B4D65" w14:paraId="0E8BAF5B" w14:textId="77777777" w:rsidTr="00DE6960">
        <w:tc>
          <w:tcPr>
            <w:tcW w:w="0" w:type="auto"/>
            <w:hideMark/>
          </w:tcPr>
          <w:p w14:paraId="4BB2A53F"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1F7A34E9"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Feb 2008</w:t>
            </w:r>
          </w:p>
        </w:tc>
        <w:tc>
          <w:tcPr>
            <w:tcW w:w="0" w:type="auto"/>
            <w:hideMark/>
          </w:tcPr>
          <w:p w14:paraId="2E4C8C03"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Apr 2008</w:t>
            </w:r>
          </w:p>
        </w:tc>
        <w:tc>
          <w:tcPr>
            <w:tcW w:w="0" w:type="auto"/>
            <w:hideMark/>
          </w:tcPr>
          <w:p w14:paraId="49A41FDD"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3</w:t>
            </w:r>
          </w:p>
        </w:tc>
        <w:tc>
          <w:tcPr>
            <w:tcW w:w="0" w:type="auto"/>
            <w:hideMark/>
          </w:tcPr>
          <w:p w14:paraId="386733C8"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−1.434</w:t>
            </w:r>
          </w:p>
        </w:tc>
        <w:tc>
          <w:tcPr>
            <w:tcW w:w="0" w:type="auto"/>
            <w:hideMark/>
          </w:tcPr>
          <w:p w14:paraId="6A3A58F8"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−0.895</w:t>
            </w:r>
          </w:p>
        </w:tc>
        <w:tc>
          <w:tcPr>
            <w:tcW w:w="0" w:type="auto"/>
            <w:hideMark/>
          </w:tcPr>
          <w:p w14:paraId="5B740FB6"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2.68</w:t>
            </w:r>
          </w:p>
        </w:tc>
      </w:tr>
      <w:tr w:rsidR="00001BB2" w:rsidRPr="009B4D65" w14:paraId="3226F541" w14:textId="77777777" w:rsidTr="00DE6960">
        <w:tc>
          <w:tcPr>
            <w:tcW w:w="0" w:type="auto"/>
            <w:hideMark/>
          </w:tcPr>
          <w:p w14:paraId="1FD301AA"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7CF394CC"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May 2008</w:t>
            </w:r>
          </w:p>
        </w:tc>
        <w:tc>
          <w:tcPr>
            <w:tcW w:w="0" w:type="auto"/>
            <w:hideMark/>
          </w:tcPr>
          <w:p w14:paraId="27A03F3C"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Jan 2009</w:t>
            </w:r>
          </w:p>
        </w:tc>
        <w:tc>
          <w:tcPr>
            <w:tcW w:w="0" w:type="auto"/>
            <w:hideMark/>
          </w:tcPr>
          <w:p w14:paraId="49A6B4A4"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9</w:t>
            </w:r>
          </w:p>
        </w:tc>
        <w:tc>
          <w:tcPr>
            <w:tcW w:w="0" w:type="auto"/>
            <w:hideMark/>
          </w:tcPr>
          <w:p w14:paraId="1B6CDB3C"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−1.691</w:t>
            </w:r>
          </w:p>
        </w:tc>
        <w:tc>
          <w:tcPr>
            <w:tcW w:w="0" w:type="auto"/>
            <w:hideMark/>
          </w:tcPr>
          <w:p w14:paraId="3A23569A"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−1.302</w:t>
            </w:r>
          </w:p>
        </w:tc>
        <w:tc>
          <w:tcPr>
            <w:tcW w:w="0" w:type="auto"/>
            <w:hideMark/>
          </w:tcPr>
          <w:p w14:paraId="78BE288F"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11.72</w:t>
            </w:r>
          </w:p>
        </w:tc>
      </w:tr>
      <w:tr w:rsidR="00001BB2" w:rsidRPr="009B4D65" w14:paraId="39C6CC31" w14:textId="77777777" w:rsidTr="00DE6960">
        <w:tc>
          <w:tcPr>
            <w:tcW w:w="0" w:type="auto"/>
            <w:hideMark/>
          </w:tcPr>
          <w:p w14:paraId="1B9B8978"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38F585AE"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Aug 2009</w:t>
            </w:r>
          </w:p>
        </w:tc>
        <w:tc>
          <w:tcPr>
            <w:tcW w:w="0" w:type="auto"/>
            <w:hideMark/>
          </w:tcPr>
          <w:p w14:paraId="3E1629D2"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Sep 2009</w:t>
            </w:r>
          </w:p>
        </w:tc>
        <w:tc>
          <w:tcPr>
            <w:tcW w:w="0" w:type="auto"/>
            <w:hideMark/>
          </w:tcPr>
          <w:p w14:paraId="734F2D4F"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2</w:t>
            </w:r>
          </w:p>
        </w:tc>
        <w:tc>
          <w:tcPr>
            <w:tcW w:w="0" w:type="auto"/>
            <w:hideMark/>
          </w:tcPr>
          <w:p w14:paraId="3F8A2F9A"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−1.097</w:t>
            </w:r>
          </w:p>
        </w:tc>
        <w:tc>
          <w:tcPr>
            <w:tcW w:w="0" w:type="auto"/>
            <w:hideMark/>
          </w:tcPr>
          <w:p w14:paraId="3351032F"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−1.032</w:t>
            </w:r>
          </w:p>
        </w:tc>
        <w:tc>
          <w:tcPr>
            <w:tcW w:w="0" w:type="auto"/>
            <w:hideMark/>
          </w:tcPr>
          <w:p w14:paraId="45F3EC8E"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2.06</w:t>
            </w:r>
          </w:p>
        </w:tc>
      </w:tr>
      <w:tr w:rsidR="00001BB2" w:rsidRPr="009B4D65" w14:paraId="4AF14291" w14:textId="77777777" w:rsidTr="00DE6960">
        <w:tc>
          <w:tcPr>
            <w:tcW w:w="0" w:type="auto"/>
            <w:hideMark/>
          </w:tcPr>
          <w:p w14:paraId="1A944E04"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4681BD9A"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Feb 2014</w:t>
            </w:r>
          </w:p>
        </w:tc>
        <w:tc>
          <w:tcPr>
            <w:tcW w:w="0" w:type="auto"/>
            <w:hideMark/>
          </w:tcPr>
          <w:p w14:paraId="7A53A817"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May 2014</w:t>
            </w:r>
          </w:p>
        </w:tc>
        <w:tc>
          <w:tcPr>
            <w:tcW w:w="0" w:type="auto"/>
            <w:hideMark/>
          </w:tcPr>
          <w:p w14:paraId="766470D0"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4</w:t>
            </w:r>
          </w:p>
        </w:tc>
        <w:tc>
          <w:tcPr>
            <w:tcW w:w="0" w:type="auto"/>
            <w:hideMark/>
          </w:tcPr>
          <w:p w14:paraId="0648E283"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−1.434</w:t>
            </w:r>
          </w:p>
        </w:tc>
        <w:tc>
          <w:tcPr>
            <w:tcW w:w="0" w:type="auto"/>
            <w:hideMark/>
          </w:tcPr>
          <w:p w14:paraId="35267450"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−1.068</w:t>
            </w:r>
          </w:p>
        </w:tc>
        <w:tc>
          <w:tcPr>
            <w:tcW w:w="0" w:type="auto"/>
            <w:hideMark/>
          </w:tcPr>
          <w:p w14:paraId="1F48E7CC"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4.27</w:t>
            </w:r>
          </w:p>
        </w:tc>
      </w:tr>
      <w:tr w:rsidR="00001BB2" w:rsidRPr="009B4D65" w14:paraId="52832605" w14:textId="77777777" w:rsidTr="00DE6960">
        <w:tc>
          <w:tcPr>
            <w:tcW w:w="0" w:type="auto"/>
            <w:hideMark/>
          </w:tcPr>
          <w:p w14:paraId="24939D21"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Uluabat</w:t>
            </w:r>
          </w:p>
        </w:tc>
        <w:tc>
          <w:tcPr>
            <w:tcW w:w="0" w:type="auto"/>
            <w:hideMark/>
          </w:tcPr>
          <w:p w14:paraId="4DFFB668"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Jan 2023</w:t>
            </w:r>
          </w:p>
        </w:tc>
        <w:tc>
          <w:tcPr>
            <w:tcW w:w="0" w:type="auto"/>
            <w:hideMark/>
          </w:tcPr>
          <w:p w14:paraId="66058F31"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Apr 2023</w:t>
            </w:r>
          </w:p>
        </w:tc>
        <w:tc>
          <w:tcPr>
            <w:tcW w:w="0" w:type="auto"/>
            <w:hideMark/>
          </w:tcPr>
          <w:p w14:paraId="7E533BB7"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4</w:t>
            </w:r>
          </w:p>
        </w:tc>
        <w:tc>
          <w:tcPr>
            <w:tcW w:w="0" w:type="auto"/>
            <w:hideMark/>
          </w:tcPr>
          <w:p w14:paraId="5A26D16B"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−1.248</w:t>
            </w:r>
          </w:p>
        </w:tc>
        <w:tc>
          <w:tcPr>
            <w:tcW w:w="0" w:type="auto"/>
            <w:hideMark/>
          </w:tcPr>
          <w:p w14:paraId="1E3CCC1E"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−1.099</w:t>
            </w:r>
          </w:p>
        </w:tc>
        <w:tc>
          <w:tcPr>
            <w:tcW w:w="0" w:type="auto"/>
            <w:hideMark/>
          </w:tcPr>
          <w:p w14:paraId="1D6F5100" w14:textId="77777777" w:rsidR="00001BB2" w:rsidRPr="009B4D65" w:rsidRDefault="00001BB2" w:rsidP="009B4D65">
            <w:pPr>
              <w:spacing w:line="276" w:lineRule="auto"/>
              <w:rPr>
                <w:rFonts w:asciiTheme="majorBidi" w:hAnsiTheme="majorBidi" w:cstheme="majorBidi"/>
                <w:szCs w:val="22"/>
              </w:rPr>
            </w:pPr>
            <w:r w:rsidRPr="009B4D65">
              <w:rPr>
                <w:rFonts w:asciiTheme="majorBidi" w:hAnsiTheme="majorBidi" w:cstheme="majorBidi"/>
                <w:szCs w:val="22"/>
              </w:rPr>
              <w:t>4.39</w:t>
            </w:r>
          </w:p>
        </w:tc>
      </w:tr>
    </w:tbl>
    <w:p w14:paraId="7038B583" w14:textId="09A654E3" w:rsidR="00001BB2" w:rsidRPr="00AA6EA3" w:rsidRDefault="00001BB2" w:rsidP="00E95EA7">
      <w:pPr>
        <w:spacing w:line="276" w:lineRule="auto"/>
        <w:rPr>
          <w:rFonts w:asciiTheme="majorBidi" w:hAnsiTheme="majorBidi" w:cstheme="majorBidi"/>
          <w:sz w:val="20"/>
          <w:szCs w:val="20"/>
        </w:rPr>
      </w:pPr>
      <w:r w:rsidRPr="00AA6EA3">
        <w:rPr>
          <w:rFonts w:asciiTheme="majorBidi" w:hAnsiTheme="majorBidi" w:cstheme="majorBidi"/>
          <w:i/>
          <w:iCs/>
          <w:sz w:val="20"/>
          <w:szCs w:val="20"/>
        </w:rPr>
        <w:t>Severity is defined as the absolute sum of negative SLLI values over the event duration. Bold denotes the most severe event per lake.</w:t>
      </w:r>
    </w:p>
    <w:p w14:paraId="0A4E9F28" w14:textId="6ACCBC91" w:rsidR="0083730C" w:rsidRPr="009B4D65" w:rsidRDefault="0083730C" w:rsidP="00B65F75">
      <w:pPr>
        <w:pStyle w:val="Heading1"/>
      </w:pPr>
      <w:r w:rsidRPr="009B4D65">
        <w:t>S</w:t>
      </w:r>
      <w:r w:rsidR="00001BB2" w:rsidRPr="009B4D65">
        <w:t>3</w:t>
      </w:r>
      <w:r w:rsidR="006B0865">
        <w:t>.</w:t>
      </w:r>
      <w:r w:rsidRPr="009B4D65">
        <w:t xml:space="preserve"> </w:t>
      </w:r>
      <w:r w:rsidR="00001BB2" w:rsidRPr="009B4D65">
        <w:t xml:space="preserve">Extended </w:t>
      </w:r>
      <w:r w:rsidRPr="009B4D65">
        <w:t>Statistical Methods for Propagation Analysis</w:t>
      </w:r>
    </w:p>
    <w:p w14:paraId="053C693F" w14:textId="77777777" w:rsidR="0083730C" w:rsidRPr="009B4D65" w:rsidRDefault="0083730C"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Methods are reported jointly for Lakes İznik and Uluabat; lake-specific parameters are distinguished throughout. All analyses employed the same data record (January 1993–December 2024; n = 384 months) and the same set of meteorological drought indices (SPI and SPEI at 1, 3, 6, 12, and 24-month accumulation periods) relative to the respective SLLI series.</w:t>
      </w:r>
    </w:p>
    <w:p w14:paraId="799E53B3" w14:textId="1184C0DB" w:rsidR="0083730C" w:rsidRPr="009B4D65" w:rsidRDefault="0083730C" w:rsidP="00B65F75">
      <w:pPr>
        <w:pStyle w:val="Heading2"/>
      </w:pPr>
      <w:r w:rsidRPr="009B4D65">
        <w:t>S</w:t>
      </w:r>
      <w:r w:rsidR="00001BB2" w:rsidRPr="009B4D65">
        <w:t>3</w:t>
      </w:r>
      <w:r w:rsidRPr="009B4D65">
        <w:t>.1</w:t>
      </w:r>
      <w:r w:rsidR="00C220C0">
        <w:t>.</w:t>
      </w:r>
      <w:r w:rsidRPr="009B4D65">
        <w:t xml:space="preserve"> Stationarity Test</w:t>
      </w:r>
      <w:r w:rsidR="00001BB2" w:rsidRPr="009B4D65">
        <w:t xml:space="preserve"> Results</w:t>
      </w:r>
    </w:p>
    <w:p w14:paraId="49FDF49C" w14:textId="0B5F8B1C" w:rsidR="0083730C" w:rsidRPr="009B4D65" w:rsidRDefault="0083730C" w:rsidP="00E95EA7">
      <w:pPr>
        <w:spacing w:line="276" w:lineRule="auto"/>
        <w:rPr>
          <w:rFonts w:asciiTheme="majorBidi" w:hAnsiTheme="majorBidi" w:cstheme="majorBidi"/>
          <w:sz w:val="22"/>
          <w:szCs w:val="22"/>
        </w:rPr>
      </w:pPr>
      <w:r w:rsidRPr="009B4D65">
        <w:rPr>
          <w:rFonts w:asciiTheme="majorBidi" w:hAnsiTheme="majorBidi" w:cstheme="majorBidi"/>
          <w:sz w:val="22"/>
          <w:szCs w:val="22"/>
        </w:rPr>
        <w:t>Stationarity of all time series was assessed jointly with the (ADF; H₀: unit root) and (KPSS; H₀: stationarity) tests, following</w:t>
      </w:r>
      <w:r w:rsidR="00E95EA7">
        <w:rPr>
          <w:rFonts w:asciiTheme="majorBidi" w:hAnsiTheme="majorBidi" w:cstheme="majorBidi"/>
          <w:sz w:val="22"/>
          <w:szCs w:val="22"/>
        </w:rPr>
        <w:t xml:space="preserve"> </w:t>
      </w:r>
      <w:r w:rsidR="00E95EA7">
        <w:rPr>
          <w:rFonts w:asciiTheme="majorBidi" w:hAnsiTheme="majorBidi" w:cstheme="majorBidi"/>
          <w:sz w:val="22"/>
          <w:szCs w:val="22"/>
        </w:rPr>
        <w:fldChar w:fldCharType="begin"/>
      </w:r>
      <w:r w:rsidR="00E95EA7">
        <w:rPr>
          <w:rFonts w:asciiTheme="majorBidi" w:hAnsiTheme="majorBidi" w:cstheme="majorBidi"/>
          <w:sz w:val="22"/>
          <w:szCs w:val="22"/>
        </w:rPr>
        <w:instrText xml:space="preserve"> ADDIN ZOTERO_ITEM CSL_CITATION {"citationID":"5hrQCgC9","properties":{"unsorted":false,"formattedCitation":"(Hobijn et al., 2004)","plainCitation":"(Hobijn et al., 2004)","noteIndex":0},"citationItems":[{"id":1504,"uris":["http://zotero.org/users/16974576/items/LTPZNCJ9"],"itemData":{"id":1504,"type":"article-journal","abstract":"We propose automatic generalizations of the KPSS-test for the null hypothesis of stationarity of a univariate time series. We can use these tests for the null hypotheses of trend stationarity, level stationarity and zero mean stationarity. We introduce the asymptotic null distributions and we determine consistency against relevant nonstationary alternatives. We compare the properties of the tests with those of other proposed tests for stationarity. Monte Carlo simulations support the relevance of the tests when an autoregressive process with large positive autocorrelations is likely under the null hypothesis.","container-title":"Statistica Neerlandica","DOI":"10.1111/j.1467-9574.2004.00272.x","ISSN":"0039-0402","issue":"4","journalAbbreviation":"Statistica Neerlandica","page":"483-502","publisher":"John Wiley &amp; Sons, Ltd","title":"Generalizations of the KPSS-test for stationarity","volume":"58","author":[{"family":"Hobijn","given":"Bart"},{"family":"Franses","given":"Philip Hans"},{"family":"Ooms","given":"Marius"}],"issued":{"date-parts":[["2004",11,1]]}}}],"schema":"https://github.com/citation-style-language/schema/raw/master/csl-citation.json"} </w:instrText>
      </w:r>
      <w:r w:rsidR="00E95EA7">
        <w:rPr>
          <w:rFonts w:asciiTheme="majorBidi" w:hAnsiTheme="majorBidi" w:cstheme="majorBidi"/>
          <w:sz w:val="22"/>
          <w:szCs w:val="22"/>
        </w:rPr>
        <w:fldChar w:fldCharType="separate"/>
      </w:r>
      <w:r w:rsidR="00E95EA7" w:rsidRPr="00E95EA7">
        <w:rPr>
          <w:rFonts w:ascii="Times New Roman" w:hAnsi="Times New Roman" w:cs="Times New Roman"/>
          <w:sz w:val="22"/>
        </w:rPr>
        <w:t xml:space="preserve">Hobijn et al. </w:t>
      </w:r>
      <w:r w:rsidR="00E95EA7">
        <w:rPr>
          <w:rFonts w:ascii="Times New Roman" w:hAnsi="Times New Roman" w:cs="Times New Roman"/>
          <w:sz w:val="22"/>
        </w:rPr>
        <w:t>(</w:t>
      </w:r>
      <w:r w:rsidR="00E95EA7" w:rsidRPr="00E95EA7">
        <w:rPr>
          <w:rFonts w:ascii="Times New Roman" w:hAnsi="Times New Roman" w:cs="Times New Roman"/>
          <w:sz w:val="22"/>
        </w:rPr>
        <w:t>2004)</w:t>
      </w:r>
      <w:r w:rsidR="00E95EA7">
        <w:rPr>
          <w:rFonts w:asciiTheme="majorBidi" w:hAnsiTheme="majorBidi" w:cstheme="majorBidi"/>
          <w:sz w:val="22"/>
          <w:szCs w:val="22"/>
        </w:rPr>
        <w:fldChar w:fldCharType="end"/>
      </w:r>
      <w:r w:rsidR="00E95EA7">
        <w:rPr>
          <w:rFonts w:asciiTheme="majorBidi" w:hAnsiTheme="majorBidi" w:cstheme="majorBidi"/>
          <w:sz w:val="22"/>
          <w:szCs w:val="22"/>
        </w:rPr>
        <w:t>.</w:t>
      </w:r>
      <w:r w:rsidRPr="00B65F75">
        <w:rPr>
          <w:rFonts w:asciiTheme="majorBidi" w:hAnsiTheme="majorBidi" w:cstheme="majorBidi"/>
          <w:color w:val="EE0000"/>
          <w:sz w:val="22"/>
          <w:szCs w:val="22"/>
        </w:rPr>
        <w:t xml:space="preserve"> </w:t>
      </w:r>
      <w:r w:rsidRPr="009B4D65">
        <w:rPr>
          <w:rFonts w:asciiTheme="majorBidi" w:hAnsiTheme="majorBidi" w:cstheme="majorBidi"/>
          <w:sz w:val="22"/>
          <w:szCs w:val="22"/>
        </w:rPr>
        <w:t>ADF lag order was selected by AIC; KPSS bandwidth by Bartlett kernel with automatic selection. A series was classified as stationary only if ADF rejected the unit root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 &lt; 0.05) and KPSS did not reject stationarity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 &gt; 0.05).</w:t>
      </w:r>
    </w:p>
    <w:p w14:paraId="7A5F8E65" w14:textId="09C3337F" w:rsidR="0083730C" w:rsidRPr="009B4D65" w:rsidRDefault="0083730C"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The meteorological indices (SPI/SPEI, 1–12 months) were unambiguously stationary at both lakes. At Lake İznik, the SLLI exhibited a non-stationary pattern: ADF failed to reject the unit root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 = 0.061) and KPSS strongly rejected level stationarity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 &lt; 0.01), consistent with the near-random-walk behaviour of a closed-basin lake driven by accumulated climatic forcings. At Lake Uluabat, the SLLI was borderline stationary (ADF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 = 0.040; KPSS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 &gt; 0.071), with high-persistence dynamics attributable to a 10-lag ADF selection rather than genuine unit-root behaviour; no differencing was applied. SPI-24 and SPEI-24 were borderline at both lakes but satisfied the joint criterion.</w:t>
      </w:r>
    </w:p>
    <w:p w14:paraId="3EE6B78C" w14:textId="3DBEFD06" w:rsidR="0083730C" w:rsidRPr="009B4D65" w:rsidRDefault="002F41C5" w:rsidP="002F41C5">
      <w:pPr>
        <w:pStyle w:val="Caption"/>
        <w:rPr>
          <w:rFonts w:cstheme="majorBidi"/>
          <w:sz w:val="22"/>
          <w:szCs w:val="22"/>
        </w:rPr>
      </w:pPr>
      <w:r>
        <w:t xml:space="preserve">Table S </w:t>
      </w:r>
      <w:fldSimple w:instr=" SEQ Table_S \* ARABIC ">
        <w:r>
          <w:rPr>
            <w:noProof/>
          </w:rPr>
          <w:t>8</w:t>
        </w:r>
      </w:fldSimple>
      <w:r>
        <w:t>.</w:t>
      </w:r>
      <w:r w:rsidR="0083730C" w:rsidRPr="009B4D65">
        <w:rPr>
          <w:rFonts w:cstheme="majorBidi"/>
          <w:sz w:val="22"/>
          <w:szCs w:val="22"/>
        </w:rPr>
        <w:t xml:space="preserve"> Stationarity test results for all time series at Lakes İznik and Uluabat (January 1993–December 2024; n = 384). ADF lags selected by AIC; KPSS bandwidth by Bartlett kernel. Stationarity is supported when ADF p &lt; 0.05 and KPSS p &gt; 0.05. †Interpreted as stationary based on graphical inspection and ADF robustness checks.</w:t>
      </w:r>
    </w:p>
    <w:tbl>
      <w:tblPr>
        <w:tblStyle w:val="ElsevierFormate"/>
        <w:tblW w:w="9000" w:type="dxa"/>
        <w:tblLook w:val="0000" w:firstRow="0" w:lastRow="0" w:firstColumn="0" w:lastColumn="0" w:noHBand="0" w:noVBand="0"/>
      </w:tblPr>
      <w:tblGrid>
        <w:gridCol w:w="830"/>
        <w:gridCol w:w="1007"/>
        <w:gridCol w:w="890"/>
        <w:gridCol w:w="958"/>
        <w:gridCol w:w="830"/>
        <w:gridCol w:w="1231"/>
        <w:gridCol w:w="972"/>
        <w:gridCol w:w="972"/>
        <w:gridCol w:w="1310"/>
      </w:tblGrid>
      <w:tr w:rsidR="0083730C" w:rsidRPr="009B4D65" w14:paraId="76447404" w14:textId="77777777" w:rsidTr="0083730C">
        <w:tc>
          <w:tcPr>
            <w:tcW w:w="780" w:type="dxa"/>
            <w:tcBorders>
              <w:top w:val="single" w:sz="4" w:space="0" w:color="auto"/>
              <w:bottom w:val="single" w:sz="4" w:space="0" w:color="auto"/>
            </w:tcBorders>
          </w:tcPr>
          <w:p w14:paraId="341C3D44"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Series</w:t>
            </w:r>
          </w:p>
        </w:tc>
        <w:tc>
          <w:tcPr>
            <w:tcW w:w="900" w:type="dxa"/>
            <w:tcBorders>
              <w:top w:val="single" w:sz="4" w:space="0" w:color="auto"/>
              <w:bottom w:val="single" w:sz="4" w:space="0" w:color="auto"/>
            </w:tcBorders>
          </w:tcPr>
          <w:p w14:paraId="3A673784"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İznik ADF stat.</w:t>
            </w:r>
          </w:p>
        </w:tc>
        <w:tc>
          <w:tcPr>
            <w:tcW w:w="780" w:type="dxa"/>
            <w:tcBorders>
              <w:top w:val="single" w:sz="4" w:space="0" w:color="auto"/>
              <w:bottom w:val="single" w:sz="4" w:space="0" w:color="auto"/>
            </w:tcBorders>
          </w:tcPr>
          <w:p w14:paraId="24C98651"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İznik ADF p</w:t>
            </w:r>
          </w:p>
        </w:tc>
        <w:tc>
          <w:tcPr>
            <w:tcW w:w="900" w:type="dxa"/>
            <w:tcBorders>
              <w:top w:val="single" w:sz="4" w:space="0" w:color="auto"/>
              <w:bottom w:val="single" w:sz="4" w:space="0" w:color="auto"/>
            </w:tcBorders>
          </w:tcPr>
          <w:p w14:paraId="62329037"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İznik KPSS stat.</w:t>
            </w:r>
          </w:p>
        </w:tc>
        <w:tc>
          <w:tcPr>
            <w:tcW w:w="780" w:type="dxa"/>
            <w:tcBorders>
              <w:top w:val="single" w:sz="4" w:space="0" w:color="auto"/>
              <w:bottom w:val="single" w:sz="4" w:space="0" w:color="auto"/>
            </w:tcBorders>
          </w:tcPr>
          <w:p w14:paraId="48D37010"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İznik KPSS p</w:t>
            </w:r>
          </w:p>
        </w:tc>
        <w:tc>
          <w:tcPr>
            <w:tcW w:w="820" w:type="dxa"/>
            <w:tcBorders>
              <w:top w:val="single" w:sz="4" w:space="0" w:color="auto"/>
              <w:bottom w:val="single" w:sz="4" w:space="0" w:color="auto"/>
            </w:tcBorders>
          </w:tcPr>
          <w:p w14:paraId="727EE6BB"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İznik Result</w:t>
            </w:r>
          </w:p>
        </w:tc>
        <w:tc>
          <w:tcPr>
            <w:tcW w:w="820" w:type="dxa"/>
            <w:tcBorders>
              <w:top w:val="single" w:sz="4" w:space="0" w:color="auto"/>
              <w:bottom w:val="single" w:sz="4" w:space="0" w:color="auto"/>
            </w:tcBorders>
          </w:tcPr>
          <w:p w14:paraId="09669ABC"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Uluabat ADF p</w:t>
            </w:r>
          </w:p>
        </w:tc>
        <w:tc>
          <w:tcPr>
            <w:tcW w:w="820" w:type="dxa"/>
            <w:tcBorders>
              <w:top w:val="single" w:sz="4" w:space="0" w:color="auto"/>
              <w:bottom w:val="single" w:sz="4" w:space="0" w:color="auto"/>
            </w:tcBorders>
          </w:tcPr>
          <w:p w14:paraId="404AC915"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Uluabat KPSS p</w:t>
            </w:r>
          </w:p>
        </w:tc>
        <w:tc>
          <w:tcPr>
            <w:tcW w:w="800" w:type="dxa"/>
            <w:tcBorders>
              <w:top w:val="single" w:sz="4" w:space="0" w:color="auto"/>
              <w:bottom w:val="single" w:sz="4" w:space="0" w:color="auto"/>
            </w:tcBorders>
          </w:tcPr>
          <w:p w14:paraId="1010F99B"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Uluabat Result</w:t>
            </w:r>
          </w:p>
        </w:tc>
      </w:tr>
      <w:tr w:rsidR="0083730C" w:rsidRPr="009B4D65" w14:paraId="56EE91B0" w14:textId="77777777" w:rsidTr="0083730C">
        <w:tc>
          <w:tcPr>
            <w:tcW w:w="780" w:type="dxa"/>
            <w:tcBorders>
              <w:top w:val="single" w:sz="4" w:space="0" w:color="auto"/>
            </w:tcBorders>
          </w:tcPr>
          <w:p w14:paraId="3B23ACF2"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SLLI</w:t>
            </w:r>
          </w:p>
        </w:tc>
        <w:tc>
          <w:tcPr>
            <w:tcW w:w="900" w:type="dxa"/>
            <w:tcBorders>
              <w:top w:val="single" w:sz="4" w:space="0" w:color="auto"/>
            </w:tcBorders>
          </w:tcPr>
          <w:p w14:paraId="62AEA48A"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−2.785</w:t>
            </w:r>
          </w:p>
        </w:tc>
        <w:tc>
          <w:tcPr>
            <w:tcW w:w="780" w:type="dxa"/>
            <w:tcBorders>
              <w:top w:val="single" w:sz="4" w:space="0" w:color="auto"/>
            </w:tcBorders>
          </w:tcPr>
          <w:p w14:paraId="60EB4029"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0.061</w:t>
            </w:r>
          </w:p>
        </w:tc>
        <w:tc>
          <w:tcPr>
            <w:tcW w:w="900" w:type="dxa"/>
            <w:tcBorders>
              <w:top w:val="single" w:sz="4" w:space="0" w:color="auto"/>
            </w:tcBorders>
          </w:tcPr>
          <w:p w14:paraId="3C0952AA"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1.879</w:t>
            </w:r>
          </w:p>
        </w:tc>
        <w:tc>
          <w:tcPr>
            <w:tcW w:w="780" w:type="dxa"/>
            <w:tcBorders>
              <w:top w:val="single" w:sz="4" w:space="0" w:color="auto"/>
            </w:tcBorders>
          </w:tcPr>
          <w:p w14:paraId="4CB52191"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&lt;0.01</w:t>
            </w:r>
          </w:p>
        </w:tc>
        <w:tc>
          <w:tcPr>
            <w:tcW w:w="820" w:type="dxa"/>
            <w:tcBorders>
              <w:top w:val="single" w:sz="4" w:space="0" w:color="auto"/>
            </w:tcBorders>
          </w:tcPr>
          <w:p w14:paraId="5BD5A166"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Non-stationary</w:t>
            </w:r>
          </w:p>
        </w:tc>
        <w:tc>
          <w:tcPr>
            <w:tcW w:w="820" w:type="dxa"/>
            <w:tcBorders>
              <w:top w:val="single" w:sz="4" w:space="0" w:color="auto"/>
            </w:tcBorders>
          </w:tcPr>
          <w:p w14:paraId="2D9DAB36"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0.040</w:t>
            </w:r>
          </w:p>
        </w:tc>
        <w:tc>
          <w:tcPr>
            <w:tcW w:w="820" w:type="dxa"/>
            <w:tcBorders>
              <w:top w:val="single" w:sz="4" w:space="0" w:color="auto"/>
            </w:tcBorders>
          </w:tcPr>
          <w:p w14:paraId="14BDF257"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&gt;0.071</w:t>
            </w:r>
          </w:p>
        </w:tc>
        <w:tc>
          <w:tcPr>
            <w:tcW w:w="800" w:type="dxa"/>
            <w:tcBorders>
              <w:top w:val="single" w:sz="4" w:space="0" w:color="auto"/>
            </w:tcBorders>
          </w:tcPr>
          <w:p w14:paraId="56069E2A"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r>
      <w:tr w:rsidR="0083730C" w:rsidRPr="009B4D65" w14:paraId="62048B80" w14:textId="77777777" w:rsidTr="0083730C">
        <w:tc>
          <w:tcPr>
            <w:tcW w:w="780" w:type="dxa"/>
          </w:tcPr>
          <w:p w14:paraId="19580460"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SPI-1</w:t>
            </w:r>
          </w:p>
        </w:tc>
        <w:tc>
          <w:tcPr>
            <w:tcW w:w="900" w:type="dxa"/>
          </w:tcPr>
          <w:p w14:paraId="60AC9EE1"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−19.634</w:t>
            </w:r>
          </w:p>
        </w:tc>
        <w:tc>
          <w:tcPr>
            <w:tcW w:w="780" w:type="dxa"/>
          </w:tcPr>
          <w:p w14:paraId="59580CEE"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&lt;0.001</w:t>
            </w:r>
          </w:p>
        </w:tc>
        <w:tc>
          <w:tcPr>
            <w:tcW w:w="900" w:type="dxa"/>
          </w:tcPr>
          <w:p w14:paraId="21F4F595"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0.270</w:t>
            </w:r>
          </w:p>
        </w:tc>
        <w:tc>
          <w:tcPr>
            <w:tcW w:w="780" w:type="dxa"/>
          </w:tcPr>
          <w:p w14:paraId="4D7E16EA"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20" w:type="dxa"/>
          </w:tcPr>
          <w:p w14:paraId="7941FB47"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c>
          <w:tcPr>
            <w:tcW w:w="820" w:type="dxa"/>
          </w:tcPr>
          <w:p w14:paraId="7351BEB0"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&lt;0.001</w:t>
            </w:r>
          </w:p>
        </w:tc>
        <w:tc>
          <w:tcPr>
            <w:tcW w:w="820" w:type="dxa"/>
          </w:tcPr>
          <w:p w14:paraId="220D555C"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00" w:type="dxa"/>
          </w:tcPr>
          <w:p w14:paraId="749061CA"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r>
      <w:tr w:rsidR="0083730C" w:rsidRPr="009B4D65" w14:paraId="22B59531" w14:textId="77777777" w:rsidTr="0083730C">
        <w:tc>
          <w:tcPr>
            <w:tcW w:w="780" w:type="dxa"/>
          </w:tcPr>
          <w:p w14:paraId="636896EC"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SPEI-1</w:t>
            </w:r>
          </w:p>
        </w:tc>
        <w:tc>
          <w:tcPr>
            <w:tcW w:w="900" w:type="dxa"/>
          </w:tcPr>
          <w:p w14:paraId="3E72CB61"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−19.449</w:t>
            </w:r>
          </w:p>
        </w:tc>
        <w:tc>
          <w:tcPr>
            <w:tcW w:w="780" w:type="dxa"/>
          </w:tcPr>
          <w:p w14:paraId="54F11470"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&lt;0.001</w:t>
            </w:r>
          </w:p>
        </w:tc>
        <w:tc>
          <w:tcPr>
            <w:tcW w:w="900" w:type="dxa"/>
          </w:tcPr>
          <w:p w14:paraId="3FAA027A"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0.091</w:t>
            </w:r>
          </w:p>
        </w:tc>
        <w:tc>
          <w:tcPr>
            <w:tcW w:w="780" w:type="dxa"/>
          </w:tcPr>
          <w:p w14:paraId="782DCA79"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20" w:type="dxa"/>
          </w:tcPr>
          <w:p w14:paraId="0FBD8117"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c>
          <w:tcPr>
            <w:tcW w:w="820" w:type="dxa"/>
          </w:tcPr>
          <w:p w14:paraId="740E1004"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&lt;0.001</w:t>
            </w:r>
          </w:p>
        </w:tc>
        <w:tc>
          <w:tcPr>
            <w:tcW w:w="820" w:type="dxa"/>
          </w:tcPr>
          <w:p w14:paraId="5A89604A"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00" w:type="dxa"/>
          </w:tcPr>
          <w:p w14:paraId="633FD404"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r>
      <w:tr w:rsidR="0083730C" w:rsidRPr="009B4D65" w14:paraId="63DD230C" w14:textId="77777777" w:rsidTr="0083730C">
        <w:tc>
          <w:tcPr>
            <w:tcW w:w="780" w:type="dxa"/>
          </w:tcPr>
          <w:p w14:paraId="2B293652"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SPI-3</w:t>
            </w:r>
          </w:p>
        </w:tc>
        <w:tc>
          <w:tcPr>
            <w:tcW w:w="900" w:type="dxa"/>
          </w:tcPr>
          <w:p w14:paraId="6715A022"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−6.022</w:t>
            </w:r>
          </w:p>
        </w:tc>
        <w:tc>
          <w:tcPr>
            <w:tcW w:w="780" w:type="dxa"/>
          </w:tcPr>
          <w:p w14:paraId="43AD28F8"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&lt;0.001</w:t>
            </w:r>
          </w:p>
        </w:tc>
        <w:tc>
          <w:tcPr>
            <w:tcW w:w="900" w:type="dxa"/>
          </w:tcPr>
          <w:p w14:paraId="65098C28"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0.201</w:t>
            </w:r>
          </w:p>
        </w:tc>
        <w:tc>
          <w:tcPr>
            <w:tcW w:w="780" w:type="dxa"/>
          </w:tcPr>
          <w:p w14:paraId="3A52C11C"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20" w:type="dxa"/>
          </w:tcPr>
          <w:p w14:paraId="13C71C34"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c>
          <w:tcPr>
            <w:tcW w:w="820" w:type="dxa"/>
          </w:tcPr>
          <w:p w14:paraId="58919FE0"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&lt;0.001</w:t>
            </w:r>
          </w:p>
        </w:tc>
        <w:tc>
          <w:tcPr>
            <w:tcW w:w="820" w:type="dxa"/>
          </w:tcPr>
          <w:p w14:paraId="65AF3BED"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00" w:type="dxa"/>
          </w:tcPr>
          <w:p w14:paraId="0E9ACDFD"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r>
      <w:tr w:rsidR="0083730C" w:rsidRPr="009B4D65" w14:paraId="1F3F347B" w14:textId="77777777" w:rsidTr="0083730C">
        <w:tc>
          <w:tcPr>
            <w:tcW w:w="780" w:type="dxa"/>
          </w:tcPr>
          <w:p w14:paraId="35966FC8"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SPEI-3</w:t>
            </w:r>
          </w:p>
        </w:tc>
        <w:tc>
          <w:tcPr>
            <w:tcW w:w="900" w:type="dxa"/>
          </w:tcPr>
          <w:p w14:paraId="674B1F20"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−5.752</w:t>
            </w:r>
          </w:p>
        </w:tc>
        <w:tc>
          <w:tcPr>
            <w:tcW w:w="780" w:type="dxa"/>
          </w:tcPr>
          <w:p w14:paraId="47F5F5CD"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&lt;0.001</w:t>
            </w:r>
          </w:p>
        </w:tc>
        <w:tc>
          <w:tcPr>
            <w:tcW w:w="900" w:type="dxa"/>
          </w:tcPr>
          <w:p w14:paraId="41E397E2"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0.080</w:t>
            </w:r>
          </w:p>
        </w:tc>
        <w:tc>
          <w:tcPr>
            <w:tcW w:w="780" w:type="dxa"/>
          </w:tcPr>
          <w:p w14:paraId="53468DD8"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20" w:type="dxa"/>
          </w:tcPr>
          <w:p w14:paraId="54BC8204"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c>
          <w:tcPr>
            <w:tcW w:w="820" w:type="dxa"/>
          </w:tcPr>
          <w:p w14:paraId="5ED4B888"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&lt;0.001</w:t>
            </w:r>
          </w:p>
        </w:tc>
        <w:tc>
          <w:tcPr>
            <w:tcW w:w="820" w:type="dxa"/>
          </w:tcPr>
          <w:p w14:paraId="21B81485"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00" w:type="dxa"/>
          </w:tcPr>
          <w:p w14:paraId="2DF8075D"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r>
      <w:tr w:rsidR="0083730C" w:rsidRPr="009B4D65" w14:paraId="38E4B8E7" w14:textId="77777777" w:rsidTr="0083730C">
        <w:tc>
          <w:tcPr>
            <w:tcW w:w="780" w:type="dxa"/>
          </w:tcPr>
          <w:p w14:paraId="56CD2747"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SPI-6</w:t>
            </w:r>
          </w:p>
        </w:tc>
        <w:tc>
          <w:tcPr>
            <w:tcW w:w="900" w:type="dxa"/>
          </w:tcPr>
          <w:p w14:paraId="1768AB68"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−5.004</w:t>
            </w:r>
          </w:p>
        </w:tc>
        <w:tc>
          <w:tcPr>
            <w:tcW w:w="780" w:type="dxa"/>
          </w:tcPr>
          <w:p w14:paraId="25847BBE"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&lt;0.001</w:t>
            </w:r>
          </w:p>
        </w:tc>
        <w:tc>
          <w:tcPr>
            <w:tcW w:w="900" w:type="dxa"/>
          </w:tcPr>
          <w:p w14:paraId="668BDC06"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0.165</w:t>
            </w:r>
          </w:p>
        </w:tc>
        <w:tc>
          <w:tcPr>
            <w:tcW w:w="780" w:type="dxa"/>
          </w:tcPr>
          <w:p w14:paraId="1E84AE45"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20" w:type="dxa"/>
          </w:tcPr>
          <w:p w14:paraId="631E499B"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c>
          <w:tcPr>
            <w:tcW w:w="820" w:type="dxa"/>
          </w:tcPr>
          <w:p w14:paraId="1BFAB686"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&lt;0.001</w:t>
            </w:r>
          </w:p>
        </w:tc>
        <w:tc>
          <w:tcPr>
            <w:tcW w:w="820" w:type="dxa"/>
          </w:tcPr>
          <w:p w14:paraId="7C38E5C7"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00" w:type="dxa"/>
          </w:tcPr>
          <w:p w14:paraId="2DD3FEDA"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r>
      <w:tr w:rsidR="0083730C" w:rsidRPr="009B4D65" w14:paraId="298ECCD3" w14:textId="77777777" w:rsidTr="0083730C">
        <w:tc>
          <w:tcPr>
            <w:tcW w:w="780" w:type="dxa"/>
          </w:tcPr>
          <w:p w14:paraId="3996493D"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SPEI-6</w:t>
            </w:r>
          </w:p>
        </w:tc>
        <w:tc>
          <w:tcPr>
            <w:tcW w:w="900" w:type="dxa"/>
          </w:tcPr>
          <w:p w14:paraId="55848266"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−4.922</w:t>
            </w:r>
          </w:p>
        </w:tc>
        <w:tc>
          <w:tcPr>
            <w:tcW w:w="780" w:type="dxa"/>
          </w:tcPr>
          <w:p w14:paraId="578B69B5"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&lt;0.001</w:t>
            </w:r>
          </w:p>
        </w:tc>
        <w:tc>
          <w:tcPr>
            <w:tcW w:w="900" w:type="dxa"/>
          </w:tcPr>
          <w:p w14:paraId="1A6318C0"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0.066</w:t>
            </w:r>
          </w:p>
        </w:tc>
        <w:tc>
          <w:tcPr>
            <w:tcW w:w="780" w:type="dxa"/>
          </w:tcPr>
          <w:p w14:paraId="66B948FA"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20" w:type="dxa"/>
          </w:tcPr>
          <w:p w14:paraId="6D3186BE"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c>
          <w:tcPr>
            <w:tcW w:w="820" w:type="dxa"/>
          </w:tcPr>
          <w:p w14:paraId="200B24C1"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&lt;0.001</w:t>
            </w:r>
          </w:p>
        </w:tc>
        <w:tc>
          <w:tcPr>
            <w:tcW w:w="820" w:type="dxa"/>
          </w:tcPr>
          <w:p w14:paraId="668DD228"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00" w:type="dxa"/>
          </w:tcPr>
          <w:p w14:paraId="69C444C3"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r>
      <w:tr w:rsidR="0083730C" w:rsidRPr="009B4D65" w14:paraId="568C74B5" w14:textId="77777777" w:rsidTr="0083730C">
        <w:tc>
          <w:tcPr>
            <w:tcW w:w="780" w:type="dxa"/>
          </w:tcPr>
          <w:p w14:paraId="66548847"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SPI-12</w:t>
            </w:r>
          </w:p>
        </w:tc>
        <w:tc>
          <w:tcPr>
            <w:tcW w:w="900" w:type="dxa"/>
          </w:tcPr>
          <w:p w14:paraId="53FCEC86"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−4.257</w:t>
            </w:r>
          </w:p>
        </w:tc>
        <w:tc>
          <w:tcPr>
            <w:tcW w:w="780" w:type="dxa"/>
          </w:tcPr>
          <w:p w14:paraId="290ABDA1"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&lt;0.001</w:t>
            </w:r>
          </w:p>
        </w:tc>
        <w:tc>
          <w:tcPr>
            <w:tcW w:w="900" w:type="dxa"/>
          </w:tcPr>
          <w:p w14:paraId="1C198103"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0.210</w:t>
            </w:r>
          </w:p>
        </w:tc>
        <w:tc>
          <w:tcPr>
            <w:tcW w:w="780" w:type="dxa"/>
          </w:tcPr>
          <w:p w14:paraId="19771A6C"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20" w:type="dxa"/>
          </w:tcPr>
          <w:p w14:paraId="093D5BE8"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c>
          <w:tcPr>
            <w:tcW w:w="820" w:type="dxa"/>
          </w:tcPr>
          <w:p w14:paraId="11FB8F60"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0.001</w:t>
            </w:r>
          </w:p>
        </w:tc>
        <w:tc>
          <w:tcPr>
            <w:tcW w:w="820" w:type="dxa"/>
          </w:tcPr>
          <w:p w14:paraId="7AB82346"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00" w:type="dxa"/>
          </w:tcPr>
          <w:p w14:paraId="052E26A0"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r>
      <w:tr w:rsidR="0083730C" w:rsidRPr="009B4D65" w14:paraId="18912E70" w14:textId="77777777" w:rsidTr="0083730C">
        <w:tc>
          <w:tcPr>
            <w:tcW w:w="780" w:type="dxa"/>
          </w:tcPr>
          <w:p w14:paraId="65662083"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SPEI-12</w:t>
            </w:r>
          </w:p>
        </w:tc>
        <w:tc>
          <w:tcPr>
            <w:tcW w:w="900" w:type="dxa"/>
          </w:tcPr>
          <w:p w14:paraId="19FA3CD9"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−3.835</w:t>
            </w:r>
          </w:p>
        </w:tc>
        <w:tc>
          <w:tcPr>
            <w:tcW w:w="780" w:type="dxa"/>
          </w:tcPr>
          <w:p w14:paraId="2FFD22F4"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0.003</w:t>
            </w:r>
          </w:p>
        </w:tc>
        <w:tc>
          <w:tcPr>
            <w:tcW w:w="900" w:type="dxa"/>
          </w:tcPr>
          <w:p w14:paraId="1D32C77B"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0.061</w:t>
            </w:r>
          </w:p>
        </w:tc>
        <w:tc>
          <w:tcPr>
            <w:tcW w:w="780" w:type="dxa"/>
          </w:tcPr>
          <w:p w14:paraId="401B6F2F"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20" w:type="dxa"/>
          </w:tcPr>
          <w:p w14:paraId="77852C12"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c>
          <w:tcPr>
            <w:tcW w:w="820" w:type="dxa"/>
          </w:tcPr>
          <w:p w14:paraId="4AF8B21D"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0.008</w:t>
            </w:r>
          </w:p>
        </w:tc>
        <w:tc>
          <w:tcPr>
            <w:tcW w:w="820" w:type="dxa"/>
          </w:tcPr>
          <w:p w14:paraId="41D5DAE0"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00" w:type="dxa"/>
          </w:tcPr>
          <w:p w14:paraId="443AA322"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r>
      <w:tr w:rsidR="0083730C" w:rsidRPr="009B4D65" w14:paraId="71B55990" w14:textId="77777777" w:rsidTr="0083730C">
        <w:tc>
          <w:tcPr>
            <w:tcW w:w="780" w:type="dxa"/>
          </w:tcPr>
          <w:p w14:paraId="14AF456C"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SPI-24</w:t>
            </w:r>
          </w:p>
        </w:tc>
        <w:tc>
          <w:tcPr>
            <w:tcW w:w="900" w:type="dxa"/>
          </w:tcPr>
          <w:p w14:paraId="230705B2"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−2.811</w:t>
            </w:r>
          </w:p>
        </w:tc>
        <w:tc>
          <w:tcPr>
            <w:tcW w:w="780" w:type="dxa"/>
          </w:tcPr>
          <w:p w14:paraId="5F723FC0"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0.057</w:t>
            </w:r>
          </w:p>
        </w:tc>
        <w:tc>
          <w:tcPr>
            <w:tcW w:w="900" w:type="dxa"/>
          </w:tcPr>
          <w:p w14:paraId="3D048A88"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0.342</w:t>
            </w:r>
          </w:p>
        </w:tc>
        <w:tc>
          <w:tcPr>
            <w:tcW w:w="780" w:type="dxa"/>
          </w:tcPr>
          <w:p w14:paraId="72435ED1"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20" w:type="dxa"/>
          </w:tcPr>
          <w:p w14:paraId="1D9968D8"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Borderline</w:t>
            </w:r>
          </w:p>
        </w:tc>
        <w:tc>
          <w:tcPr>
            <w:tcW w:w="820" w:type="dxa"/>
          </w:tcPr>
          <w:p w14:paraId="2157F61F"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0.028</w:t>
            </w:r>
          </w:p>
        </w:tc>
        <w:tc>
          <w:tcPr>
            <w:tcW w:w="820" w:type="dxa"/>
          </w:tcPr>
          <w:p w14:paraId="4689B9F6"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00" w:type="dxa"/>
          </w:tcPr>
          <w:p w14:paraId="2CAFDCC6"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r>
      <w:tr w:rsidR="0083730C" w:rsidRPr="009B4D65" w14:paraId="3D988C74" w14:textId="77777777" w:rsidTr="0083730C">
        <w:tc>
          <w:tcPr>
            <w:tcW w:w="780" w:type="dxa"/>
          </w:tcPr>
          <w:p w14:paraId="5539EE02"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SPEI-24</w:t>
            </w:r>
          </w:p>
        </w:tc>
        <w:tc>
          <w:tcPr>
            <w:tcW w:w="900" w:type="dxa"/>
          </w:tcPr>
          <w:p w14:paraId="2A6CB6F1"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−2.852</w:t>
            </w:r>
          </w:p>
        </w:tc>
        <w:tc>
          <w:tcPr>
            <w:tcW w:w="780" w:type="dxa"/>
          </w:tcPr>
          <w:p w14:paraId="27B30AD4"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0.051</w:t>
            </w:r>
          </w:p>
        </w:tc>
        <w:tc>
          <w:tcPr>
            <w:tcW w:w="900" w:type="dxa"/>
          </w:tcPr>
          <w:p w14:paraId="1AB3213D"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0.082</w:t>
            </w:r>
          </w:p>
        </w:tc>
        <w:tc>
          <w:tcPr>
            <w:tcW w:w="780" w:type="dxa"/>
          </w:tcPr>
          <w:p w14:paraId="650ED9CE"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20" w:type="dxa"/>
          </w:tcPr>
          <w:p w14:paraId="05C699F8"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Borderline</w:t>
            </w:r>
          </w:p>
        </w:tc>
        <w:tc>
          <w:tcPr>
            <w:tcW w:w="820" w:type="dxa"/>
          </w:tcPr>
          <w:p w14:paraId="2F0D6250"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0.039</w:t>
            </w:r>
          </w:p>
        </w:tc>
        <w:tc>
          <w:tcPr>
            <w:tcW w:w="820" w:type="dxa"/>
          </w:tcPr>
          <w:p w14:paraId="2F8158C7"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&gt;0.10</w:t>
            </w:r>
          </w:p>
        </w:tc>
        <w:tc>
          <w:tcPr>
            <w:tcW w:w="800" w:type="dxa"/>
          </w:tcPr>
          <w:p w14:paraId="1037893C" w14:textId="77777777" w:rsidR="0083730C" w:rsidRPr="009B4D65" w:rsidRDefault="0083730C" w:rsidP="009B4D65">
            <w:pPr>
              <w:spacing w:line="276" w:lineRule="auto"/>
              <w:rPr>
                <w:rFonts w:asciiTheme="majorBidi" w:hAnsiTheme="majorBidi" w:cstheme="majorBidi"/>
                <w:szCs w:val="22"/>
              </w:rPr>
            </w:pPr>
            <w:r w:rsidRPr="009B4D65">
              <w:rPr>
                <w:rFonts w:asciiTheme="majorBidi" w:hAnsiTheme="majorBidi" w:cstheme="majorBidi"/>
                <w:szCs w:val="22"/>
              </w:rPr>
              <w:t>Stationary†</w:t>
            </w:r>
          </w:p>
        </w:tc>
      </w:tr>
    </w:tbl>
    <w:p w14:paraId="5F7F8778" w14:textId="04B8A25B" w:rsidR="0083730C" w:rsidRPr="00AA6EA3" w:rsidRDefault="0083730C" w:rsidP="00B65F75">
      <w:pPr>
        <w:spacing w:line="276" w:lineRule="auto"/>
        <w:rPr>
          <w:rFonts w:asciiTheme="majorBidi" w:hAnsiTheme="majorBidi" w:cstheme="majorBidi"/>
          <w:sz w:val="20"/>
          <w:szCs w:val="20"/>
        </w:rPr>
      </w:pPr>
      <w:r w:rsidRPr="00AA6EA3">
        <w:rPr>
          <w:rFonts w:asciiTheme="majorBidi" w:hAnsiTheme="majorBidi" w:cstheme="majorBidi"/>
          <w:i/>
          <w:iCs/>
          <w:sz w:val="20"/>
          <w:szCs w:val="20"/>
        </w:rPr>
        <w:t xml:space="preserve">Notes: İznik ADF statistics and p-values from </w:t>
      </w:r>
      <w:r w:rsidR="00B65F75" w:rsidRPr="00AA6EA3">
        <w:rPr>
          <w:rFonts w:asciiTheme="majorBidi" w:hAnsiTheme="majorBidi" w:cstheme="majorBidi"/>
          <w:i/>
          <w:iCs/>
          <w:sz w:val="20"/>
          <w:szCs w:val="20"/>
        </w:rPr>
        <w:fldChar w:fldCharType="begin"/>
      </w:r>
      <w:r w:rsidR="00DD15CD" w:rsidRPr="00AA6EA3">
        <w:rPr>
          <w:rFonts w:asciiTheme="majorBidi" w:hAnsiTheme="majorBidi" w:cstheme="majorBidi"/>
          <w:i/>
          <w:iCs/>
          <w:sz w:val="20"/>
          <w:szCs w:val="20"/>
        </w:rPr>
        <w:instrText xml:space="preserve"> ADDIN ZOTERO_ITEM CSL_CITATION {"citationID":"cpBQYsL8","properties":{"unsorted":false,"formattedCitation":"(Dickey and Fuller, 1979)","plainCitation":"(Dickey and Fuller, 1979)","dontUpdate":true,"noteIndex":0},"citationItems":[{"id":1503,"uris":["http://zotero.org/users/16974576/items/GUQMHT7I"],"itemData":{"id":1503,"type":"article-journal","abstract":"[Let n observations Y&lt;sub&gt;1&lt;/sub&gt;, Y&lt;sub&gt;2&lt;/sub&gt;, ..., Y&lt;sub&gt;n&lt;/sub&gt; be generated by the model Y&lt;sub&gt;t&lt;/sub&gt; = ρ Y&lt;sub&gt;t - 1&lt;/sub&gt; + e&lt;sub&gt;t&lt;/sub&gt;, where Y&lt;sub&gt;0&lt;/sub&gt; is a fixed constant and {e&lt;sub&gt;t&lt;/sub&gt;}&lt;sub&gt;t = 1&lt;/sub&gt;&lt;sup&gt;n&lt;/sup&gt; is a sequence of independent normal random variables with mean 0 and variance σ&lt;sup&gt;2&lt;/sup&gt;. Properties of the regression estimator of ρ are obtained under the assumption that ρ = ± 1. Representations for the limit distributions of the estimator of ρ and of the regression t test are derived. The estimator of ρ and the regression t test furnish methods of testing the hypothesis that ρ = 1.]","archive":"JSTOR","container-title":"Journal of the American Statistical Association","DOI":"10.2307/2286348","ISSN":"01621459, 1537274X","issue":"366","page":"427-431","publisher":"[American Statistical Association, Taylor &amp; Francis, Ltd.]","title":"Distribution of the Estimators for Autoregressive Time Series With a Unit Root","volume":"74","author":[{"family":"Dickey","given":"David A."},{"family":"Fuller","given":"Wayne A."}],"issued":{"date-parts":[["1979"]]}}}],"schema":"https://github.com/citation-style-language/schema/raw/master/csl-citation.json"} </w:instrText>
      </w:r>
      <w:r w:rsidR="00B65F75" w:rsidRPr="00AA6EA3">
        <w:rPr>
          <w:rFonts w:asciiTheme="majorBidi" w:hAnsiTheme="majorBidi" w:cstheme="majorBidi"/>
          <w:i/>
          <w:iCs/>
          <w:sz w:val="20"/>
          <w:szCs w:val="20"/>
        </w:rPr>
        <w:fldChar w:fldCharType="separate"/>
      </w:r>
      <w:r w:rsidR="00B65F75" w:rsidRPr="00AA6EA3">
        <w:rPr>
          <w:rFonts w:ascii="Times New Roman" w:hAnsi="Times New Roman" w:cs="Times New Roman"/>
          <w:i/>
          <w:iCs/>
          <w:sz w:val="20"/>
          <w:szCs w:val="22"/>
        </w:rPr>
        <w:t>Dickey and Fuller (1979)</w:t>
      </w:r>
      <w:r w:rsidR="00B65F75" w:rsidRPr="00AA6EA3">
        <w:rPr>
          <w:rFonts w:asciiTheme="majorBidi" w:hAnsiTheme="majorBidi" w:cstheme="majorBidi"/>
          <w:i/>
          <w:iCs/>
          <w:sz w:val="20"/>
          <w:szCs w:val="20"/>
        </w:rPr>
        <w:fldChar w:fldCharType="end"/>
      </w:r>
      <w:r w:rsidR="00B65F75" w:rsidRPr="00AA6EA3">
        <w:rPr>
          <w:rFonts w:asciiTheme="majorBidi" w:hAnsiTheme="majorBidi" w:cstheme="majorBidi"/>
          <w:i/>
          <w:iCs/>
          <w:sz w:val="20"/>
          <w:szCs w:val="20"/>
        </w:rPr>
        <w:t xml:space="preserve"> </w:t>
      </w:r>
      <w:r w:rsidRPr="00AA6EA3">
        <w:rPr>
          <w:rFonts w:asciiTheme="majorBidi" w:hAnsiTheme="majorBidi" w:cstheme="majorBidi"/>
          <w:i/>
          <w:iCs/>
          <w:sz w:val="20"/>
          <w:szCs w:val="20"/>
        </w:rPr>
        <w:t xml:space="preserve">Dickey and Fuller (1979) critical values </w:t>
      </w:r>
      <w:r w:rsidR="00B65F75" w:rsidRPr="00AA6EA3">
        <w:rPr>
          <w:rFonts w:asciiTheme="majorBidi" w:hAnsiTheme="majorBidi" w:cstheme="majorBidi"/>
          <w:i/>
          <w:iCs/>
          <w:sz w:val="20"/>
          <w:szCs w:val="20"/>
        </w:rPr>
        <w:fldChar w:fldCharType="begin"/>
      </w:r>
      <w:r w:rsidR="00B65F75" w:rsidRPr="00AA6EA3">
        <w:rPr>
          <w:rFonts w:asciiTheme="majorBidi" w:hAnsiTheme="majorBidi" w:cstheme="majorBidi"/>
          <w:i/>
          <w:iCs/>
          <w:sz w:val="20"/>
          <w:szCs w:val="20"/>
        </w:rPr>
        <w:instrText xml:space="preserve"> ADDIN ZOTERO_ITEM CSL_CITATION {"citationID":"aVT6XzNq","properties":{"unsorted":false,"formattedCitation":"(MacKinnon, 1994)","plainCitation":"(MacKinnon, 1994)","noteIndex":0},"citationItems":[{"id":1501,"uris":["http://zotero.org/users/16974576/items/AQK8AWAC"],"itemData":{"id":1501,"type":"article-journal","container-title":"Journal of Business &amp; Economic Statistics","DOI":"10.1080/07350015.1994.10510005","ISSN":"0735-0015","issue":"2","journalAbbreviation":"Journal of Business &amp; Economic Statistics","page":"167-176","publisher":"Taylor &amp; Francis","title":"Approximate Asymptotic Distribution Functions for Unit-Root and Cointegration Tests","volume":"12","author":[{"family":"MacKinnon","given":"James G."}],"issued":{"date-parts":[["1994",4,1]]}}}],"schema":"https://github.com/citation-style-language/schema/raw/master/csl-citation.json"} </w:instrText>
      </w:r>
      <w:r w:rsidR="00B65F75" w:rsidRPr="00AA6EA3">
        <w:rPr>
          <w:rFonts w:asciiTheme="majorBidi" w:hAnsiTheme="majorBidi" w:cstheme="majorBidi"/>
          <w:i/>
          <w:iCs/>
          <w:sz w:val="20"/>
          <w:szCs w:val="20"/>
        </w:rPr>
        <w:fldChar w:fldCharType="separate"/>
      </w:r>
      <w:r w:rsidR="00B65F75" w:rsidRPr="00AA6EA3">
        <w:rPr>
          <w:rFonts w:ascii="Times New Roman" w:hAnsi="Times New Roman" w:cs="Times New Roman"/>
          <w:i/>
          <w:iCs/>
          <w:sz w:val="20"/>
          <w:szCs w:val="22"/>
        </w:rPr>
        <w:t>(MacKinnon, 1994)</w:t>
      </w:r>
      <w:r w:rsidR="00B65F75" w:rsidRPr="00AA6EA3">
        <w:rPr>
          <w:rFonts w:asciiTheme="majorBidi" w:hAnsiTheme="majorBidi" w:cstheme="majorBidi"/>
          <w:i/>
          <w:iCs/>
          <w:sz w:val="20"/>
          <w:szCs w:val="20"/>
        </w:rPr>
        <w:fldChar w:fldCharType="end"/>
      </w:r>
      <w:r w:rsidRPr="00AA6EA3">
        <w:rPr>
          <w:rFonts w:asciiTheme="majorBidi" w:hAnsiTheme="majorBidi" w:cstheme="majorBidi"/>
          <w:i/>
          <w:iCs/>
          <w:sz w:val="20"/>
          <w:szCs w:val="20"/>
        </w:rPr>
        <w:t xml:space="preserve">; Uluabat p-values also follow </w:t>
      </w:r>
      <w:r w:rsidR="00B65F75" w:rsidRPr="00AA6EA3">
        <w:rPr>
          <w:rFonts w:asciiTheme="majorBidi" w:hAnsiTheme="majorBidi" w:cstheme="majorBidi"/>
          <w:i/>
          <w:iCs/>
          <w:sz w:val="20"/>
          <w:szCs w:val="20"/>
        </w:rPr>
        <w:fldChar w:fldCharType="begin"/>
      </w:r>
      <w:r w:rsidR="00DD15CD" w:rsidRPr="00AA6EA3">
        <w:rPr>
          <w:rFonts w:asciiTheme="majorBidi" w:hAnsiTheme="majorBidi" w:cstheme="majorBidi"/>
          <w:i/>
          <w:iCs/>
          <w:sz w:val="20"/>
          <w:szCs w:val="20"/>
        </w:rPr>
        <w:instrText xml:space="preserve"> ADDIN ZOTERO_ITEM CSL_CITATION {"citationID":"kqbZOHlj","properties":{"unsorted":false,"formattedCitation":"(MacKinnon, 1994)","plainCitation":"(MacKinnon, 1994)","dontUpdate":true,"noteIndex":0},"citationItems":[{"id":1501,"uris":["http://zotero.org/users/16974576/items/AQK8AWAC"],"itemData":{"id":1501,"type":"article-journal","container-title":"Journal of Business &amp; Economic Statistics","DOI":"10.1080/07350015.1994.10510005","ISSN":"0735-0015","issue":"2","journalAbbreviation":"Journal of Business &amp; Economic Statistics","page":"167-176","publisher":"Taylor &amp; Francis","title":"Approximate Asymptotic Distribution Functions for Unit-Root and Cointegration Tests","volume":"12","author":[{"family":"MacKinnon","given":"James G."}],"issued":{"date-parts":[["1994",4,1]]}}}],"schema":"https://github.com/citation-style-language/schema/raw/master/csl-citation.json"} </w:instrText>
      </w:r>
      <w:r w:rsidR="00B65F75" w:rsidRPr="00AA6EA3">
        <w:rPr>
          <w:rFonts w:asciiTheme="majorBidi" w:hAnsiTheme="majorBidi" w:cstheme="majorBidi"/>
          <w:i/>
          <w:iCs/>
          <w:sz w:val="20"/>
          <w:szCs w:val="20"/>
        </w:rPr>
        <w:fldChar w:fldCharType="separate"/>
      </w:r>
      <w:r w:rsidR="00B65F75" w:rsidRPr="00AA6EA3">
        <w:rPr>
          <w:rFonts w:ascii="Times New Roman" w:hAnsi="Times New Roman" w:cs="Times New Roman"/>
          <w:i/>
          <w:iCs/>
          <w:sz w:val="20"/>
          <w:szCs w:val="22"/>
        </w:rPr>
        <w:t>MacKinnon (1994)</w:t>
      </w:r>
      <w:r w:rsidR="00B65F75" w:rsidRPr="00AA6EA3">
        <w:rPr>
          <w:rFonts w:asciiTheme="majorBidi" w:hAnsiTheme="majorBidi" w:cstheme="majorBidi"/>
          <w:i/>
          <w:iCs/>
          <w:sz w:val="20"/>
          <w:szCs w:val="20"/>
        </w:rPr>
        <w:fldChar w:fldCharType="end"/>
      </w:r>
      <w:r w:rsidRPr="00AA6EA3">
        <w:rPr>
          <w:rFonts w:asciiTheme="majorBidi" w:hAnsiTheme="majorBidi" w:cstheme="majorBidi"/>
          <w:i/>
          <w:iCs/>
          <w:sz w:val="20"/>
          <w:szCs w:val="20"/>
        </w:rPr>
        <w:t>. KPSS 5% critical value = 0.463; p &gt; 0.10 indicates the statistic falls below the 10% critical value (0.347).</w:t>
      </w:r>
    </w:p>
    <w:p w14:paraId="3A7CF6FD" w14:textId="400833AA" w:rsidR="0083730C" w:rsidRPr="009B4D65" w:rsidRDefault="0083730C" w:rsidP="00B65F75">
      <w:pPr>
        <w:pStyle w:val="Heading2"/>
      </w:pPr>
      <w:r w:rsidRPr="009B4D65">
        <w:t>S</w:t>
      </w:r>
      <w:r w:rsidR="00001BB2" w:rsidRPr="009B4D65">
        <w:t>3</w:t>
      </w:r>
      <w:r w:rsidRPr="009B4D65">
        <w:t>.2</w:t>
      </w:r>
      <w:r w:rsidR="00C220C0">
        <w:t>.</w:t>
      </w:r>
      <w:r w:rsidRPr="009B4D65">
        <w:t xml:space="preserve"> Effective Sample Size</w:t>
      </w:r>
    </w:p>
    <w:p w14:paraId="671C0D11" w14:textId="5BE1757C" w:rsidR="0083730C" w:rsidRPr="009B4D65" w:rsidRDefault="0083730C" w:rsidP="00B65F75">
      <w:pPr>
        <w:spacing w:line="276" w:lineRule="auto"/>
        <w:rPr>
          <w:rFonts w:asciiTheme="majorBidi" w:hAnsiTheme="majorBidi" w:cstheme="majorBidi"/>
          <w:sz w:val="22"/>
          <w:szCs w:val="22"/>
        </w:rPr>
      </w:pPr>
      <w:r w:rsidRPr="009B4D65">
        <w:rPr>
          <w:rFonts w:asciiTheme="majorBidi" w:hAnsiTheme="majorBidi" w:cstheme="majorBidi"/>
          <w:sz w:val="22"/>
          <w:szCs w:val="22"/>
        </w:rPr>
        <w:t xml:space="preserve">Serial autocorrelation in drought indices and lake-level series reduces the effective degrees of freedom for Pearson cross-correlation tests, causing the nominal sample size </w:t>
      </w:r>
      <w:r w:rsidRPr="009B4D65">
        <w:rPr>
          <w:rFonts w:asciiTheme="majorBidi" w:hAnsiTheme="majorBidi" w:cstheme="majorBidi"/>
          <w:i/>
          <w:iCs/>
          <w:sz w:val="22"/>
          <w:szCs w:val="22"/>
        </w:rPr>
        <w:t>n</w:t>
      </w:r>
      <w:r w:rsidRPr="009B4D65">
        <w:rPr>
          <w:rFonts w:asciiTheme="majorBidi" w:hAnsiTheme="majorBidi" w:cstheme="majorBidi"/>
          <w:sz w:val="22"/>
          <w:szCs w:val="22"/>
        </w:rPr>
        <w:t xml:space="preserve"> to overestimate the true number of independent observations. For İznik, </w:t>
      </w:r>
      <w:r w:rsidRPr="009B4D65">
        <w:rPr>
          <w:rFonts w:asciiTheme="majorBidi" w:hAnsiTheme="majorBidi" w:cstheme="majorBidi"/>
          <w:i/>
          <w:iCs/>
          <w:sz w:val="22"/>
          <w:szCs w:val="22"/>
        </w:rPr>
        <w:t>n</w:t>
      </w:r>
      <w:r w:rsidRPr="009B4D65">
        <w:rPr>
          <w:rFonts w:asciiTheme="majorBidi" w:hAnsiTheme="majorBidi" w:cstheme="majorBidi"/>
          <w:sz w:val="22"/>
          <w:szCs w:val="22"/>
        </w:rPr>
        <w:t xml:space="preserve">eff was estimated following </w:t>
      </w:r>
      <w:r w:rsidR="00C220C0">
        <w:rPr>
          <w:rFonts w:asciiTheme="majorBidi" w:hAnsiTheme="majorBidi" w:cstheme="majorBidi"/>
          <w:sz w:val="22"/>
          <w:szCs w:val="22"/>
        </w:rPr>
        <w:fldChar w:fldCharType="begin"/>
      </w:r>
      <w:r w:rsidR="00B129FA">
        <w:rPr>
          <w:rFonts w:asciiTheme="majorBidi" w:hAnsiTheme="majorBidi" w:cstheme="majorBidi"/>
          <w:sz w:val="22"/>
          <w:szCs w:val="22"/>
        </w:rPr>
        <w:instrText xml:space="preserve"> ADDIN ZOTERO_ITEM CSL_CITATION {"citationID":"1uGYlTHO","properties":{"unsorted":false,"formattedCitation":"(Chelton, 1983)","plainCitation":"(Chelton, 1983)","dontUpdate":true,"noteIndex":0},"citationItems":[{"id":1486,"uris":["http://zotero.org/users/16974576/items/2TPU6DWY"],"itemData":{"id":1486,"type":"article-journal","container-title":"Deep Sea Research Part A. Oceanographic Research Papers","ISSN":"0198-0149","issue":"10","journalAbbreviation":"Deep Sea Research Part A. Oceanographic Research Papers","page":"1083-1103","publisher":"Elsevier","title":"Effects of sampling errors in statistical estimation","volume":"30","author":[{"family":"Chelton","given":"Dudley B"}],"issued":{"date-parts":[["1983"]]}}}],"schema":"https://github.com/citation-style-language/schema/raw/master/csl-citation.json"} </w:instrText>
      </w:r>
      <w:r w:rsidR="00C220C0">
        <w:rPr>
          <w:rFonts w:asciiTheme="majorBidi" w:hAnsiTheme="majorBidi" w:cstheme="majorBidi"/>
          <w:sz w:val="22"/>
          <w:szCs w:val="22"/>
        </w:rPr>
        <w:fldChar w:fldCharType="separate"/>
      </w:r>
      <w:r w:rsidR="00C220C0" w:rsidRPr="00C220C0">
        <w:rPr>
          <w:rFonts w:ascii="Times New Roman" w:hAnsi="Times New Roman" w:cs="Times New Roman"/>
          <w:sz w:val="22"/>
        </w:rPr>
        <w:t xml:space="preserve">Chelton </w:t>
      </w:r>
      <w:r w:rsidR="00C220C0">
        <w:rPr>
          <w:rFonts w:ascii="Times New Roman" w:hAnsi="Times New Roman" w:cs="Times New Roman"/>
          <w:sz w:val="22"/>
        </w:rPr>
        <w:t>(</w:t>
      </w:r>
      <w:r w:rsidR="00C220C0" w:rsidRPr="00C220C0">
        <w:rPr>
          <w:rFonts w:ascii="Times New Roman" w:hAnsi="Times New Roman" w:cs="Times New Roman"/>
          <w:sz w:val="22"/>
        </w:rPr>
        <w:t>1983)</w:t>
      </w:r>
      <w:r w:rsidR="00C220C0">
        <w:rPr>
          <w:rFonts w:asciiTheme="majorBidi" w:hAnsiTheme="majorBidi" w:cstheme="majorBidi"/>
          <w:sz w:val="22"/>
          <w:szCs w:val="22"/>
        </w:rPr>
        <w:fldChar w:fldCharType="end"/>
      </w:r>
      <w:r w:rsidRPr="009B4D65">
        <w:rPr>
          <w:rFonts w:asciiTheme="majorBidi" w:hAnsiTheme="majorBidi" w:cstheme="majorBidi"/>
          <w:sz w:val="22"/>
          <w:szCs w:val="22"/>
        </w:rPr>
        <w:t xml:space="preserve"> and </w:t>
      </w:r>
      <w:r w:rsidR="00C220C0">
        <w:rPr>
          <w:rFonts w:asciiTheme="majorBidi" w:hAnsiTheme="majorBidi" w:cstheme="majorBidi"/>
          <w:sz w:val="22"/>
          <w:szCs w:val="22"/>
        </w:rPr>
        <w:fldChar w:fldCharType="begin"/>
      </w:r>
      <w:r w:rsidR="00B129FA">
        <w:rPr>
          <w:rFonts w:asciiTheme="majorBidi" w:hAnsiTheme="majorBidi" w:cstheme="majorBidi"/>
          <w:sz w:val="22"/>
          <w:szCs w:val="22"/>
        </w:rPr>
        <w:instrText xml:space="preserve"> ADDIN ZOTERO_ITEM CSL_CITATION {"citationID":"dLsGN3s0","properties":{"unsorted":false,"formattedCitation":"(Pyper and Peterman, 1998)","plainCitation":"(Pyper and Peterman, 1998)","dontUpdate":true,"noteIndex":0},"citationItems":[{"id":1487,"uris":["http://zotero.org/users/16974576/items/P94VS3IC"],"itemData":{"id":1487,"type":"article-journal","container-title":"Canadian Journal of Fisheries and Aquatic Sciences","ISSN":"0706-652X","issue":"9","journalAbbreviation":"Canadian Journal of Fisheries and Aquatic Sciences","page":"2127-2140","publisher":"NRC Research Press Ottawa, Canada","title":"Comparison of methods to account for autocorrelation in correlation analyses of fish data","volume":"55","author":[{"family":"Pyper","given":"Brian J"},{"family":"Peterman","given":"Randall M"}],"issued":{"date-parts":[["1998"]]}}}],"schema":"https://github.com/citation-style-language/schema/raw/master/csl-citation.json"} </w:instrText>
      </w:r>
      <w:r w:rsidR="00C220C0">
        <w:rPr>
          <w:rFonts w:asciiTheme="majorBidi" w:hAnsiTheme="majorBidi" w:cstheme="majorBidi"/>
          <w:sz w:val="22"/>
          <w:szCs w:val="22"/>
        </w:rPr>
        <w:fldChar w:fldCharType="separate"/>
      </w:r>
      <w:r w:rsidR="00C220C0" w:rsidRPr="00C220C0">
        <w:rPr>
          <w:rFonts w:ascii="Times New Roman" w:hAnsi="Times New Roman" w:cs="Times New Roman"/>
          <w:sz w:val="22"/>
        </w:rPr>
        <w:t xml:space="preserve">Pyper and Peterman </w:t>
      </w:r>
      <w:r w:rsidR="00C220C0">
        <w:rPr>
          <w:rFonts w:ascii="Times New Roman" w:hAnsi="Times New Roman" w:cs="Times New Roman"/>
          <w:sz w:val="22"/>
        </w:rPr>
        <w:t>(</w:t>
      </w:r>
      <w:r w:rsidR="00C220C0" w:rsidRPr="00C220C0">
        <w:rPr>
          <w:rFonts w:ascii="Times New Roman" w:hAnsi="Times New Roman" w:cs="Times New Roman"/>
          <w:sz w:val="22"/>
        </w:rPr>
        <w:t>1998)</w:t>
      </w:r>
      <w:r w:rsidR="00C220C0">
        <w:rPr>
          <w:rFonts w:asciiTheme="majorBidi" w:hAnsiTheme="majorBidi" w:cstheme="majorBidi"/>
          <w:sz w:val="22"/>
          <w:szCs w:val="22"/>
        </w:rPr>
        <w:fldChar w:fldCharType="end"/>
      </w:r>
      <w:r w:rsidRPr="009B4D65">
        <w:rPr>
          <w:rFonts w:asciiTheme="majorBidi" w:hAnsiTheme="majorBidi" w:cstheme="majorBidi"/>
          <w:sz w:val="22"/>
          <w:szCs w:val="22"/>
        </w:rPr>
        <w:t xml:space="preserve">, using </w:t>
      </w:r>
      <w:r w:rsidRPr="009B4D65">
        <w:rPr>
          <w:rFonts w:asciiTheme="majorBidi" w:hAnsiTheme="majorBidi" w:cstheme="majorBidi"/>
          <w:i/>
          <w:iCs/>
          <w:sz w:val="22"/>
          <w:szCs w:val="22"/>
        </w:rPr>
        <w:t>n</w:t>
      </w:r>
      <w:r w:rsidRPr="009B4D65">
        <w:rPr>
          <w:rFonts w:asciiTheme="majorBidi" w:hAnsiTheme="majorBidi" w:cstheme="majorBidi"/>
          <w:sz w:val="22"/>
          <w:szCs w:val="22"/>
        </w:rPr>
        <w:t xml:space="preserve">eff⁻¹ ≈ </w:t>
      </w:r>
      <w:r w:rsidRPr="009B4D65">
        <w:rPr>
          <w:rFonts w:asciiTheme="majorBidi" w:hAnsiTheme="majorBidi" w:cstheme="majorBidi"/>
          <w:i/>
          <w:iCs/>
          <w:sz w:val="22"/>
          <w:szCs w:val="22"/>
        </w:rPr>
        <w:t>n</w:t>
      </w:r>
      <w:r w:rsidRPr="009B4D65">
        <w:rPr>
          <w:rFonts w:asciiTheme="majorBidi" w:hAnsiTheme="majorBidi" w:cstheme="majorBidi"/>
          <w:sz w:val="22"/>
          <w:szCs w:val="22"/>
        </w:rPr>
        <w:t>⁻¹ + 2</w:t>
      </w:r>
      <w:r w:rsidRPr="009B4D65">
        <w:rPr>
          <w:rFonts w:asciiTheme="majorBidi" w:hAnsiTheme="majorBidi" w:cstheme="majorBidi"/>
          <w:i/>
          <w:iCs/>
          <w:sz w:val="22"/>
          <w:szCs w:val="22"/>
        </w:rPr>
        <w:t>n</w:t>
      </w:r>
      <w:r w:rsidRPr="009B4D65">
        <w:rPr>
          <w:rFonts w:asciiTheme="majorBidi" w:hAnsiTheme="majorBidi" w:cstheme="majorBidi"/>
          <w:sz w:val="22"/>
          <w:szCs w:val="22"/>
        </w:rPr>
        <w:t>⁻¹ Σₖ (1 − k/</w:t>
      </w:r>
      <w:r w:rsidRPr="009B4D65">
        <w:rPr>
          <w:rFonts w:asciiTheme="majorBidi" w:hAnsiTheme="majorBidi" w:cstheme="majorBidi"/>
          <w:i/>
          <w:iCs/>
          <w:sz w:val="22"/>
          <w:szCs w:val="22"/>
        </w:rPr>
        <w:t>n</w:t>
      </w:r>
      <w:r w:rsidRPr="009B4D65">
        <w:rPr>
          <w:rFonts w:asciiTheme="majorBidi" w:hAnsiTheme="majorBidi" w:cstheme="majorBidi"/>
          <w:sz w:val="22"/>
          <w:szCs w:val="22"/>
        </w:rPr>
        <w:t>) ρXX(k) ρYY(k), with truncation at the first zero-</w:t>
      </w:r>
      <w:r w:rsidRPr="00B65F75">
        <w:rPr>
          <w:rFonts w:asciiTheme="majorBidi" w:hAnsiTheme="majorBidi" w:cstheme="majorBidi"/>
          <w:sz w:val="22"/>
          <w:szCs w:val="22"/>
        </w:rPr>
        <w:t xml:space="preserve">crossing of the </w:t>
      </w:r>
      <w:r w:rsidR="00B65F75" w:rsidRPr="00B65F75">
        <w:rPr>
          <w:rFonts w:asciiTheme="majorBidi" w:hAnsiTheme="majorBidi" w:cstheme="majorBidi"/>
          <w:sz w:val="22"/>
          <w:szCs w:val="22"/>
        </w:rPr>
        <w:t>autocorrelation function</w:t>
      </w:r>
      <w:r w:rsidR="00B65F75">
        <w:rPr>
          <w:rFonts w:asciiTheme="majorBidi" w:hAnsiTheme="majorBidi" w:cstheme="majorBidi"/>
          <w:sz w:val="22"/>
          <w:szCs w:val="22"/>
        </w:rPr>
        <w:t xml:space="preserve"> (</w:t>
      </w:r>
      <w:r w:rsidRPr="00B65F75">
        <w:rPr>
          <w:rFonts w:asciiTheme="majorBidi" w:hAnsiTheme="majorBidi" w:cstheme="majorBidi"/>
          <w:sz w:val="22"/>
          <w:szCs w:val="22"/>
        </w:rPr>
        <w:t>ACF</w:t>
      </w:r>
      <w:r w:rsidR="00B65F75">
        <w:rPr>
          <w:rFonts w:asciiTheme="majorBidi" w:hAnsiTheme="majorBidi" w:cstheme="majorBidi"/>
          <w:sz w:val="22"/>
          <w:szCs w:val="22"/>
        </w:rPr>
        <w:t>)</w:t>
      </w:r>
      <w:r w:rsidRPr="00B65F75">
        <w:rPr>
          <w:rFonts w:asciiTheme="majorBidi" w:hAnsiTheme="majorBidi" w:cstheme="majorBidi"/>
          <w:sz w:val="22"/>
          <w:szCs w:val="22"/>
        </w:rPr>
        <w:t xml:space="preserve"> product</w:t>
      </w:r>
      <w:r w:rsidRPr="009B4D65">
        <w:rPr>
          <w:rFonts w:asciiTheme="majorBidi" w:hAnsiTheme="majorBidi" w:cstheme="majorBidi"/>
          <w:sz w:val="22"/>
          <w:szCs w:val="22"/>
        </w:rPr>
        <w:t xml:space="preserve">. For Uluabat, the </w:t>
      </w:r>
      <w:r w:rsidR="00C220C0">
        <w:rPr>
          <w:rFonts w:asciiTheme="majorBidi" w:hAnsiTheme="majorBidi" w:cstheme="majorBidi"/>
          <w:sz w:val="22"/>
          <w:szCs w:val="22"/>
        </w:rPr>
        <w:fldChar w:fldCharType="begin"/>
      </w:r>
      <w:r w:rsidR="00B129FA">
        <w:rPr>
          <w:rFonts w:asciiTheme="majorBidi" w:hAnsiTheme="majorBidi" w:cstheme="majorBidi"/>
          <w:sz w:val="22"/>
          <w:szCs w:val="22"/>
        </w:rPr>
        <w:instrText xml:space="preserve"> ADDIN ZOTERO_ITEM CSL_CITATION {"citationID":"I8hxPIUQ","properties":{"unsorted":false,"formattedCitation":"(Quenouille, 1952)","plainCitation":"(Quenouille, 1952)","dontUpdate":true,"noteIndex":0},"citationItems":[{"id":1488,"uris":["http://zotero.org/users/16974576/items/8BKET7QD"],"itemData":{"id":1488,"type":"article-journal","title":"Associated measurements.","author":[{"family":"Quenouille","given":"Maurice Henry"}],"issued":{"date-parts":[["1952"]]}}}],"schema":"https://github.com/citation-style-language/schema/raw/master/csl-citation.json"} </w:instrText>
      </w:r>
      <w:r w:rsidR="00C220C0">
        <w:rPr>
          <w:rFonts w:asciiTheme="majorBidi" w:hAnsiTheme="majorBidi" w:cstheme="majorBidi"/>
          <w:sz w:val="22"/>
          <w:szCs w:val="22"/>
        </w:rPr>
        <w:fldChar w:fldCharType="separate"/>
      </w:r>
      <w:r w:rsidR="00C220C0" w:rsidRPr="00C220C0">
        <w:rPr>
          <w:rFonts w:ascii="Times New Roman" w:hAnsi="Times New Roman" w:cs="Times New Roman"/>
          <w:sz w:val="22"/>
        </w:rPr>
        <w:t xml:space="preserve">Quenouille </w:t>
      </w:r>
      <w:r w:rsidR="00C220C0">
        <w:rPr>
          <w:rFonts w:ascii="Times New Roman" w:hAnsi="Times New Roman" w:cs="Times New Roman"/>
          <w:sz w:val="22"/>
        </w:rPr>
        <w:t>(</w:t>
      </w:r>
      <w:r w:rsidR="00C220C0" w:rsidRPr="00C220C0">
        <w:rPr>
          <w:rFonts w:ascii="Times New Roman" w:hAnsi="Times New Roman" w:cs="Times New Roman"/>
          <w:sz w:val="22"/>
        </w:rPr>
        <w:t>1952)</w:t>
      </w:r>
      <w:r w:rsidR="00C220C0">
        <w:rPr>
          <w:rFonts w:asciiTheme="majorBidi" w:hAnsiTheme="majorBidi" w:cstheme="majorBidi"/>
          <w:sz w:val="22"/>
          <w:szCs w:val="22"/>
        </w:rPr>
        <w:fldChar w:fldCharType="end"/>
      </w:r>
      <w:r w:rsidR="00C220C0">
        <w:rPr>
          <w:rFonts w:asciiTheme="majorBidi" w:hAnsiTheme="majorBidi" w:cstheme="majorBidi"/>
          <w:sz w:val="22"/>
          <w:szCs w:val="22"/>
        </w:rPr>
        <w:t xml:space="preserve"> </w:t>
      </w:r>
      <w:r w:rsidRPr="009B4D65">
        <w:rPr>
          <w:rFonts w:asciiTheme="majorBidi" w:hAnsiTheme="majorBidi" w:cstheme="majorBidi"/>
          <w:sz w:val="22"/>
          <w:szCs w:val="22"/>
        </w:rPr>
        <w:t xml:space="preserve">estimator was applied: </w:t>
      </w:r>
      <w:r w:rsidRPr="009B4D65">
        <w:rPr>
          <w:rFonts w:asciiTheme="majorBidi" w:hAnsiTheme="majorBidi" w:cstheme="majorBidi"/>
          <w:i/>
          <w:iCs/>
          <w:sz w:val="22"/>
          <w:szCs w:val="22"/>
        </w:rPr>
        <w:t>n</w:t>
      </w:r>
      <w:r w:rsidRPr="009B4D65">
        <w:rPr>
          <w:rFonts w:asciiTheme="majorBidi" w:hAnsiTheme="majorBidi" w:cstheme="majorBidi"/>
          <w:sz w:val="22"/>
          <w:szCs w:val="22"/>
        </w:rPr>
        <w:t xml:space="preserve">eff = </w:t>
      </w:r>
      <w:r w:rsidRPr="009B4D65">
        <w:rPr>
          <w:rFonts w:asciiTheme="majorBidi" w:hAnsiTheme="majorBidi" w:cstheme="majorBidi"/>
          <w:i/>
          <w:iCs/>
          <w:sz w:val="22"/>
          <w:szCs w:val="22"/>
        </w:rPr>
        <w:t>n</w:t>
      </w:r>
      <w:r w:rsidRPr="009B4D65">
        <w:rPr>
          <w:rFonts w:asciiTheme="majorBidi" w:hAnsiTheme="majorBidi" w:cstheme="majorBidi"/>
          <w:sz w:val="22"/>
          <w:szCs w:val="22"/>
        </w:rPr>
        <w:t xml:space="preserve"> (1 + 2 Σₖ ρX(k) ρY(k))⁻¹. Both estimators yield qualitatively consistent </w:t>
      </w:r>
      <w:r w:rsidRPr="009B4D65">
        <w:rPr>
          <w:rFonts w:asciiTheme="majorBidi" w:hAnsiTheme="majorBidi" w:cstheme="majorBidi"/>
          <w:i/>
          <w:iCs/>
          <w:sz w:val="22"/>
          <w:szCs w:val="22"/>
        </w:rPr>
        <w:t>n</w:t>
      </w:r>
      <w:r w:rsidRPr="009B4D65">
        <w:rPr>
          <w:rFonts w:asciiTheme="majorBidi" w:hAnsiTheme="majorBidi" w:cstheme="majorBidi"/>
          <w:sz w:val="22"/>
          <w:szCs w:val="22"/>
        </w:rPr>
        <w:t>eff reductions and are used for significance testing in their respective lakes.</w:t>
      </w:r>
    </w:p>
    <w:p w14:paraId="1A2BA2CE" w14:textId="2056690B" w:rsidR="0083730C" w:rsidRPr="008320AB" w:rsidRDefault="0083730C" w:rsidP="009B4D65">
      <w:pPr>
        <w:spacing w:line="276" w:lineRule="auto"/>
        <w:rPr>
          <w:rFonts w:asciiTheme="majorBidi" w:hAnsiTheme="majorBidi" w:cstheme="majorBidi"/>
          <w:sz w:val="22"/>
          <w:szCs w:val="22"/>
        </w:rPr>
      </w:pPr>
      <w:r w:rsidRPr="008320AB">
        <w:rPr>
          <w:rFonts w:asciiTheme="majorBidi" w:hAnsiTheme="majorBidi" w:cstheme="majorBidi"/>
          <w:sz w:val="22"/>
          <w:szCs w:val="22"/>
        </w:rPr>
        <w:t xml:space="preserve">The </w:t>
      </w:r>
      <w:r w:rsidRPr="008320AB">
        <w:rPr>
          <w:rFonts w:asciiTheme="majorBidi" w:hAnsiTheme="majorBidi" w:cstheme="majorBidi"/>
          <w:i/>
          <w:iCs/>
          <w:sz w:val="22"/>
          <w:szCs w:val="22"/>
        </w:rPr>
        <w:t>n</w:t>
      </w:r>
      <w:r w:rsidRPr="008320AB">
        <w:rPr>
          <w:rFonts w:asciiTheme="majorBidi" w:hAnsiTheme="majorBidi" w:cstheme="majorBidi"/>
          <w:sz w:val="22"/>
          <w:szCs w:val="22"/>
        </w:rPr>
        <w:t xml:space="preserve">eff reduction was dominated by the SLLI's high autocorrelation, and scaled with the accumulation period of the meteorological index. At the 24-month accumulation period, </w:t>
      </w:r>
      <w:r w:rsidRPr="008320AB">
        <w:rPr>
          <w:rFonts w:asciiTheme="majorBidi" w:hAnsiTheme="majorBidi" w:cstheme="majorBidi"/>
          <w:i/>
          <w:iCs/>
          <w:sz w:val="22"/>
          <w:szCs w:val="22"/>
        </w:rPr>
        <w:t>n</w:t>
      </w:r>
      <w:r w:rsidRPr="008320AB">
        <w:rPr>
          <w:rFonts w:asciiTheme="majorBidi" w:hAnsiTheme="majorBidi" w:cstheme="majorBidi"/>
          <w:sz w:val="22"/>
          <w:szCs w:val="22"/>
        </w:rPr>
        <w:t>eff fell to approximately 24–28 at İznik (93% reduction) and 49–54 at Uluabat (85–87% reduction), substantially limiting statistical power. At the 1-month timescale</w:t>
      </w:r>
      <w:r w:rsidR="00B65F75" w:rsidRPr="008320AB">
        <w:rPr>
          <w:rFonts w:asciiTheme="majorBidi" w:hAnsiTheme="majorBidi" w:cstheme="majorBidi"/>
          <w:sz w:val="22"/>
          <w:szCs w:val="22"/>
        </w:rPr>
        <w:t>;</w:t>
      </w:r>
      <w:r w:rsidRPr="008320AB">
        <w:rPr>
          <w:rFonts w:asciiTheme="majorBidi" w:hAnsiTheme="majorBidi" w:cstheme="majorBidi"/>
          <w:sz w:val="22"/>
          <w:szCs w:val="22"/>
        </w:rPr>
        <w:t xml:space="preserve"> where SPI-1 carries virtually no autocorrelation</w:t>
      </w:r>
      <w:r w:rsidR="00B65F75" w:rsidRPr="008320AB">
        <w:rPr>
          <w:rFonts w:asciiTheme="majorBidi" w:hAnsiTheme="majorBidi" w:cstheme="majorBidi"/>
          <w:sz w:val="22"/>
          <w:szCs w:val="22"/>
        </w:rPr>
        <w:t>,</w:t>
      </w:r>
      <w:r w:rsidRPr="008320AB">
        <w:rPr>
          <w:rFonts w:asciiTheme="majorBidi" w:hAnsiTheme="majorBidi" w:cstheme="majorBidi"/>
          <w:sz w:val="22"/>
          <w:szCs w:val="22"/>
        </w:rPr>
        <w:t xml:space="preserve"> </w:t>
      </w:r>
      <w:r w:rsidRPr="008320AB">
        <w:rPr>
          <w:rFonts w:asciiTheme="majorBidi" w:hAnsiTheme="majorBidi" w:cstheme="majorBidi"/>
          <w:i/>
          <w:iCs/>
          <w:sz w:val="22"/>
          <w:szCs w:val="22"/>
        </w:rPr>
        <w:t>n</w:t>
      </w:r>
      <w:r w:rsidRPr="008320AB">
        <w:rPr>
          <w:rFonts w:asciiTheme="majorBidi" w:hAnsiTheme="majorBidi" w:cstheme="majorBidi"/>
          <w:sz w:val="22"/>
          <w:szCs w:val="22"/>
        </w:rPr>
        <w:t xml:space="preserve">eff ≈ </w:t>
      </w:r>
      <w:r w:rsidRPr="008320AB">
        <w:rPr>
          <w:rFonts w:asciiTheme="majorBidi" w:hAnsiTheme="majorBidi" w:cstheme="majorBidi"/>
          <w:i/>
          <w:iCs/>
          <w:sz w:val="22"/>
          <w:szCs w:val="22"/>
        </w:rPr>
        <w:t>n</w:t>
      </w:r>
      <w:r w:rsidRPr="008320AB">
        <w:rPr>
          <w:rFonts w:asciiTheme="majorBidi" w:hAnsiTheme="majorBidi" w:cstheme="majorBidi"/>
          <w:sz w:val="22"/>
          <w:szCs w:val="22"/>
        </w:rPr>
        <w:t xml:space="preserve"> at Uluabat (0% reduction) but remains substantially reduced at İznik due to the SLLI's own persistence.</w:t>
      </w:r>
      <w:r w:rsidR="008320AB" w:rsidRPr="008320AB">
        <w:rPr>
          <w:rFonts w:asciiTheme="majorBidi" w:hAnsiTheme="majorBidi" w:cstheme="majorBidi"/>
          <w:sz w:val="22"/>
          <w:szCs w:val="22"/>
        </w:rPr>
        <w:t xml:space="preserve"> </w:t>
      </w:r>
      <w:r w:rsidR="008320AB" w:rsidRPr="008320AB">
        <w:rPr>
          <w:rFonts w:asciiTheme="majorBidi" w:hAnsiTheme="majorBidi" w:cstheme="majorBidi"/>
          <w:sz w:val="22"/>
          <w:szCs w:val="22"/>
        </w:rPr>
        <w:fldChar w:fldCharType="begin"/>
      </w:r>
      <w:r w:rsidR="008320AB" w:rsidRPr="008320AB">
        <w:rPr>
          <w:rFonts w:asciiTheme="majorBidi" w:hAnsiTheme="majorBidi" w:cstheme="majorBidi"/>
          <w:sz w:val="22"/>
          <w:szCs w:val="22"/>
        </w:rPr>
        <w:instrText xml:space="preserve"> REF _Ref232334801 \h  \* MERGEFORMAT </w:instrText>
      </w:r>
      <w:r w:rsidR="008320AB" w:rsidRPr="008320AB">
        <w:rPr>
          <w:rFonts w:asciiTheme="majorBidi" w:hAnsiTheme="majorBidi" w:cstheme="majorBidi"/>
          <w:sz w:val="22"/>
          <w:szCs w:val="22"/>
        </w:rPr>
      </w:r>
      <w:r w:rsidR="008320AB" w:rsidRPr="008320AB">
        <w:rPr>
          <w:rFonts w:asciiTheme="majorBidi" w:hAnsiTheme="majorBidi" w:cstheme="majorBidi"/>
          <w:sz w:val="22"/>
          <w:szCs w:val="22"/>
        </w:rPr>
        <w:fldChar w:fldCharType="separate"/>
      </w:r>
      <w:r w:rsidR="008320AB" w:rsidRPr="008320AB">
        <w:rPr>
          <w:rFonts w:asciiTheme="majorBidi" w:hAnsiTheme="majorBidi" w:cstheme="majorBidi"/>
          <w:sz w:val="22"/>
          <w:szCs w:val="22"/>
        </w:rPr>
        <w:t xml:space="preserve">Table S </w:t>
      </w:r>
      <w:r w:rsidR="008320AB" w:rsidRPr="008320AB">
        <w:rPr>
          <w:rFonts w:asciiTheme="majorBidi" w:hAnsiTheme="majorBidi" w:cstheme="majorBidi"/>
          <w:noProof/>
          <w:sz w:val="22"/>
          <w:szCs w:val="22"/>
        </w:rPr>
        <w:t>9</w:t>
      </w:r>
      <w:r w:rsidR="008320AB" w:rsidRPr="008320AB">
        <w:rPr>
          <w:rFonts w:asciiTheme="majorBidi" w:hAnsiTheme="majorBidi" w:cstheme="majorBidi"/>
          <w:sz w:val="22"/>
          <w:szCs w:val="22"/>
        </w:rPr>
        <w:fldChar w:fldCharType="end"/>
      </w:r>
      <w:r w:rsidRPr="008320AB">
        <w:rPr>
          <w:rFonts w:asciiTheme="majorBidi" w:hAnsiTheme="majorBidi" w:cstheme="majorBidi"/>
          <w:sz w:val="22"/>
          <w:szCs w:val="22"/>
        </w:rPr>
        <w:t xml:space="preserve"> summarises </w:t>
      </w:r>
      <w:r w:rsidRPr="008320AB">
        <w:rPr>
          <w:rFonts w:asciiTheme="majorBidi" w:hAnsiTheme="majorBidi" w:cstheme="majorBidi"/>
          <w:i/>
          <w:iCs/>
          <w:sz w:val="22"/>
          <w:szCs w:val="22"/>
        </w:rPr>
        <w:t>n</w:t>
      </w:r>
      <w:r w:rsidRPr="008320AB">
        <w:rPr>
          <w:rFonts w:asciiTheme="majorBidi" w:hAnsiTheme="majorBidi" w:cstheme="majorBidi"/>
          <w:sz w:val="22"/>
          <w:szCs w:val="22"/>
        </w:rPr>
        <w:t>eff at the peak-correlation lag for each index.</w:t>
      </w:r>
    </w:p>
    <w:p w14:paraId="17116C64" w14:textId="29D3BBA1" w:rsidR="0083730C" w:rsidRPr="009B4D65" w:rsidRDefault="002F41C5" w:rsidP="002F41C5">
      <w:pPr>
        <w:pStyle w:val="Caption"/>
        <w:rPr>
          <w:rFonts w:cstheme="majorBidi"/>
          <w:sz w:val="22"/>
          <w:szCs w:val="22"/>
        </w:rPr>
      </w:pPr>
      <w:bookmarkStart w:id="6" w:name="_Ref232334801"/>
      <w:r>
        <w:t xml:space="preserve">Table S </w:t>
      </w:r>
      <w:fldSimple w:instr=" SEQ Table_S \* ARABIC ">
        <w:r>
          <w:rPr>
            <w:noProof/>
          </w:rPr>
          <w:t>9</w:t>
        </w:r>
      </w:fldSimple>
      <w:bookmarkEnd w:id="6"/>
      <w:r>
        <w:t>.</w:t>
      </w:r>
      <w:r w:rsidR="0083730C" w:rsidRPr="009B4D65">
        <w:rPr>
          <w:rFonts w:cstheme="majorBidi"/>
          <w:sz w:val="22"/>
          <w:szCs w:val="22"/>
        </w:rPr>
        <w:t xml:space="preserve"> Effective sample size (neff) at the peak-correlation lag for each index at both lakes, and the corresponding minimum detectable |r| at α = 0.05.</w:t>
      </w:r>
    </w:p>
    <w:tbl>
      <w:tblPr>
        <w:tblStyle w:val="ElsevierFormate"/>
        <w:tblW w:w="9000" w:type="dxa"/>
        <w:tblLook w:val="0000" w:firstRow="0" w:lastRow="0" w:firstColumn="0" w:lastColumn="0" w:noHBand="0" w:noVBand="0"/>
      </w:tblPr>
      <w:tblGrid>
        <w:gridCol w:w="1006"/>
        <w:gridCol w:w="1132"/>
        <w:gridCol w:w="1404"/>
        <w:gridCol w:w="1383"/>
        <w:gridCol w:w="1225"/>
        <w:gridCol w:w="1404"/>
        <w:gridCol w:w="1446"/>
      </w:tblGrid>
      <w:tr w:rsidR="0083730C" w:rsidRPr="009B4D65" w14:paraId="1390488A" w14:textId="77777777" w:rsidTr="0083730C">
        <w:tc>
          <w:tcPr>
            <w:tcW w:w="800" w:type="dxa"/>
            <w:tcBorders>
              <w:top w:val="single" w:sz="4" w:space="0" w:color="auto"/>
              <w:bottom w:val="single" w:sz="4" w:space="0" w:color="auto"/>
            </w:tcBorders>
          </w:tcPr>
          <w:p w14:paraId="1277EA9C"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b/>
                <w:bCs/>
                <w:szCs w:val="22"/>
              </w:rPr>
              <w:t>Index</w:t>
            </w:r>
          </w:p>
        </w:tc>
        <w:tc>
          <w:tcPr>
            <w:tcW w:w="900" w:type="dxa"/>
            <w:tcBorders>
              <w:top w:val="single" w:sz="4" w:space="0" w:color="auto"/>
              <w:bottom w:val="single" w:sz="4" w:space="0" w:color="auto"/>
            </w:tcBorders>
          </w:tcPr>
          <w:p w14:paraId="1D701194"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b/>
                <w:bCs/>
                <w:szCs w:val="22"/>
              </w:rPr>
              <w:t>İznik neff</w:t>
            </w:r>
          </w:p>
        </w:tc>
        <w:tc>
          <w:tcPr>
            <w:tcW w:w="1050" w:type="dxa"/>
            <w:tcBorders>
              <w:top w:val="single" w:sz="4" w:space="0" w:color="auto"/>
              <w:bottom w:val="single" w:sz="4" w:space="0" w:color="auto"/>
            </w:tcBorders>
          </w:tcPr>
          <w:p w14:paraId="6F5F295D"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b/>
                <w:bCs/>
                <w:szCs w:val="22"/>
              </w:rPr>
              <w:t>İznik neff reduction (%)</w:t>
            </w:r>
          </w:p>
        </w:tc>
        <w:tc>
          <w:tcPr>
            <w:tcW w:w="1100" w:type="dxa"/>
            <w:tcBorders>
              <w:top w:val="single" w:sz="4" w:space="0" w:color="auto"/>
              <w:bottom w:val="single" w:sz="4" w:space="0" w:color="auto"/>
            </w:tcBorders>
          </w:tcPr>
          <w:p w14:paraId="30C2C361"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b/>
                <w:bCs/>
                <w:szCs w:val="22"/>
              </w:rPr>
              <w:t>İznik min |r| (α=0.05)</w:t>
            </w:r>
          </w:p>
        </w:tc>
        <w:tc>
          <w:tcPr>
            <w:tcW w:w="900" w:type="dxa"/>
            <w:tcBorders>
              <w:top w:val="single" w:sz="4" w:space="0" w:color="auto"/>
              <w:bottom w:val="single" w:sz="4" w:space="0" w:color="auto"/>
            </w:tcBorders>
          </w:tcPr>
          <w:p w14:paraId="3ACE3DF9"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b/>
                <w:bCs/>
                <w:szCs w:val="22"/>
              </w:rPr>
              <w:t>Uluabat neff</w:t>
            </w:r>
          </w:p>
        </w:tc>
        <w:tc>
          <w:tcPr>
            <w:tcW w:w="1100" w:type="dxa"/>
            <w:tcBorders>
              <w:top w:val="single" w:sz="4" w:space="0" w:color="auto"/>
              <w:bottom w:val="single" w:sz="4" w:space="0" w:color="auto"/>
            </w:tcBorders>
          </w:tcPr>
          <w:p w14:paraId="152C5C37"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b/>
                <w:bCs/>
                <w:szCs w:val="22"/>
              </w:rPr>
              <w:t>Uluabat neff reduction (%)</w:t>
            </w:r>
          </w:p>
        </w:tc>
        <w:tc>
          <w:tcPr>
            <w:tcW w:w="1150" w:type="dxa"/>
            <w:tcBorders>
              <w:top w:val="single" w:sz="4" w:space="0" w:color="auto"/>
              <w:bottom w:val="single" w:sz="4" w:space="0" w:color="auto"/>
            </w:tcBorders>
          </w:tcPr>
          <w:p w14:paraId="61DA6CE4"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b/>
                <w:bCs/>
                <w:szCs w:val="22"/>
              </w:rPr>
              <w:t>Uluabat min |r| (α=0.05)</w:t>
            </w:r>
          </w:p>
        </w:tc>
      </w:tr>
      <w:tr w:rsidR="0083730C" w:rsidRPr="009B4D65" w14:paraId="156806DD" w14:textId="77777777" w:rsidTr="0083730C">
        <w:tc>
          <w:tcPr>
            <w:tcW w:w="800" w:type="dxa"/>
            <w:tcBorders>
              <w:top w:val="single" w:sz="4" w:space="0" w:color="auto"/>
            </w:tcBorders>
          </w:tcPr>
          <w:p w14:paraId="213B8437"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SPI-1</w:t>
            </w:r>
          </w:p>
        </w:tc>
        <w:tc>
          <w:tcPr>
            <w:tcW w:w="900" w:type="dxa"/>
            <w:tcBorders>
              <w:top w:val="single" w:sz="4" w:space="0" w:color="auto"/>
            </w:tcBorders>
          </w:tcPr>
          <w:p w14:paraId="034C00A9"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325</w:t>
            </w:r>
          </w:p>
        </w:tc>
        <w:tc>
          <w:tcPr>
            <w:tcW w:w="1050" w:type="dxa"/>
            <w:tcBorders>
              <w:top w:val="single" w:sz="4" w:space="0" w:color="auto"/>
            </w:tcBorders>
          </w:tcPr>
          <w:p w14:paraId="15C1FC3C"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15%</w:t>
            </w:r>
          </w:p>
        </w:tc>
        <w:tc>
          <w:tcPr>
            <w:tcW w:w="1100" w:type="dxa"/>
            <w:tcBorders>
              <w:top w:val="single" w:sz="4" w:space="0" w:color="auto"/>
            </w:tcBorders>
          </w:tcPr>
          <w:p w14:paraId="4DF63D0D"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0.109</w:t>
            </w:r>
          </w:p>
        </w:tc>
        <w:tc>
          <w:tcPr>
            <w:tcW w:w="900" w:type="dxa"/>
            <w:tcBorders>
              <w:top w:val="single" w:sz="4" w:space="0" w:color="auto"/>
            </w:tcBorders>
          </w:tcPr>
          <w:p w14:paraId="7A90EF7D"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383</w:t>
            </w:r>
          </w:p>
        </w:tc>
        <w:tc>
          <w:tcPr>
            <w:tcW w:w="1100" w:type="dxa"/>
            <w:tcBorders>
              <w:top w:val="single" w:sz="4" w:space="0" w:color="auto"/>
            </w:tcBorders>
          </w:tcPr>
          <w:p w14:paraId="25409176"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w:t>
            </w:r>
          </w:p>
        </w:tc>
        <w:tc>
          <w:tcPr>
            <w:tcW w:w="1150" w:type="dxa"/>
            <w:tcBorders>
              <w:top w:val="single" w:sz="4" w:space="0" w:color="auto"/>
            </w:tcBorders>
          </w:tcPr>
          <w:p w14:paraId="391929DE"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0.100</w:t>
            </w:r>
          </w:p>
        </w:tc>
      </w:tr>
      <w:tr w:rsidR="0083730C" w:rsidRPr="009B4D65" w14:paraId="492FD2F1" w14:textId="77777777" w:rsidTr="0083730C">
        <w:tc>
          <w:tcPr>
            <w:tcW w:w="800" w:type="dxa"/>
          </w:tcPr>
          <w:p w14:paraId="52DBFE43"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SPEI-1</w:t>
            </w:r>
          </w:p>
        </w:tc>
        <w:tc>
          <w:tcPr>
            <w:tcW w:w="900" w:type="dxa"/>
          </w:tcPr>
          <w:p w14:paraId="5CB63019"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326</w:t>
            </w:r>
          </w:p>
        </w:tc>
        <w:tc>
          <w:tcPr>
            <w:tcW w:w="1050" w:type="dxa"/>
          </w:tcPr>
          <w:p w14:paraId="54600E2A"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15%</w:t>
            </w:r>
          </w:p>
        </w:tc>
        <w:tc>
          <w:tcPr>
            <w:tcW w:w="1100" w:type="dxa"/>
          </w:tcPr>
          <w:p w14:paraId="040C4E5B"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0.109</w:t>
            </w:r>
          </w:p>
        </w:tc>
        <w:tc>
          <w:tcPr>
            <w:tcW w:w="900" w:type="dxa"/>
          </w:tcPr>
          <w:p w14:paraId="6726BE84"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359</w:t>
            </w:r>
          </w:p>
        </w:tc>
        <w:tc>
          <w:tcPr>
            <w:tcW w:w="1100" w:type="dxa"/>
          </w:tcPr>
          <w:p w14:paraId="5467B667"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6%</w:t>
            </w:r>
          </w:p>
        </w:tc>
        <w:tc>
          <w:tcPr>
            <w:tcW w:w="1150" w:type="dxa"/>
          </w:tcPr>
          <w:p w14:paraId="29CD6F33"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0.104</w:t>
            </w:r>
          </w:p>
        </w:tc>
      </w:tr>
      <w:tr w:rsidR="0083730C" w:rsidRPr="009B4D65" w14:paraId="79119A5E" w14:textId="77777777" w:rsidTr="0083730C">
        <w:tc>
          <w:tcPr>
            <w:tcW w:w="800" w:type="dxa"/>
          </w:tcPr>
          <w:p w14:paraId="4ABC321B"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SPI-3</w:t>
            </w:r>
          </w:p>
        </w:tc>
        <w:tc>
          <w:tcPr>
            <w:tcW w:w="900" w:type="dxa"/>
          </w:tcPr>
          <w:p w14:paraId="30DB0562"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122</w:t>
            </w:r>
          </w:p>
        </w:tc>
        <w:tc>
          <w:tcPr>
            <w:tcW w:w="1050" w:type="dxa"/>
          </w:tcPr>
          <w:p w14:paraId="5D6A56B1"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68%</w:t>
            </w:r>
          </w:p>
        </w:tc>
        <w:tc>
          <w:tcPr>
            <w:tcW w:w="1100" w:type="dxa"/>
          </w:tcPr>
          <w:p w14:paraId="538CB930"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0.178</w:t>
            </w:r>
          </w:p>
        </w:tc>
        <w:tc>
          <w:tcPr>
            <w:tcW w:w="900" w:type="dxa"/>
          </w:tcPr>
          <w:p w14:paraId="58A94E10"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185</w:t>
            </w:r>
          </w:p>
        </w:tc>
        <w:tc>
          <w:tcPr>
            <w:tcW w:w="1100" w:type="dxa"/>
          </w:tcPr>
          <w:p w14:paraId="72249DAB"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52%</w:t>
            </w:r>
          </w:p>
        </w:tc>
        <w:tc>
          <w:tcPr>
            <w:tcW w:w="1150" w:type="dxa"/>
          </w:tcPr>
          <w:p w14:paraId="01C18B82"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0.145</w:t>
            </w:r>
          </w:p>
        </w:tc>
      </w:tr>
      <w:tr w:rsidR="0083730C" w:rsidRPr="009B4D65" w14:paraId="40E62919" w14:textId="77777777" w:rsidTr="0083730C">
        <w:tc>
          <w:tcPr>
            <w:tcW w:w="800" w:type="dxa"/>
          </w:tcPr>
          <w:p w14:paraId="335C056F"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SPEI-3</w:t>
            </w:r>
          </w:p>
        </w:tc>
        <w:tc>
          <w:tcPr>
            <w:tcW w:w="900" w:type="dxa"/>
          </w:tcPr>
          <w:p w14:paraId="6C49327D"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130</w:t>
            </w:r>
          </w:p>
        </w:tc>
        <w:tc>
          <w:tcPr>
            <w:tcW w:w="1050" w:type="dxa"/>
          </w:tcPr>
          <w:p w14:paraId="4F22C3F8"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66%</w:t>
            </w:r>
          </w:p>
        </w:tc>
        <w:tc>
          <w:tcPr>
            <w:tcW w:w="1100" w:type="dxa"/>
          </w:tcPr>
          <w:p w14:paraId="03C4E3EE"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0.172</w:t>
            </w:r>
          </w:p>
        </w:tc>
        <w:tc>
          <w:tcPr>
            <w:tcW w:w="900" w:type="dxa"/>
          </w:tcPr>
          <w:p w14:paraId="3368C4FA"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162</w:t>
            </w:r>
          </w:p>
        </w:tc>
        <w:tc>
          <w:tcPr>
            <w:tcW w:w="1100" w:type="dxa"/>
          </w:tcPr>
          <w:p w14:paraId="55598868"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58%</w:t>
            </w:r>
          </w:p>
        </w:tc>
        <w:tc>
          <w:tcPr>
            <w:tcW w:w="1150" w:type="dxa"/>
          </w:tcPr>
          <w:p w14:paraId="66D2D299"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0.155</w:t>
            </w:r>
          </w:p>
        </w:tc>
      </w:tr>
      <w:tr w:rsidR="0083730C" w:rsidRPr="009B4D65" w14:paraId="12A68177" w14:textId="77777777" w:rsidTr="0083730C">
        <w:tc>
          <w:tcPr>
            <w:tcW w:w="800" w:type="dxa"/>
          </w:tcPr>
          <w:p w14:paraId="58C3850A"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SPI-6</w:t>
            </w:r>
          </w:p>
        </w:tc>
        <w:tc>
          <w:tcPr>
            <w:tcW w:w="900" w:type="dxa"/>
          </w:tcPr>
          <w:p w14:paraId="5FD3AC1E"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75</w:t>
            </w:r>
          </w:p>
        </w:tc>
        <w:tc>
          <w:tcPr>
            <w:tcW w:w="1050" w:type="dxa"/>
          </w:tcPr>
          <w:p w14:paraId="567EF2C8"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80%</w:t>
            </w:r>
          </w:p>
        </w:tc>
        <w:tc>
          <w:tcPr>
            <w:tcW w:w="1100" w:type="dxa"/>
          </w:tcPr>
          <w:p w14:paraId="5F34D479"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0.226</w:t>
            </w:r>
          </w:p>
        </w:tc>
        <w:tc>
          <w:tcPr>
            <w:tcW w:w="900" w:type="dxa"/>
          </w:tcPr>
          <w:p w14:paraId="08C7FC6E"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132</w:t>
            </w:r>
          </w:p>
        </w:tc>
        <w:tc>
          <w:tcPr>
            <w:tcW w:w="1100" w:type="dxa"/>
          </w:tcPr>
          <w:p w14:paraId="7B2BAC99"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66%</w:t>
            </w:r>
          </w:p>
        </w:tc>
        <w:tc>
          <w:tcPr>
            <w:tcW w:w="1150" w:type="dxa"/>
          </w:tcPr>
          <w:p w14:paraId="558962F7"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0.171</w:t>
            </w:r>
          </w:p>
        </w:tc>
      </w:tr>
      <w:tr w:rsidR="0083730C" w:rsidRPr="009B4D65" w14:paraId="6D47A48E" w14:textId="77777777" w:rsidTr="0083730C">
        <w:tc>
          <w:tcPr>
            <w:tcW w:w="800" w:type="dxa"/>
          </w:tcPr>
          <w:p w14:paraId="18C15CA5"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SPEI-6</w:t>
            </w:r>
          </w:p>
        </w:tc>
        <w:tc>
          <w:tcPr>
            <w:tcW w:w="900" w:type="dxa"/>
          </w:tcPr>
          <w:p w14:paraId="4D0BD213"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68</w:t>
            </w:r>
          </w:p>
        </w:tc>
        <w:tc>
          <w:tcPr>
            <w:tcW w:w="1050" w:type="dxa"/>
          </w:tcPr>
          <w:p w14:paraId="5986FC37"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82%</w:t>
            </w:r>
          </w:p>
        </w:tc>
        <w:tc>
          <w:tcPr>
            <w:tcW w:w="1100" w:type="dxa"/>
          </w:tcPr>
          <w:p w14:paraId="2A86B79A"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0.239</w:t>
            </w:r>
          </w:p>
        </w:tc>
        <w:tc>
          <w:tcPr>
            <w:tcW w:w="900" w:type="dxa"/>
          </w:tcPr>
          <w:p w14:paraId="0D3E5ED3"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114</w:t>
            </w:r>
          </w:p>
        </w:tc>
        <w:tc>
          <w:tcPr>
            <w:tcW w:w="1100" w:type="dxa"/>
          </w:tcPr>
          <w:p w14:paraId="2CC869E5"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70%</w:t>
            </w:r>
          </w:p>
        </w:tc>
        <w:tc>
          <w:tcPr>
            <w:tcW w:w="1150" w:type="dxa"/>
          </w:tcPr>
          <w:p w14:paraId="1F93343C"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0.184</w:t>
            </w:r>
          </w:p>
        </w:tc>
      </w:tr>
      <w:tr w:rsidR="0083730C" w:rsidRPr="009B4D65" w14:paraId="15EF977F" w14:textId="77777777" w:rsidTr="0083730C">
        <w:tc>
          <w:tcPr>
            <w:tcW w:w="800" w:type="dxa"/>
          </w:tcPr>
          <w:p w14:paraId="7080D5B7"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SPI-12</w:t>
            </w:r>
          </w:p>
        </w:tc>
        <w:tc>
          <w:tcPr>
            <w:tcW w:w="900" w:type="dxa"/>
          </w:tcPr>
          <w:p w14:paraId="1993D0AF"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41</w:t>
            </w:r>
          </w:p>
        </w:tc>
        <w:tc>
          <w:tcPr>
            <w:tcW w:w="1050" w:type="dxa"/>
          </w:tcPr>
          <w:p w14:paraId="56B97F26"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89%</w:t>
            </w:r>
          </w:p>
        </w:tc>
        <w:tc>
          <w:tcPr>
            <w:tcW w:w="1100" w:type="dxa"/>
          </w:tcPr>
          <w:p w14:paraId="254FA9C6"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0.309</w:t>
            </w:r>
          </w:p>
        </w:tc>
        <w:tc>
          <w:tcPr>
            <w:tcW w:w="900" w:type="dxa"/>
          </w:tcPr>
          <w:p w14:paraId="7C30EA04"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84</w:t>
            </w:r>
          </w:p>
        </w:tc>
        <w:tc>
          <w:tcPr>
            <w:tcW w:w="1100" w:type="dxa"/>
          </w:tcPr>
          <w:p w14:paraId="7B8E9A87"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78%</w:t>
            </w:r>
          </w:p>
        </w:tc>
        <w:tc>
          <w:tcPr>
            <w:tcW w:w="1150" w:type="dxa"/>
          </w:tcPr>
          <w:p w14:paraId="28CB2FA5"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0.214</w:t>
            </w:r>
          </w:p>
        </w:tc>
      </w:tr>
      <w:tr w:rsidR="0083730C" w:rsidRPr="009B4D65" w14:paraId="37FC4973" w14:textId="77777777" w:rsidTr="0083730C">
        <w:tc>
          <w:tcPr>
            <w:tcW w:w="800" w:type="dxa"/>
          </w:tcPr>
          <w:p w14:paraId="2393B2B6"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SPEI-12</w:t>
            </w:r>
          </w:p>
        </w:tc>
        <w:tc>
          <w:tcPr>
            <w:tcW w:w="900" w:type="dxa"/>
          </w:tcPr>
          <w:p w14:paraId="743BC635"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42</w:t>
            </w:r>
          </w:p>
        </w:tc>
        <w:tc>
          <w:tcPr>
            <w:tcW w:w="1050" w:type="dxa"/>
          </w:tcPr>
          <w:p w14:paraId="342FD425"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89%</w:t>
            </w:r>
          </w:p>
        </w:tc>
        <w:tc>
          <w:tcPr>
            <w:tcW w:w="1100" w:type="dxa"/>
          </w:tcPr>
          <w:p w14:paraId="29EA50B5"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0.303</w:t>
            </w:r>
          </w:p>
        </w:tc>
        <w:tc>
          <w:tcPr>
            <w:tcW w:w="900" w:type="dxa"/>
          </w:tcPr>
          <w:p w14:paraId="1D26EB40"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84</w:t>
            </w:r>
          </w:p>
        </w:tc>
        <w:tc>
          <w:tcPr>
            <w:tcW w:w="1100" w:type="dxa"/>
          </w:tcPr>
          <w:p w14:paraId="791BB244"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78%</w:t>
            </w:r>
          </w:p>
        </w:tc>
        <w:tc>
          <w:tcPr>
            <w:tcW w:w="1150" w:type="dxa"/>
          </w:tcPr>
          <w:p w14:paraId="3692C780"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0.214</w:t>
            </w:r>
          </w:p>
        </w:tc>
      </w:tr>
      <w:tr w:rsidR="0083730C" w:rsidRPr="009B4D65" w14:paraId="7C6518D3" w14:textId="77777777" w:rsidTr="0083730C">
        <w:tc>
          <w:tcPr>
            <w:tcW w:w="800" w:type="dxa"/>
          </w:tcPr>
          <w:p w14:paraId="649A9359"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SPI-24</w:t>
            </w:r>
          </w:p>
        </w:tc>
        <w:tc>
          <w:tcPr>
            <w:tcW w:w="900" w:type="dxa"/>
          </w:tcPr>
          <w:p w14:paraId="19139D9E"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24</w:t>
            </w:r>
          </w:p>
        </w:tc>
        <w:tc>
          <w:tcPr>
            <w:tcW w:w="1050" w:type="dxa"/>
          </w:tcPr>
          <w:p w14:paraId="20927989"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94%</w:t>
            </w:r>
          </w:p>
        </w:tc>
        <w:tc>
          <w:tcPr>
            <w:tcW w:w="1100" w:type="dxa"/>
          </w:tcPr>
          <w:p w14:paraId="2E4D4D05"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0.403</w:t>
            </w:r>
          </w:p>
        </w:tc>
        <w:tc>
          <w:tcPr>
            <w:tcW w:w="900" w:type="dxa"/>
          </w:tcPr>
          <w:p w14:paraId="669080E5"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49</w:t>
            </w:r>
          </w:p>
        </w:tc>
        <w:tc>
          <w:tcPr>
            <w:tcW w:w="1100" w:type="dxa"/>
          </w:tcPr>
          <w:p w14:paraId="50ADC75A"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87%</w:t>
            </w:r>
          </w:p>
        </w:tc>
        <w:tc>
          <w:tcPr>
            <w:tcW w:w="1150" w:type="dxa"/>
          </w:tcPr>
          <w:p w14:paraId="35C5B2B2"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0.282</w:t>
            </w:r>
          </w:p>
        </w:tc>
      </w:tr>
      <w:tr w:rsidR="0083730C" w:rsidRPr="009B4D65" w14:paraId="69F1F5BF" w14:textId="77777777" w:rsidTr="0083730C">
        <w:tc>
          <w:tcPr>
            <w:tcW w:w="800" w:type="dxa"/>
          </w:tcPr>
          <w:p w14:paraId="4D763F67"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SPEI-24</w:t>
            </w:r>
          </w:p>
        </w:tc>
        <w:tc>
          <w:tcPr>
            <w:tcW w:w="900" w:type="dxa"/>
          </w:tcPr>
          <w:p w14:paraId="4C6B29DC"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28</w:t>
            </w:r>
          </w:p>
        </w:tc>
        <w:tc>
          <w:tcPr>
            <w:tcW w:w="1050" w:type="dxa"/>
          </w:tcPr>
          <w:p w14:paraId="4631B5C9"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93%</w:t>
            </w:r>
          </w:p>
        </w:tc>
        <w:tc>
          <w:tcPr>
            <w:tcW w:w="1100" w:type="dxa"/>
          </w:tcPr>
          <w:p w14:paraId="7C17CA31"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0.375</w:t>
            </w:r>
          </w:p>
        </w:tc>
        <w:tc>
          <w:tcPr>
            <w:tcW w:w="900" w:type="dxa"/>
          </w:tcPr>
          <w:p w14:paraId="37B4A267"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54</w:t>
            </w:r>
          </w:p>
        </w:tc>
        <w:tc>
          <w:tcPr>
            <w:tcW w:w="1100" w:type="dxa"/>
          </w:tcPr>
          <w:p w14:paraId="27C712C6"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86%</w:t>
            </w:r>
          </w:p>
        </w:tc>
        <w:tc>
          <w:tcPr>
            <w:tcW w:w="1150" w:type="dxa"/>
          </w:tcPr>
          <w:p w14:paraId="1B28091A" w14:textId="77777777" w:rsidR="0083730C" w:rsidRPr="009B4D65" w:rsidRDefault="0083730C" w:rsidP="009B4D65">
            <w:pPr>
              <w:spacing w:after="160" w:line="276" w:lineRule="auto"/>
              <w:rPr>
                <w:rFonts w:asciiTheme="majorBidi" w:hAnsiTheme="majorBidi" w:cstheme="majorBidi"/>
                <w:szCs w:val="22"/>
              </w:rPr>
            </w:pPr>
            <w:r w:rsidRPr="009B4D65">
              <w:rPr>
                <w:rFonts w:asciiTheme="majorBidi" w:hAnsiTheme="majorBidi" w:cstheme="majorBidi"/>
                <w:szCs w:val="22"/>
              </w:rPr>
              <w:t>0.268</w:t>
            </w:r>
          </w:p>
        </w:tc>
      </w:tr>
    </w:tbl>
    <w:p w14:paraId="401E9067" w14:textId="165F4E32" w:rsidR="0083730C" w:rsidRPr="00AA6EA3" w:rsidRDefault="0083730C" w:rsidP="009B4D65">
      <w:pPr>
        <w:spacing w:line="276" w:lineRule="auto"/>
        <w:rPr>
          <w:rFonts w:asciiTheme="majorBidi" w:hAnsiTheme="majorBidi" w:cstheme="majorBidi"/>
          <w:sz w:val="20"/>
          <w:szCs w:val="20"/>
        </w:rPr>
      </w:pPr>
      <w:r w:rsidRPr="00AA6EA3">
        <w:rPr>
          <w:rFonts w:asciiTheme="majorBidi" w:hAnsiTheme="majorBidi" w:cstheme="majorBidi"/>
          <w:i/>
          <w:iCs/>
          <w:sz w:val="20"/>
          <w:szCs w:val="20"/>
        </w:rPr>
        <w:t>Notes: neff, effective sample size at peak-correlation lag. Reduction = 1 − neff/n, where n is the nominal sample size. Min |r| at α = 0.05 computed as the two-tailed critical correlation for a t-test with (neff − 2) degrees of freedom. All observed İznik correlations fall below the detectable threshold; Uluabat correlations at 1–6 month timescales exceed it.</w:t>
      </w:r>
    </w:p>
    <w:p w14:paraId="6F9691B0" w14:textId="22166B82" w:rsidR="0083730C" w:rsidRPr="009B4D65" w:rsidRDefault="0083730C" w:rsidP="008320AB">
      <w:pPr>
        <w:pStyle w:val="Heading2"/>
      </w:pPr>
      <w:r w:rsidRPr="009B4D65">
        <w:t>S</w:t>
      </w:r>
      <w:r w:rsidR="00001BB2" w:rsidRPr="009B4D65">
        <w:t>3</w:t>
      </w:r>
      <w:r w:rsidRPr="009B4D65">
        <w:t>.3</w:t>
      </w:r>
      <w:r w:rsidR="00C220C0">
        <w:t>.</w:t>
      </w:r>
      <w:r w:rsidRPr="009B4D65">
        <w:t xml:space="preserve"> Moving-Block Bootstrap Validation</w:t>
      </w:r>
    </w:p>
    <w:p w14:paraId="7E600EB6" w14:textId="642441FF" w:rsidR="0083730C" w:rsidRPr="009B4D65" w:rsidRDefault="0083730C" w:rsidP="00177BC2">
      <w:pPr>
        <w:spacing w:line="276" w:lineRule="auto"/>
        <w:rPr>
          <w:rFonts w:asciiTheme="majorBidi" w:hAnsiTheme="majorBidi" w:cstheme="majorBidi"/>
          <w:sz w:val="22"/>
          <w:szCs w:val="22"/>
        </w:rPr>
      </w:pPr>
      <w:r w:rsidRPr="009B4D65">
        <w:rPr>
          <w:rFonts w:asciiTheme="majorBidi" w:hAnsiTheme="majorBidi" w:cstheme="majorBidi"/>
          <w:sz w:val="22"/>
          <w:szCs w:val="22"/>
        </w:rPr>
        <w:t xml:space="preserve">To validate the significance of cross-correlations under the autocorrelation structure of both series without parametric distributional assumptions, the moving-block bootstrap (MBB) procedure of </w:t>
      </w:r>
      <w:r w:rsidR="00C220C0">
        <w:rPr>
          <w:rFonts w:asciiTheme="majorBidi" w:hAnsiTheme="majorBidi" w:cstheme="majorBidi"/>
          <w:sz w:val="22"/>
          <w:szCs w:val="22"/>
        </w:rPr>
        <w:fldChar w:fldCharType="begin"/>
      </w:r>
      <w:r w:rsidR="00B129FA">
        <w:rPr>
          <w:rFonts w:asciiTheme="majorBidi" w:hAnsiTheme="majorBidi" w:cstheme="majorBidi"/>
          <w:sz w:val="22"/>
          <w:szCs w:val="22"/>
        </w:rPr>
        <w:instrText xml:space="preserve"> ADDIN ZOTERO_ITEM CSL_CITATION {"citationID":"ki9t9tHO","properties":{"unsorted":false,"formattedCitation":"(K\\uc0\\u252{}nsch, 1989)","plainCitation":"(Künsch, 1989)","dontUpdate":true,"noteIndex":0},"citationItems":[{"id":1485,"uris":["http://zotero.org/users/16974576/items/AWULA867"],"itemData":{"id":1485,"type":"article-journal","abstract":"[We extend the jackknife and the bootstrap method of estimating standard errors to the case where the observations form a general stationary sequence. We do not attempt a reduction to i.i.d. values. The jackknife calculates the sample variance of replicates of the statistic obtained by omitting each block of l consecutive data once. In the case of the arithmetic mean this is shown to be equivalent to a weighted covariance estimate of the spectral density of the observations at zero. Under appropriate conditions consistency is obtained if l = l(n) → ∞ and l(n)/n → 0. General statistics are approximated by an arithmetic mean. In regular cases this approximation determines the asymptotic behavior. Bootstrap replicates are constructed by selecting blocks of length l randomly with replacement among the blocks of observations. The procedures are illustrated by using the sunspot numbers and some simulated data.]","archive":"JSTOR","container-title":"The Annals of Statistics","ISSN":"00905364, 21688966","issue":"3","page":"1217-1241","publisher":"Institute of Mathematical Statistics","title":"The Jackknife and the Bootstrap for General Stationary Observations","volume":"17","author":[{"family":"Künsch","given":"Hans R."}],"issued":{"date-parts":[["1989"]]}}}],"schema":"https://github.com/citation-style-language/schema/raw/master/csl-citation.json"} </w:instrText>
      </w:r>
      <w:r w:rsidR="00C220C0">
        <w:rPr>
          <w:rFonts w:asciiTheme="majorBidi" w:hAnsiTheme="majorBidi" w:cstheme="majorBidi"/>
          <w:sz w:val="22"/>
          <w:szCs w:val="22"/>
        </w:rPr>
        <w:fldChar w:fldCharType="separate"/>
      </w:r>
      <w:r w:rsidR="00C220C0" w:rsidRPr="00C220C0">
        <w:rPr>
          <w:rFonts w:ascii="Times New Roman" w:hAnsi="Times New Roman" w:cs="Times New Roman"/>
          <w:kern w:val="0"/>
          <w:sz w:val="22"/>
        </w:rPr>
        <w:t xml:space="preserve">Künsch </w:t>
      </w:r>
      <w:r w:rsidR="00C220C0">
        <w:rPr>
          <w:rFonts w:ascii="Times New Roman" w:hAnsi="Times New Roman" w:cs="Times New Roman"/>
          <w:kern w:val="0"/>
          <w:sz w:val="22"/>
        </w:rPr>
        <w:t>(</w:t>
      </w:r>
      <w:r w:rsidR="00C220C0" w:rsidRPr="00C220C0">
        <w:rPr>
          <w:rFonts w:ascii="Times New Roman" w:hAnsi="Times New Roman" w:cs="Times New Roman"/>
          <w:kern w:val="0"/>
          <w:sz w:val="22"/>
        </w:rPr>
        <w:t>1989)</w:t>
      </w:r>
      <w:r w:rsidR="00C220C0">
        <w:rPr>
          <w:rFonts w:asciiTheme="majorBidi" w:hAnsiTheme="majorBidi" w:cstheme="majorBidi"/>
          <w:sz w:val="22"/>
          <w:szCs w:val="22"/>
        </w:rPr>
        <w:fldChar w:fldCharType="end"/>
      </w:r>
      <w:r w:rsidRPr="009B4D65">
        <w:rPr>
          <w:rFonts w:asciiTheme="majorBidi" w:hAnsiTheme="majorBidi" w:cstheme="majorBidi"/>
          <w:sz w:val="22"/>
          <w:szCs w:val="22"/>
        </w:rPr>
        <w:t xml:space="preserve"> and </w:t>
      </w:r>
      <w:r w:rsidR="00177BC2">
        <w:rPr>
          <w:rFonts w:asciiTheme="majorBidi" w:hAnsiTheme="majorBidi" w:cstheme="majorBidi"/>
          <w:sz w:val="22"/>
          <w:szCs w:val="22"/>
        </w:rPr>
        <w:fldChar w:fldCharType="begin"/>
      </w:r>
      <w:r w:rsidR="00B129FA">
        <w:rPr>
          <w:rFonts w:asciiTheme="majorBidi" w:hAnsiTheme="majorBidi" w:cstheme="majorBidi"/>
          <w:sz w:val="22"/>
          <w:szCs w:val="22"/>
        </w:rPr>
        <w:instrText xml:space="preserve"> ADDIN ZOTERO_ITEM CSL_CITATION {"citationID":"rPyn15XK","properties":{"unsorted":false,"formattedCitation":"(Liu and Singh, 1992)","plainCitation":"(Liu and Singh, 1992)","dontUpdate":true,"noteIndex":0},"citationItems":[{"id":1489,"uris":["http://zotero.org/users/16974576/items/72VWGRGK"],"itemData":{"id":1489,"type":"article-journal","container-title":"The Annals of Statistics","ISSN":"0090-5364","issue":"1","journalAbbreviation":"The Annals of Statistics","page":"370-384","publisher":"Institute of Mathematical Statistics","title":"Efficiency and robustness in resampling","volume":"20","author":[{"family":"Liu","given":"Regina Y"},{"family":"Singh","given":"Kesar"}],"issued":{"date-parts":[["1992"]]}}}],"schema":"https://github.com/citation-style-language/schema/raw/master/csl-citation.json"} </w:instrText>
      </w:r>
      <w:r w:rsidR="00177BC2">
        <w:rPr>
          <w:rFonts w:asciiTheme="majorBidi" w:hAnsiTheme="majorBidi" w:cstheme="majorBidi"/>
          <w:sz w:val="22"/>
          <w:szCs w:val="22"/>
        </w:rPr>
        <w:fldChar w:fldCharType="separate"/>
      </w:r>
      <w:r w:rsidR="00177BC2" w:rsidRPr="00177BC2">
        <w:rPr>
          <w:rFonts w:ascii="Times New Roman" w:hAnsi="Times New Roman" w:cs="Times New Roman"/>
          <w:sz w:val="22"/>
        </w:rPr>
        <w:t xml:space="preserve">Liu and Singh </w:t>
      </w:r>
      <w:r w:rsidR="00177BC2">
        <w:rPr>
          <w:rFonts w:ascii="Times New Roman" w:hAnsi="Times New Roman" w:cs="Times New Roman"/>
          <w:sz w:val="22"/>
        </w:rPr>
        <w:t>(</w:t>
      </w:r>
      <w:r w:rsidR="00177BC2" w:rsidRPr="00177BC2">
        <w:rPr>
          <w:rFonts w:ascii="Times New Roman" w:hAnsi="Times New Roman" w:cs="Times New Roman"/>
          <w:sz w:val="22"/>
        </w:rPr>
        <w:t>1992)</w:t>
      </w:r>
      <w:r w:rsidR="00177BC2">
        <w:rPr>
          <w:rFonts w:asciiTheme="majorBidi" w:hAnsiTheme="majorBidi" w:cstheme="majorBidi"/>
          <w:sz w:val="22"/>
          <w:szCs w:val="22"/>
        </w:rPr>
        <w:fldChar w:fldCharType="end"/>
      </w:r>
      <w:r w:rsidRPr="009B4D65">
        <w:rPr>
          <w:rFonts w:asciiTheme="majorBidi" w:hAnsiTheme="majorBidi" w:cstheme="majorBidi"/>
          <w:sz w:val="22"/>
          <w:szCs w:val="22"/>
        </w:rPr>
        <w:t xml:space="preserve"> was applied. The MBB resamples contiguous blocks of length </w:t>
      </w:r>
      <w:r w:rsidRPr="009B4D65">
        <w:rPr>
          <w:rFonts w:asciiTheme="majorBidi" w:hAnsiTheme="majorBidi" w:cstheme="majorBidi"/>
          <w:i/>
          <w:iCs/>
          <w:sz w:val="22"/>
          <w:szCs w:val="22"/>
        </w:rPr>
        <w:t>l</w:t>
      </w:r>
      <w:r w:rsidRPr="009B4D65">
        <w:rPr>
          <w:rFonts w:asciiTheme="majorBidi" w:hAnsiTheme="majorBidi" w:cstheme="majorBidi"/>
          <w:sz w:val="22"/>
          <w:szCs w:val="22"/>
        </w:rPr>
        <w:t xml:space="preserve"> and concatenates them to length </w:t>
      </w:r>
      <w:r w:rsidRPr="009B4D65">
        <w:rPr>
          <w:rFonts w:asciiTheme="majorBidi" w:hAnsiTheme="majorBidi" w:cstheme="majorBidi"/>
          <w:i/>
          <w:iCs/>
          <w:sz w:val="22"/>
          <w:szCs w:val="22"/>
        </w:rPr>
        <w:t>n</w:t>
      </w:r>
      <w:r w:rsidRPr="009B4D65">
        <w:rPr>
          <w:rFonts w:asciiTheme="majorBidi" w:hAnsiTheme="majorBidi" w:cstheme="majorBidi"/>
          <w:sz w:val="22"/>
          <w:szCs w:val="22"/>
        </w:rPr>
        <w:t xml:space="preserve">; for each replicate, the Pearson correlation is recomputed, and the 95% </w:t>
      </w:r>
      <w:r w:rsidR="00DD15CD">
        <w:rPr>
          <w:rFonts w:asciiTheme="majorBidi" w:hAnsiTheme="majorBidi" w:cstheme="majorBidi"/>
          <w:sz w:val="22"/>
          <w:szCs w:val="22"/>
        </w:rPr>
        <w:t>confidence interval (</w:t>
      </w:r>
      <w:r w:rsidRPr="009B4D65">
        <w:rPr>
          <w:rFonts w:asciiTheme="majorBidi" w:hAnsiTheme="majorBidi" w:cstheme="majorBidi"/>
          <w:sz w:val="22"/>
          <w:szCs w:val="22"/>
        </w:rPr>
        <w:t>CI</w:t>
      </w:r>
      <w:r w:rsidR="00DD15CD">
        <w:rPr>
          <w:rFonts w:asciiTheme="majorBidi" w:hAnsiTheme="majorBidi" w:cstheme="majorBidi"/>
          <w:sz w:val="22"/>
          <w:szCs w:val="22"/>
        </w:rPr>
        <w:t>)</w:t>
      </w:r>
      <w:r w:rsidRPr="009B4D65">
        <w:rPr>
          <w:rFonts w:asciiTheme="majorBidi" w:hAnsiTheme="majorBidi" w:cstheme="majorBidi"/>
          <w:sz w:val="22"/>
          <w:szCs w:val="22"/>
        </w:rPr>
        <w:t xml:space="preserve"> and two-sided </w:t>
      </w:r>
      <w:r w:rsidRPr="009B4D65">
        <w:rPr>
          <w:rFonts w:asciiTheme="majorBidi" w:hAnsiTheme="majorBidi" w:cstheme="majorBidi"/>
          <w:i/>
          <w:iCs/>
          <w:sz w:val="22"/>
          <w:szCs w:val="22"/>
        </w:rPr>
        <w:t>p</w:t>
      </w:r>
      <w:r w:rsidRPr="009B4D65">
        <w:rPr>
          <w:rFonts w:asciiTheme="majorBidi" w:hAnsiTheme="majorBidi" w:cstheme="majorBidi"/>
          <w:sz w:val="22"/>
          <w:szCs w:val="22"/>
        </w:rPr>
        <w:t>-value are derived from the empirical bootstrap distribution (</w:t>
      </w:r>
      <w:r w:rsidRPr="009B4D65">
        <w:rPr>
          <w:rFonts w:asciiTheme="majorBidi" w:hAnsiTheme="majorBidi" w:cstheme="majorBidi"/>
          <w:i/>
          <w:iCs/>
          <w:sz w:val="22"/>
          <w:szCs w:val="22"/>
        </w:rPr>
        <w:t>B</w:t>
      </w:r>
      <w:r w:rsidRPr="009B4D65">
        <w:rPr>
          <w:rFonts w:asciiTheme="majorBidi" w:hAnsiTheme="majorBidi" w:cstheme="majorBidi"/>
          <w:sz w:val="22"/>
          <w:szCs w:val="22"/>
        </w:rPr>
        <w:t xml:space="preserve"> = 5000 replicates for İznik; 2000 for Uluabat).</w:t>
      </w:r>
    </w:p>
    <w:p w14:paraId="46214D09" w14:textId="7AE10E95" w:rsidR="0083730C" w:rsidRPr="009B4D65" w:rsidRDefault="0083730C"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 xml:space="preserve">For İznik, the block length was set to </w:t>
      </w:r>
      <w:r w:rsidRPr="009B4D65">
        <w:rPr>
          <w:rFonts w:asciiTheme="majorBidi" w:hAnsiTheme="majorBidi" w:cstheme="majorBidi"/>
          <w:i/>
          <w:iCs/>
          <w:sz w:val="22"/>
          <w:szCs w:val="22"/>
        </w:rPr>
        <w:t>l</w:t>
      </w:r>
      <w:r w:rsidRPr="009B4D65">
        <w:rPr>
          <w:rFonts w:asciiTheme="majorBidi" w:hAnsiTheme="majorBidi" w:cstheme="majorBidi"/>
          <w:sz w:val="22"/>
          <w:szCs w:val="22"/>
        </w:rPr>
        <w:t xml:space="preserve">* = </w:t>
      </w:r>
      <w:r w:rsidRPr="009B4D65">
        <w:rPr>
          <w:rFonts w:ascii="Cambria Math" w:hAnsi="Cambria Math" w:cs="Cambria Math"/>
          <w:sz w:val="22"/>
          <w:szCs w:val="22"/>
        </w:rPr>
        <w:t>⌊</w:t>
      </w:r>
      <w:r w:rsidRPr="009B4D65">
        <w:rPr>
          <w:rFonts w:asciiTheme="majorBidi" w:hAnsiTheme="majorBidi" w:cstheme="majorBidi"/>
          <w:sz w:val="22"/>
          <w:szCs w:val="22"/>
        </w:rPr>
        <w:t>2(ρ²n)^(1/3)</w:t>
      </w:r>
      <w:r w:rsidRPr="009B4D65">
        <w:rPr>
          <w:rFonts w:ascii="Cambria Math" w:hAnsi="Cambria Math" w:cs="Cambria Math"/>
          <w:sz w:val="22"/>
          <w:szCs w:val="22"/>
        </w:rPr>
        <w:t>⌋</w:t>
      </w:r>
      <w:r w:rsidRPr="009B4D65">
        <w:rPr>
          <w:rFonts w:asciiTheme="majorBidi" w:hAnsiTheme="majorBidi" w:cstheme="majorBidi"/>
          <w:sz w:val="22"/>
          <w:szCs w:val="22"/>
        </w:rPr>
        <w:t xml:space="preserve"> ≈ 27 months (SLLI ρ = 0.927; </w:t>
      </w:r>
      <w:r w:rsidRPr="009B4D65">
        <w:rPr>
          <w:rFonts w:asciiTheme="majorBidi" w:hAnsiTheme="majorBidi" w:cstheme="majorBidi"/>
          <w:i/>
          <w:iCs/>
          <w:sz w:val="22"/>
          <w:szCs w:val="22"/>
        </w:rPr>
        <w:t>n</w:t>
      </w:r>
      <w:r w:rsidRPr="009B4D65">
        <w:rPr>
          <w:rFonts w:asciiTheme="majorBidi" w:hAnsiTheme="majorBidi" w:cstheme="majorBidi"/>
          <w:sz w:val="22"/>
          <w:szCs w:val="22"/>
        </w:rPr>
        <w:t xml:space="preserve"> = 384), applied identically to both series in each bootstrap replicate to preserve the contemporaneous joint dependence structure. Results were qualitatively consistent with the </w:t>
      </w:r>
      <w:r w:rsidRPr="009B4D65">
        <w:rPr>
          <w:rFonts w:asciiTheme="majorBidi" w:hAnsiTheme="majorBidi" w:cstheme="majorBidi"/>
          <w:i/>
          <w:iCs/>
          <w:sz w:val="22"/>
          <w:szCs w:val="22"/>
        </w:rPr>
        <w:t>n</w:t>
      </w:r>
      <w:r w:rsidRPr="009B4D65">
        <w:rPr>
          <w:rFonts w:asciiTheme="majorBidi" w:hAnsiTheme="majorBidi" w:cstheme="majorBidi"/>
          <w:sz w:val="22"/>
          <w:szCs w:val="22"/>
        </w:rPr>
        <w:t xml:space="preserve">eff-corrected analysis: no lag–index pair achieved statistical significance. For Uluabat, a block length of </w:t>
      </w:r>
      <w:r w:rsidRPr="009B4D65">
        <w:rPr>
          <w:rFonts w:asciiTheme="majorBidi" w:hAnsiTheme="majorBidi" w:cstheme="majorBidi"/>
          <w:i/>
          <w:iCs/>
          <w:sz w:val="22"/>
          <w:szCs w:val="22"/>
        </w:rPr>
        <w:t>l</w:t>
      </w:r>
      <w:r w:rsidRPr="009B4D65">
        <w:rPr>
          <w:rFonts w:asciiTheme="majorBidi" w:hAnsiTheme="majorBidi" w:cstheme="majorBidi"/>
          <w:sz w:val="22"/>
          <w:szCs w:val="22"/>
        </w:rPr>
        <w:t xml:space="preserve"> = 12 months was used to preserve within-year seasonal covariance. Bootstrap 95% CIs confirmed significance for the two primary correlations: SPEI-3/lag-1 [0.200, 0.478],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boot &lt; 0.001; SPEI-6/lag-0 [0.195, 0.481],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boot &lt; 0.001. Bootstrap intervals </w:t>
      </w:r>
      <w:r w:rsidRPr="00E95EA7">
        <w:rPr>
          <w:rFonts w:asciiTheme="majorBidi" w:hAnsiTheme="majorBidi" w:cstheme="majorBidi"/>
          <w:sz w:val="22"/>
          <w:szCs w:val="22"/>
        </w:rPr>
        <w:t>were somewhat wider</w:t>
      </w:r>
      <w:r w:rsidRPr="009B4D65">
        <w:rPr>
          <w:rFonts w:asciiTheme="majorBidi" w:hAnsiTheme="majorBidi" w:cstheme="majorBidi"/>
          <w:sz w:val="22"/>
          <w:szCs w:val="22"/>
        </w:rPr>
        <w:t xml:space="preserve"> than the parametric Fisher-z intervals, as expected for conservative MBB inference under moderate autocorrelation.</w:t>
      </w:r>
    </w:p>
    <w:p w14:paraId="069521EC" w14:textId="5A58E1A4" w:rsidR="0083730C" w:rsidRPr="009B4D65" w:rsidRDefault="0083730C" w:rsidP="00DD15CD">
      <w:pPr>
        <w:pStyle w:val="Heading2"/>
      </w:pPr>
      <w:r w:rsidRPr="009B4D65">
        <w:t>S</w:t>
      </w:r>
      <w:r w:rsidR="00001BB2" w:rsidRPr="009B4D65">
        <w:t>3</w:t>
      </w:r>
      <w:r w:rsidRPr="009B4D65">
        <w:t>.4</w:t>
      </w:r>
      <w:r w:rsidR="00177BC2">
        <w:t>.</w:t>
      </w:r>
      <w:r w:rsidRPr="009B4D65">
        <w:t xml:space="preserve"> Pre-Whitened Cross-Correlation</w:t>
      </w:r>
    </w:p>
    <w:p w14:paraId="2243116F" w14:textId="77777777" w:rsidR="0083730C" w:rsidRPr="009B4D65" w:rsidRDefault="0083730C"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To assess whether the SPEI–SLLI correlations at Uluabat reflect genuine physical coupling beyond shared autocorrelation structure, pre-whitened cross-correlations were computed by fitting AR(</w:t>
      </w:r>
      <w:r w:rsidRPr="009B4D65">
        <w:rPr>
          <w:rFonts w:asciiTheme="majorBidi" w:hAnsiTheme="majorBidi" w:cstheme="majorBidi"/>
          <w:i/>
          <w:iCs/>
          <w:sz w:val="22"/>
          <w:szCs w:val="22"/>
        </w:rPr>
        <w:t>p</w:t>
      </w:r>
      <w:r w:rsidRPr="009B4D65">
        <w:rPr>
          <w:rFonts w:asciiTheme="majorBidi" w:hAnsiTheme="majorBidi" w:cstheme="majorBidi"/>
          <w:sz w:val="22"/>
          <w:szCs w:val="22"/>
        </w:rPr>
        <w:t>) models (AIC-selected, AR(1)–AR(13)) to each series independently and computing Pearson correlations between the resulting innovation residuals. Optimal AR orders: İznik SLLI → AR(6); Uluabat SLLI → AR(11); SPEI-3 → AR(12); SPEI-6 → AR(11); SPI/SPEI-12 → AR(12); SPI/SPEI-24 → AR(12–13).</w:t>
      </w:r>
    </w:p>
    <w:p w14:paraId="020099BB" w14:textId="77777777" w:rsidR="0083730C" w:rsidRPr="009B4D65" w:rsidRDefault="0083730C"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 xml:space="preserve">At Uluabat, pre-whitening substantially attenuated the raw correlations: SPEI-3/lag-1, </w:t>
      </w:r>
      <w:r w:rsidRPr="009B4D65">
        <w:rPr>
          <w:rFonts w:asciiTheme="majorBidi" w:hAnsiTheme="majorBidi" w:cstheme="majorBidi"/>
          <w:i/>
          <w:iCs/>
          <w:sz w:val="22"/>
          <w:szCs w:val="22"/>
        </w:rPr>
        <w:t>r</w:t>
      </w:r>
      <w:r w:rsidRPr="009B4D65">
        <w:rPr>
          <w:rFonts w:asciiTheme="majorBidi" w:hAnsiTheme="majorBidi" w:cstheme="majorBidi"/>
          <w:sz w:val="22"/>
          <w:szCs w:val="22"/>
        </w:rPr>
        <w:t>pw = 0.090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 = 0.083); SPEI-6/lag-0, </w:t>
      </w:r>
      <w:r w:rsidRPr="009B4D65">
        <w:rPr>
          <w:rFonts w:asciiTheme="majorBidi" w:hAnsiTheme="majorBidi" w:cstheme="majorBidi"/>
          <w:i/>
          <w:iCs/>
          <w:sz w:val="22"/>
          <w:szCs w:val="22"/>
        </w:rPr>
        <w:t>r</w:t>
      </w:r>
      <w:r w:rsidRPr="009B4D65">
        <w:rPr>
          <w:rFonts w:asciiTheme="majorBidi" w:hAnsiTheme="majorBidi" w:cstheme="majorBidi"/>
          <w:sz w:val="22"/>
          <w:szCs w:val="22"/>
        </w:rPr>
        <w:t>pw = 0.103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 = 0.047). The reduction from </w:t>
      </w:r>
      <w:r w:rsidRPr="009B4D65">
        <w:rPr>
          <w:rFonts w:asciiTheme="majorBidi" w:hAnsiTheme="majorBidi" w:cstheme="majorBidi"/>
          <w:i/>
          <w:iCs/>
          <w:sz w:val="22"/>
          <w:szCs w:val="22"/>
        </w:rPr>
        <w:t>r</w:t>
      </w:r>
      <w:r w:rsidRPr="009B4D65">
        <w:rPr>
          <w:rFonts w:asciiTheme="majorBidi" w:hAnsiTheme="majorBidi" w:cstheme="majorBidi"/>
          <w:sz w:val="22"/>
          <w:szCs w:val="22"/>
        </w:rPr>
        <w:t xml:space="preserve"> = 0.326 to </w:t>
      </w:r>
      <w:r w:rsidRPr="009B4D65">
        <w:rPr>
          <w:rFonts w:asciiTheme="majorBidi" w:hAnsiTheme="majorBidi" w:cstheme="majorBidi"/>
          <w:i/>
          <w:iCs/>
          <w:sz w:val="22"/>
          <w:szCs w:val="22"/>
        </w:rPr>
        <w:t>r</w:t>
      </w:r>
      <w:r w:rsidRPr="009B4D65">
        <w:rPr>
          <w:rFonts w:asciiTheme="majorBidi" w:hAnsiTheme="majorBidi" w:cstheme="majorBidi"/>
          <w:sz w:val="22"/>
          <w:szCs w:val="22"/>
        </w:rPr>
        <w:t xml:space="preserve">pw = 0.090 for SPEI-3 reflects the aggressive removal of shared seasonal structure by AR(12) filtering, and should be interpreted as a conservative lower bound rather than the definitive coupling strength (Hamed and Rao, 1998). The SPEI-6 result surviving pre-whitening at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 = 0.047 provides the most structurally robust evidence of direct climate–lake coupling. At İznik, pre-whitened correlations were consistent with the </w:t>
      </w:r>
      <w:r w:rsidRPr="009B4D65">
        <w:rPr>
          <w:rFonts w:asciiTheme="majorBidi" w:hAnsiTheme="majorBidi" w:cstheme="majorBidi"/>
          <w:i/>
          <w:iCs/>
          <w:sz w:val="22"/>
          <w:szCs w:val="22"/>
        </w:rPr>
        <w:t>n</w:t>
      </w:r>
      <w:r w:rsidRPr="009B4D65">
        <w:rPr>
          <w:rFonts w:asciiTheme="majorBidi" w:hAnsiTheme="majorBidi" w:cstheme="majorBidi"/>
          <w:sz w:val="22"/>
          <w:szCs w:val="22"/>
        </w:rPr>
        <w:t>eff analysis in yielding no significant results, and are not reported separately.</w:t>
      </w:r>
    </w:p>
    <w:p w14:paraId="6C165C92" w14:textId="4CFF3AE3" w:rsidR="0083730C" w:rsidRPr="009B4D65" w:rsidRDefault="0083730C" w:rsidP="00DD15CD">
      <w:pPr>
        <w:pStyle w:val="Heading2"/>
      </w:pPr>
      <w:r w:rsidRPr="009B4D65">
        <w:t>S</w:t>
      </w:r>
      <w:r w:rsidR="00001BB2" w:rsidRPr="009B4D65">
        <w:t>3</w:t>
      </w:r>
      <w:r w:rsidRPr="009B4D65">
        <w:t>.5</w:t>
      </w:r>
      <w:r w:rsidR="00DD15CD">
        <w:t>.</w:t>
      </w:r>
      <w:r w:rsidRPr="009B4D65">
        <w:t xml:space="preserve"> Event Propagation Metrics</w:t>
      </w:r>
    </w:p>
    <w:p w14:paraId="30EA2B61" w14:textId="46B03A61" w:rsidR="0083730C" w:rsidRPr="009B4D65" w:rsidRDefault="0083730C" w:rsidP="00E95EA7">
      <w:pPr>
        <w:spacing w:line="276" w:lineRule="auto"/>
        <w:rPr>
          <w:rFonts w:asciiTheme="majorBidi" w:hAnsiTheme="majorBidi" w:cstheme="majorBidi"/>
          <w:sz w:val="22"/>
          <w:szCs w:val="22"/>
        </w:rPr>
      </w:pPr>
      <w:r w:rsidRPr="009B4D65">
        <w:rPr>
          <w:rFonts w:asciiTheme="majorBidi" w:hAnsiTheme="majorBidi" w:cstheme="majorBidi"/>
          <w:sz w:val="22"/>
          <w:szCs w:val="22"/>
        </w:rPr>
        <w:t xml:space="preserve">Hydrological drought events were identified using the threshold-level method </w:t>
      </w:r>
      <w:r w:rsidR="00177BC2">
        <w:rPr>
          <w:rFonts w:asciiTheme="majorBidi" w:hAnsiTheme="majorBidi" w:cstheme="majorBidi"/>
          <w:sz w:val="22"/>
          <w:szCs w:val="22"/>
        </w:rPr>
        <w:t xml:space="preserve"> </w:t>
      </w:r>
      <w:r w:rsidR="00177BC2">
        <w:rPr>
          <w:rFonts w:asciiTheme="majorBidi" w:hAnsiTheme="majorBidi" w:cstheme="majorBidi"/>
          <w:sz w:val="22"/>
          <w:szCs w:val="22"/>
        </w:rPr>
        <w:fldChar w:fldCharType="begin"/>
      </w:r>
      <w:r w:rsidR="00177BC2">
        <w:rPr>
          <w:rFonts w:asciiTheme="majorBidi" w:hAnsiTheme="majorBidi" w:cstheme="majorBidi"/>
          <w:sz w:val="22"/>
          <w:szCs w:val="22"/>
        </w:rPr>
        <w:instrText xml:space="preserve"> ADDIN ZOTERO_ITEM CSL_CITATION {"citationID":"hoAXHSzf","properties":{"unsorted":false,"formattedCitation":"(Fleig et al., 2006; Yevjevich, 1967)","plainCitation":"(Fleig et al., 2006; Yevjevich, 1967)","noteIndex":0},"citationItems":[{"id":1491,"uris":["http://zotero.org/users/16974576/items/BB9I9GSQ"],"itemData":{"id":1491,"type":"article-journal","container-title":"Hydrology and Earth System Sciences","ISSN":"1607-7938","issue":"4","journalAbbreviation":"Hydrology and Earth System Sciences","page":"535-552","publisher":"Copernicus Publications Göttingen, Germany","title":"A global evaluation of streamflow drought characteristics","volume":"10","author":[{"family":"Fleig","given":"Anne K"},{"family":"Tallaksen","given":"Lena M"},{"family":"Hisdal","given":"Hege"},{"family":"Demuth","given":"Siegfried"}],"issued":{"date-parts":[["2006"]]}}},{"id":1490,"uris":["http://zotero.org/users/16974576/items/XGA9QA7D"],"itemData":{"id":1490,"type":"book","publisher":"Colorado State University Fort Collins, CO, USA","title":"An objective approach to definitions and investigations of continental hydrologic droughts","volume":"23","author":[{"family":"Yevjevich","given":"Vujica M"}],"issued":{"date-parts":[["1967"]]}}}],"schema":"https://github.com/citation-style-language/schema/raw/master/csl-citation.json"} </w:instrText>
      </w:r>
      <w:r w:rsidR="00177BC2">
        <w:rPr>
          <w:rFonts w:asciiTheme="majorBidi" w:hAnsiTheme="majorBidi" w:cstheme="majorBidi"/>
          <w:sz w:val="22"/>
          <w:szCs w:val="22"/>
        </w:rPr>
        <w:fldChar w:fldCharType="separate"/>
      </w:r>
      <w:r w:rsidR="00177BC2" w:rsidRPr="00177BC2">
        <w:rPr>
          <w:rFonts w:ascii="Times New Roman" w:hAnsi="Times New Roman" w:cs="Times New Roman"/>
          <w:sz w:val="22"/>
        </w:rPr>
        <w:t>(Fleig et al., 2006; Yevjevich, 1967)</w:t>
      </w:r>
      <w:r w:rsidR="00177BC2">
        <w:rPr>
          <w:rFonts w:asciiTheme="majorBidi" w:hAnsiTheme="majorBidi" w:cstheme="majorBidi"/>
          <w:sz w:val="22"/>
          <w:szCs w:val="22"/>
        </w:rPr>
        <w:fldChar w:fldCharType="end"/>
      </w:r>
      <w:r w:rsidRPr="009B4D65">
        <w:rPr>
          <w:rFonts w:asciiTheme="majorBidi" w:hAnsiTheme="majorBidi" w:cstheme="majorBidi"/>
          <w:sz w:val="22"/>
          <w:szCs w:val="22"/>
        </w:rPr>
        <w:t xml:space="preserve"> with SLLI &lt; −1.0. Event metrics</w:t>
      </w:r>
      <w:r w:rsidR="007E4228">
        <w:rPr>
          <w:rFonts w:asciiTheme="majorBidi" w:hAnsiTheme="majorBidi" w:cstheme="majorBidi"/>
          <w:sz w:val="22"/>
          <w:szCs w:val="22"/>
        </w:rPr>
        <w:t>,</w:t>
      </w:r>
      <w:r w:rsidRPr="009B4D65">
        <w:rPr>
          <w:rFonts w:asciiTheme="majorBidi" w:hAnsiTheme="majorBidi" w:cstheme="majorBidi"/>
          <w:sz w:val="22"/>
          <w:szCs w:val="22"/>
        </w:rPr>
        <w:t xml:space="preserve"> duration </w:t>
      </w:r>
      <w:r w:rsidRPr="009B4D65">
        <w:rPr>
          <w:rFonts w:asciiTheme="majorBidi" w:hAnsiTheme="majorBidi" w:cstheme="majorBidi"/>
          <w:i/>
          <w:iCs/>
          <w:sz w:val="22"/>
          <w:szCs w:val="22"/>
        </w:rPr>
        <w:t>D</w:t>
      </w:r>
      <w:r w:rsidRPr="009B4D65">
        <w:rPr>
          <w:rFonts w:asciiTheme="majorBidi" w:hAnsiTheme="majorBidi" w:cstheme="majorBidi"/>
          <w:sz w:val="22"/>
          <w:szCs w:val="22"/>
        </w:rPr>
        <w:t xml:space="preserve">, severity </w:t>
      </w:r>
      <w:r w:rsidRPr="009B4D65">
        <w:rPr>
          <w:rFonts w:asciiTheme="majorBidi" w:hAnsiTheme="majorBidi" w:cstheme="majorBidi"/>
          <w:i/>
          <w:iCs/>
          <w:sz w:val="22"/>
          <w:szCs w:val="22"/>
        </w:rPr>
        <w:t>S</w:t>
      </w:r>
      <w:r w:rsidRPr="009B4D65">
        <w:rPr>
          <w:rFonts w:asciiTheme="majorBidi" w:hAnsiTheme="majorBidi" w:cstheme="majorBidi"/>
          <w:sz w:val="22"/>
          <w:szCs w:val="22"/>
        </w:rPr>
        <w:t xml:space="preserve"> (Σ|SLLI − (−1)|), and intensity </w:t>
      </w:r>
      <w:r w:rsidRPr="009B4D65">
        <w:rPr>
          <w:rFonts w:asciiTheme="majorBidi" w:hAnsiTheme="majorBidi" w:cstheme="majorBidi"/>
          <w:i/>
          <w:iCs/>
          <w:sz w:val="22"/>
          <w:szCs w:val="22"/>
        </w:rPr>
        <w:t>I</w:t>
      </w:r>
      <w:r w:rsidRPr="009B4D65">
        <w:rPr>
          <w:rFonts w:asciiTheme="majorBidi" w:hAnsiTheme="majorBidi" w:cstheme="majorBidi"/>
          <w:sz w:val="22"/>
          <w:szCs w:val="22"/>
        </w:rPr>
        <w:t xml:space="preserve"> (minimum SLLI)</w:t>
      </w:r>
      <w:r w:rsidR="007E4228">
        <w:rPr>
          <w:rFonts w:asciiTheme="majorBidi" w:hAnsiTheme="majorBidi" w:cstheme="majorBidi"/>
          <w:sz w:val="22"/>
          <w:szCs w:val="22"/>
        </w:rPr>
        <w:t>,</w:t>
      </w:r>
      <w:r w:rsidRPr="009B4D65">
        <w:rPr>
          <w:rFonts w:asciiTheme="majorBidi" w:hAnsiTheme="majorBidi" w:cstheme="majorBidi"/>
          <w:sz w:val="22"/>
          <w:szCs w:val="22"/>
        </w:rPr>
        <w:t xml:space="preserve"> were computed identically at both lakes. Propagation lag τ = </w:t>
      </w:r>
      <w:r w:rsidRPr="009B4D65">
        <w:rPr>
          <w:rFonts w:asciiTheme="majorBidi" w:hAnsiTheme="majorBidi" w:cstheme="majorBidi"/>
          <w:i/>
          <w:iCs/>
          <w:sz w:val="22"/>
          <w:szCs w:val="22"/>
        </w:rPr>
        <w:t>t</w:t>
      </w:r>
      <w:r w:rsidRPr="00DD15CD">
        <w:rPr>
          <w:rFonts w:asciiTheme="majorBidi" w:hAnsiTheme="majorBidi" w:cstheme="majorBidi"/>
          <w:sz w:val="22"/>
          <w:szCs w:val="22"/>
          <w:vertAlign w:val="subscript"/>
        </w:rPr>
        <w:t>hyd,onset</w:t>
      </w:r>
      <w:r w:rsidRPr="009B4D65">
        <w:rPr>
          <w:rFonts w:asciiTheme="majorBidi" w:hAnsiTheme="majorBidi" w:cstheme="majorBidi"/>
          <w:sz w:val="22"/>
          <w:szCs w:val="22"/>
        </w:rPr>
        <w:t xml:space="preserve"> − </w:t>
      </w:r>
      <w:r w:rsidRPr="009B4D65">
        <w:rPr>
          <w:rFonts w:asciiTheme="majorBidi" w:hAnsiTheme="majorBidi" w:cstheme="majorBidi"/>
          <w:i/>
          <w:iCs/>
          <w:sz w:val="22"/>
          <w:szCs w:val="22"/>
        </w:rPr>
        <w:t>t</w:t>
      </w:r>
      <w:r w:rsidRPr="00DD15CD">
        <w:rPr>
          <w:rFonts w:asciiTheme="majorBidi" w:hAnsiTheme="majorBidi" w:cstheme="majorBidi"/>
          <w:sz w:val="22"/>
          <w:szCs w:val="22"/>
          <w:vertAlign w:val="subscript"/>
        </w:rPr>
        <w:t>met,onset</w:t>
      </w:r>
      <w:r w:rsidRPr="009B4D65">
        <w:rPr>
          <w:rFonts w:asciiTheme="majorBidi" w:hAnsiTheme="majorBidi" w:cstheme="majorBidi"/>
          <w:sz w:val="22"/>
          <w:szCs w:val="22"/>
        </w:rPr>
        <w:t xml:space="preserve"> was defined as the interval from the first month of meteorological drought onset (SPI/SPEI &lt; −1.0) to the first month of SLLI &lt; −1.0, following the matching criteria of</w:t>
      </w:r>
      <w:r w:rsidR="00E95EA7">
        <w:rPr>
          <w:rFonts w:asciiTheme="majorBidi" w:hAnsiTheme="majorBidi" w:cstheme="majorBidi"/>
          <w:sz w:val="22"/>
          <w:szCs w:val="22"/>
        </w:rPr>
        <w:t xml:space="preserve"> </w:t>
      </w:r>
      <w:r w:rsidR="00E95EA7">
        <w:rPr>
          <w:rFonts w:asciiTheme="majorBidi" w:hAnsiTheme="majorBidi" w:cstheme="majorBidi"/>
          <w:sz w:val="22"/>
          <w:szCs w:val="22"/>
        </w:rPr>
        <w:fldChar w:fldCharType="begin"/>
      </w:r>
      <w:r w:rsidR="00E95EA7">
        <w:rPr>
          <w:rFonts w:asciiTheme="majorBidi" w:hAnsiTheme="majorBidi" w:cstheme="majorBidi"/>
          <w:sz w:val="22"/>
          <w:szCs w:val="22"/>
        </w:rPr>
        <w:instrText xml:space="preserve"> ADDIN ZOTERO_ITEM CSL_CITATION {"citationID":"ySwyW9dx","properties":{"unsorted":false,"formattedCitation":"(Van Lanen et al., 2013)","plainCitation":"(Van Lanen et al., 2013)","noteIndex":0},"citationItems":[{"id":1505,"uris":["http://zotero.org/users/16974576/items/U2RTCIAX"],"itemData":{"id":1505,"type":"article-journal","container-title":"Hydrology and Earth System Sciences","DOI":"10.5194/hess-17-1715-2013","issue":"5","page":"1715–1732","title":"Hydrological drought across the world: impact of climate and physical catchment structure","volume":"17","author":[{"family":"Van Lanen","given":"H. A. J."},{"family":"Wanders","given":"N."},{"family":"Tallaksen","given":"L. M."},{"family":"Van Loon","given":"A. F."}],"issued":{"date-parts":[["2013"]]}}}],"schema":"https://github.com/citation-style-language/schema/raw/master/csl-citation.json"} </w:instrText>
      </w:r>
      <w:r w:rsidR="00E95EA7">
        <w:rPr>
          <w:rFonts w:asciiTheme="majorBidi" w:hAnsiTheme="majorBidi" w:cstheme="majorBidi"/>
          <w:sz w:val="22"/>
          <w:szCs w:val="22"/>
        </w:rPr>
        <w:fldChar w:fldCharType="separate"/>
      </w:r>
      <w:r w:rsidR="00E95EA7" w:rsidRPr="00E95EA7">
        <w:rPr>
          <w:rFonts w:ascii="Times New Roman" w:hAnsi="Times New Roman" w:cs="Times New Roman"/>
          <w:sz w:val="22"/>
        </w:rPr>
        <w:t xml:space="preserve">Van Lanen et al. </w:t>
      </w:r>
      <w:r w:rsidR="00E95EA7">
        <w:rPr>
          <w:rFonts w:ascii="Times New Roman" w:hAnsi="Times New Roman" w:cs="Times New Roman"/>
          <w:sz w:val="22"/>
        </w:rPr>
        <w:t>(</w:t>
      </w:r>
      <w:r w:rsidR="00E95EA7" w:rsidRPr="00E95EA7">
        <w:rPr>
          <w:rFonts w:ascii="Times New Roman" w:hAnsi="Times New Roman" w:cs="Times New Roman"/>
          <w:sz w:val="22"/>
        </w:rPr>
        <w:t>2013)</w:t>
      </w:r>
      <w:r w:rsidR="00E95EA7">
        <w:rPr>
          <w:rFonts w:asciiTheme="majorBidi" w:hAnsiTheme="majorBidi" w:cstheme="majorBidi"/>
          <w:sz w:val="22"/>
          <w:szCs w:val="22"/>
        </w:rPr>
        <w:fldChar w:fldCharType="end"/>
      </w:r>
      <w:r w:rsidR="00E95EA7">
        <w:rPr>
          <w:rFonts w:asciiTheme="majorBidi" w:hAnsiTheme="majorBidi" w:cstheme="majorBidi"/>
          <w:sz w:val="22"/>
          <w:szCs w:val="22"/>
        </w:rPr>
        <w:t>.</w:t>
      </w:r>
      <w:r w:rsidRPr="00DD15CD">
        <w:rPr>
          <w:rFonts w:asciiTheme="majorBidi" w:hAnsiTheme="majorBidi" w:cstheme="majorBidi"/>
          <w:color w:val="EE0000"/>
          <w:sz w:val="22"/>
          <w:szCs w:val="22"/>
        </w:rPr>
        <w:t xml:space="preserve"> </w:t>
      </w:r>
      <w:r w:rsidRPr="009B4D65">
        <w:rPr>
          <w:rFonts w:asciiTheme="majorBidi" w:hAnsiTheme="majorBidi" w:cstheme="majorBidi"/>
          <w:sz w:val="22"/>
          <w:szCs w:val="22"/>
        </w:rPr>
        <w:t>At İznik (</w:t>
      </w:r>
      <w:r w:rsidRPr="009B4D65">
        <w:rPr>
          <w:rFonts w:asciiTheme="majorBidi" w:hAnsiTheme="majorBidi" w:cstheme="majorBidi"/>
          <w:i/>
          <w:iCs/>
          <w:sz w:val="22"/>
          <w:szCs w:val="22"/>
        </w:rPr>
        <w:t>n</w:t>
      </w:r>
      <w:r w:rsidRPr="009B4D65">
        <w:rPr>
          <w:rFonts w:asciiTheme="majorBidi" w:hAnsiTheme="majorBidi" w:cstheme="majorBidi"/>
          <w:sz w:val="22"/>
          <w:szCs w:val="22"/>
        </w:rPr>
        <w:t xml:space="preserve"> = 4 events), bootstrap confidence intervals on propagation lag are not estimable with statistical reliability, and reported values are single-event estimates. At Uluabat, a case-resampling bootstrap (B = </w:t>
      </w:r>
      <w:r w:rsidR="00CD00A4">
        <w:rPr>
          <w:rFonts w:asciiTheme="majorBidi" w:hAnsiTheme="majorBidi" w:cstheme="majorBidi"/>
          <w:sz w:val="22"/>
          <w:szCs w:val="22"/>
        </w:rPr>
        <w:t>5</w:t>
      </w:r>
      <w:r w:rsidRPr="009B4D65">
        <w:rPr>
          <w:rFonts w:asciiTheme="majorBidi" w:hAnsiTheme="majorBidi" w:cstheme="majorBidi"/>
          <w:sz w:val="22"/>
          <w:szCs w:val="22"/>
        </w:rPr>
        <w:t>00) on 39 SPEI-3 events yielded propagation rate: 30.8% [95% CI: 15.4–48.7%] and mean lag: 1.8 months [95% CI: 1.0–2.9 months].</w:t>
      </w:r>
    </w:p>
    <w:p w14:paraId="228EE6A8" w14:textId="17D484DE" w:rsidR="0083730C" w:rsidRPr="009B4D65" w:rsidRDefault="0083730C" w:rsidP="00DD15CD">
      <w:pPr>
        <w:pStyle w:val="Heading2"/>
      </w:pPr>
      <w:r w:rsidRPr="009B4D65">
        <w:t>S</w:t>
      </w:r>
      <w:r w:rsidR="00001BB2" w:rsidRPr="009B4D65">
        <w:t>3</w:t>
      </w:r>
      <w:r w:rsidRPr="009B4D65">
        <w:t>.6</w:t>
      </w:r>
      <w:r w:rsidR="00AF78B1" w:rsidRPr="009B4D65">
        <w:t>.</w:t>
      </w:r>
      <w:r w:rsidRPr="009B4D65">
        <w:t xml:space="preserve"> Attribution Models: OLS and HAC Inference</w:t>
      </w:r>
    </w:p>
    <w:p w14:paraId="5F337A45" w14:textId="77777777" w:rsidR="0083730C" w:rsidRPr="009B4D65" w:rsidRDefault="0083730C"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 xml:space="preserve">At Lake İznik, SLLI was regressed on all ten contemporaneous SPI/SPEI indices by OLS. The model achieved R² = 0.306 but the Durbin–Watson statistic (DW = 0.247) confirms severe positive residual autocorrelation, violating the OLS assumption of independent errors and producing anti-conservative standard errors. Newey–West HAC inference (truncation lag </w:t>
      </w:r>
      <w:r w:rsidRPr="009B4D65">
        <w:rPr>
          <w:rFonts w:ascii="Cambria Math" w:hAnsi="Cambria Math" w:cs="Cambria Math"/>
          <w:sz w:val="22"/>
          <w:szCs w:val="22"/>
        </w:rPr>
        <w:t>⌊</w:t>
      </w:r>
      <w:r w:rsidRPr="009B4D65">
        <w:rPr>
          <w:rFonts w:asciiTheme="majorBidi" w:hAnsiTheme="majorBidi" w:cstheme="majorBidi"/>
          <w:sz w:val="22"/>
          <w:szCs w:val="22"/>
        </w:rPr>
        <w:t>4(n/100)^(2/9)</w:t>
      </w:r>
      <w:r w:rsidRPr="009B4D65">
        <w:rPr>
          <w:rFonts w:ascii="Cambria Math" w:hAnsi="Cambria Math" w:cs="Cambria Math"/>
          <w:sz w:val="22"/>
          <w:szCs w:val="22"/>
        </w:rPr>
        <w:t>⌋</w:t>
      </w:r>
      <w:r w:rsidRPr="009B4D65">
        <w:rPr>
          <w:rFonts w:asciiTheme="majorBidi" w:hAnsiTheme="majorBidi" w:cstheme="majorBidi"/>
          <w:sz w:val="22"/>
          <w:szCs w:val="22"/>
        </w:rPr>
        <w:t xml:space="preserve"> ≈ 9 months) is recommended before interpreting individual predictor significance. The large condition number (κ = 24.8) falls below the conventional multicollinearity threshold, but the opposing signs of SPI-24 and SPEI-24 reflect partial extraction of the PET component and warrant interpretive caution.</w:t>
      </w:r>
    </w:p>
    <w:p w14:paraId="54E68E98" w14:textId="696D0B8C" w:rsidR="0083730C" w:rsidRPr="009B4D65" w:rsidRDefault="0083730C"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At Lake Uluabat, the two-predictor model (SPEI-3(</w:t>
      </w:r>
      <w:r w:rsidRPr="009B4D65">
        <w:rPr>
          <w:rFonts w:asciiTheme="majorBidi" w:hAnsiTheme="majorBidi" w:cstheme="majorBidi"/>
          <w:i/>
          <w:iCs/>
          <w:sz w:val="22"/>
          <w:szCs w:val="22"/>
        </w:rPr>
        <w:t>t</w:t>
      </w:r>
      <w:r w:rsidRPr="009B4D65">
        <w:rPr>
          <w:rFonts w:asciiTheme="majorBidi" w:hAnsiTheme="majorBidi" w:cstheme="majorBidi"/>
          <w:sz w:val="22"/>
          <w:szCs w:val="22"/>
        </w:rPr>
        <w:t>−1), SPEI-6(</w:t>
      </w:r>
      <w:r w:rsidRPr="009B4D65">
        <w:rPr>
          <w:rFonts w:asciiTheme="majorBidi" w:hAnsiTheme="majorBidi" w:cstheme="majorBidi"/>
          <w:i/>
          <w:iCs/>
          <w:sz w:val="22"/>
          <w:szCs w:val="22"/>
        </w:rPr>
        <w:t>t</w:t>
      </w:r>
      <w:r w:rsidRPr="009B4D65">
        <w:rPr>
          <w:rFonts w:asciiTheme="majorBidi" w:hAnsiTheme="majorBidi" w:cstheme="majorBidi"/>
          <w:sz w:val="22"/>
          <w:szCs w:val="22"/>
        </w:rPr>
        <w:t xml:space="preserve">)) was pre-specified from the cross-correlation results; no stepwise selection or data-dredging was employed. </w:t>
      </w:r>
      <w:r w:rsidR="00541381" w:rsidRPr="00873AE8">
        <w:rPr>
          <w:rFonts w:asciiTheme="majorBidi" w:hAnsiTheme="majorBidi" w:cstheme="majorBidi"/>
          <w:sz w:val="22"/>
          <w:szCs w:val="22"/>
        </w:rPr>
        <w:t>Newey–West HAC (12-lag Bartlett kernel)</w:t>
      </w:r>
      <w:r w:rsidR="00541381">
        <w:rPr>
          <w:rFonts w:asciiTheme="majorBidi" w:hAnsiTheme="majorBidi" w:cstheme="majorBidi"/>
          <w:sz w:val="22"/>
          <w:szCs w:val="22"/>
        </w:rPr>
        <w:t xml:space="preserve"> </w:t>
      </w:r>
      <w:r w:rsidRPr="009B4D65">
        <w:rPr>
          <w:rFonts w:asciiTheme="majorBidi" w:hAnsiTheme="majorBidi" w:cstheme="majorBidi"/>
          <w:sz w:val="22"/>
          <w:szCs w:val="22"/>
        </w:rPr>
        <w:t>was applied throughout, yielding both predictors significant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 ≤ 0.017). The Jarque–Bera test indicated minor residual non-normality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 = 0.037); HAC coefficient estimates remain consistent regardless of residual distribution. The condition number (κ = 2.44) confirms negligible multicollinearity. The low R² (0.122) reflects primarily anthropogenic water abstractions rather than model misspecification, and should be interpreted as a lower bound on climatic influence under a climate-only model specification.</w:t>
      </w:r>
    </w:p>
    <w:p w14:paraId="2BF93BC8" w14:textId="4EF9F50A" w:rsidR="0083730C" w:rsidRPr="009B4D65" w:rsidRDefault="0083730C" w:rsidP="00DD15CD">
      <w:pPr>
        <w:pStyle w:val="Heading2"/>
      </w:pPr>
      <w:r w:rsidRPr="009B4D65">
        <w:t>S</w:t>
      </w:r>
      <w:r w:rsidR="00001BB2" w:rsidRPr="009B4D65">
        <w:t>3</w:t>
      </w:r>
      <w:r w:rsidRPr="009B4D65">
        <w:t>.7</w:t>
      </w:r>
      <w:r w:rsidR="00AF78B1" w:rsidRPr="009B4D65">
        <w:t>.</w:t>
      </w:r>
      <w:r w:rsidRPr="009B4D65">
        <w:t xml:space="preserve"> VAR Models and Granger Causality</w:t>
      </w:r>
    </w:p>
    <w:p w14:paraId="4A33C3AB" w14:textId="102EF6FF" w:rsidR="0083730C" w:rsidRPr="009B4D65" w:rsidRDefault="0083730C" w:rsidP="009B4D65">
      <w:pPr>
        <w:spacing w:line="276" w:lineRule="auto"/>
        <w:rPr>
          <w:rFonts w:asciiTheme="majorBidi" w:hAnsiTheme="majorBidi" w:cstheme="majorBidi"/>
          <w:sz w:val="22"/>
          <w:szCs w:val="22"/>
        </w:rPr>
      </w:pPr>
      <w:r w:rsidRPr="009B4D65">
        <w:rPr>
          <w:rFonts w:asciiTheme="majorBidi" w:hAnsiTheme="majorBidi" w:cstheme="majorBidi"/>
          <w:sz w:val="22"/>
          <w:szCs w:val="22"/>
        </w:rPr>
        <w:t xml:space="preserve">Bivariate VAR models were estimated for (SPEI-3, SLLI) at Uluabat and (SPI-12/SPEI-12, SLLI) at İznik. Lag order was selected by AIC over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 = 1–12: AIC-optimal at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 = 11 for Uluabat (AIC = −2.081) and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 = 12 for İznik (AIC = −7.923), while BIC selected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 = 1 in both cases. AIC-selected models were retained for Granger tests to preserve the lag structure physically motivated by the respective propagation timescales. Granger causality was tested via block-</w:t>
      </w:r>
      <w:r w:rsidRPr="009B4D65">
        <w:rPr>
          <w:rFonts w:asciiTheme="majorBidi" w:hAnsiTheme="majorBidi" w:cstheme="majorBidi"/>
          <w:i/>
          <w:iCs/>
          <w:sz w:val="22"/>
          <w:szCs w:val="22"/>
        </w:rPr>
        <w:t>F</w:t>
      </w:r>
      <w:r w:rsidRPr="009B4D65">
        <w:rPr>
          <w:rFonts w:asciiTheme="majorBidi" w:hAnsiTheme="majorBidi" w:cstheme="majorBidi"/>
          <w:sz w:val="22"/>
          <w:szCs w:val="22"/>
        </w:rPr>
        <w:t xml:space="preserve"> comparison of restricted (SLLI-only autoregression) vs. unrestricted (SLLI + lagged meteorological index) models. At İznik, bootstrapped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-values (MBB; </w:t>
      </w:r>
      <w:r w:rsidRPr="009B4D65">
        <w:rPr>
          <w:rFonts w:asciiTheme="majorBidi" w:hAnsiTheme="majorBidi" w:cstheme="majorBidi"/>
          <w:i/>
          <w:iCs/>
          <w:sz w:val="22"/>
          <w:szCs w:val="22"/>
        </w:rPr>
        <w:t>B</w:t>
      </w:r>
      <w:r w:rsidRPr="009B4D65">
        <w:rPr>
          <w:rFonts w:asciiTheme="majorBidi" w:hAnsiTheme="majorBidi" w:cstheme="majorBidi"/>
          <w:sz w:val="22"/>
          <w:szCs w:val="22"/>
        </w:rPr>
        <w:t xml:space="preserve"> = 5000; block length = 27 months) confirmed SPEI-12 and SPI-12 significance at lag </w:t>
      </w:r>
      <w:r w:rsidRPr="009B4D65">
        <w:rPr>
          <w:rFonts w:asciiTheme="majorBidi" w:hAnsiTheme="majorBidi" w:cstheme="majorBidi"/>
          <w:i/>
          <w:iCs/>
          <w:sz w:val="22"/>
          <w:szCs w:val="22"/>
        </w:rPr>
        <w:t>p</w:t>
      </w:r>
      <w:r w:rsidRPr="009B4D65">
        <w:rPr>
          <w:rFonts w:asciiTheme="majorBidi" w:hAnsiTheme="majorBidi" w:cstheme="majorBidi"/>
          <w:sz w:val="22"/>
          <w:szCs w:val="22"/>
        </w:rPr>
        <w:t xml:space="preserve"> = 12 (</w:t>
      </w:r>
      <w:r w:rsidRPr="009B4D65">
        <w:rPr>
          <w:rFonts w:asciiTheme="majorBidi" w:hAnsiTheme="majorBidi" w:cstheme="majorBidi"/>
          <w:i/>
          <w:iCs/>
          <w:sz w:val="22"/>
          <w:szCs w:val="22"/>
        </w:rPr>
        <w:t>p</w:t>
      </w:r>
      <w:r w:rsidRPr="009B4D65">
        <w:rPr>
          <w:rFonts w:asciiTheme="majorBidi" w:hAnsiTheme="majorBidi" w:cstheme="majorBidi"/>
          <w:sz w:val="22"/>
          <w:szCs w:val="22"/>
        </w:rPr>
        <w:t>boot = 0.031 and 0.044, respectively). Cross-equation residual correlation in the Uluabat VAR(11) model was low (ρ = 0.104), consistent with pre-whitened correlation results.</w:t>
      </w:r>
    </w:p>
    <w:p w14:paraId="799F0965" w14:textId="084A3A4E" w:rsidR="00001BB2" w:rsidRPr="009B4D65" w:rsidRDefault="00001BB2" w:rsidP="00DD15CD">
      <w:pPr>
        <w:pStyle w:val="Heading1"/>
      </w:pPr>
      <w:r w:rsidRPr="009B4D65">
        <w:t xml:space="preserve">S4. </w:t>
      </w:r>
      <w:r w:rsidR="00D03728" w:rsidRPr="009B4D65">
        <w:t>Drought Event Characteristics</w:t>
      </w:r>
    </w:p>
    <w:p w14:paraId="65386B7D" w14:textId="012DAE2E" w:rsidR="00001BB2" w:rsidRPr="009B4D65" w:rsidRDefault="00DD15CD" w:rsidP="009B4D65">
      <w:pPr>
        <w:spacing w:line="276" w:lineRule="auto"/>
        <w:rPr>
          <w:rFonts w:asciiTheme="majorBidi" w:hAnsiTheme="majorBidi" w:cstheme="majorBidi"/>
          <w:sz w:val="22"/>
          <w:szCs w:val="22"/>
        </w:rPr>
      </w:pPr>
      <w:r w:rsidRPr="00DD15CD">
        <w:rPr>
          <w:rFonts w:asciiTheme="majorBidi" w:hAnsiTheme="majorBidi" w:cstheme="majorBidi"/>
          <w:sz w:val="22"/>
          <w:szCs w:val="22"/>
        </w:rPr>
        <w:fldChar w:fldCharType="begin"/>
      </w:r>
      <w:r w:rsidRPr="00DD15CD">
        <w:rPr>
          <w:rFonts w:asciiTheme="majorBidi" w:hAnsiTheme="majorBidi" w:cstheme="majorBidi"/>
          <w:sz w:val="22"/>
          <w:szCs w:val="22"/>
        </w:rPr>
        <w:instrText xml:space="preserve"> REF _Ref232335186 \h  \* MERGEFORMAT </w:instrText>
      </w:r>
      <w:r w:rsidRPr="00DD15CD">
        <w:rPr>
          <w:rFonts w:asciiTheme="majorBidi" w:hAnsiTheme="majorBidi" w:cstheme="majorBidi"/>
          <w:sz w:val="22"/>
          <w:szCs w:val="22"/>
        </w:rPr>
      </w:r>
      <w:r w:rsidRPr="00DD15CD">
        <w:rPr>
          <w:rFonts w:asciiTheme="majorBidi" w:hAnsiTheme="majorBidi" w:cstheme="majorBidi"/>
          <w:sz w:val="22"/>
          <w:szCs w:val="22"/>
        </w:rPr>
        <w:fldChar w:fldCharType="separate"/>
      </w:r>
      <w:r w:rsidRPr="00DD15CD">
        <w:rPr>
          <w:rFonts w:asciiTheme="majorBidi" w:hAnsiTheme="majorBidi" w:cstheme="majorBidi"/>
          <w:sz w:val="22"/>
          <w:szCs w:val="22"/>
        </w:rPr>
        <w:t xml:space="preserve">Table S </w:t>
      </w:r>
      <w:r w:rsidRPr="00DD15CD">
        <w:rPr>
          <w:rFonts w:asciiTheme="majorBidi" w:hAnsiTheme="majorBidi" w:cstheme="majorBidi"/>
          <w:noProof/>
          <w:sz w:val="22"/>
          <w:szCs w:val="22"/>
        </w:rPr>
        <w:t>10</w:t>
      </w:r>
      <w:r w:rsidRPr="00DD15CD">
        <w:rPr>
          <w:rFonts w:asciiTheme="majorBidi" w:hAnsiTheme="majorBidi" w:cstheme="majorBidi"/>
          <w:sz w:val="22"/>
          <w:szCs w:val="22"/>
        </w:rPr>
        <w:fldChar w:fldCharType="end"/>
      </w:r>
      <w:r w:rsidRPr="00DD15CD">
        <w:rPr>
          <w:rFonts w:asciiTheme="majorBidi" w:hAnsiTheme="majorBidi" w:cstheme="majorBidi"/>
          <w:sz w:val="22"/>
          <w:szCs w:val="22"/>
        </w:rPr>
        <w:t xml:space="preserve"> and </w:t>
      </w:r>
      <w:r w:rsidRPr="00DD15CD">
        <w:rPr>
          <w:rFonts w:asciiTheme="majorBidi" w:hAnsiTheme="majorBidi" w:cstheme="majorBidi"/>
          <w:sz w:val="22"/>
          <w:szCs w:val="22"/>
        </w:rPr>
        <w:fldChar w:fldCharType="begin"/>
      </w:r>
      <w:r w:rsidRPr="00DD15CD">
        <w:rPr>
          <w:rFonts w:asciiTheme="majorBidi" w:hAnsiTheme="majorBidi" w:cstheme="majorBidi"/>
          <w:sz w:val="22"/>
          <w:szCs w:val="22"/>
        </w:rPr>
        <w:instrText xml:space="preserve"> REF _Ref232335190 \h  \* MERGEFORMAT </w:instrText>
      </w:r>
      <w:r w:rsidRPr="00DD15CD">
        <w:rPr>
          <w:rFonts w:asciiTheme="majorBidi" w:hAnsiTheme="majorBidi" w:cstheme="majorBidi"/>
          <w:sz w:val="22"/>
          <w:szCs w:val="22"/>
        </w:rPr>
      </w:r>
      <w:r w:rsidRPr="00DD15CD">
        <w:rPr>
          <w:rFonts w:asciiTheme="majorBidi" w:hAnsiTheme="majorBidi" w:cstheme="majorBidi"/>
          <w:sz w:val="22"/>
          <w:szCs w:val="22"/>
        </w:rPr>
        <w:fldChar w:fldCharType="separate"/>
      </w:r>
      <w:r w:rsidRPr="00DD15CD">
        <w:rPr>
          <w:rFonts w:asciiTheme="majorBidi" w:hAnsiTheme="majorBidi" w:cstheme="majorBidi"/>
          <w:sz w:val="22"/>
          <w:szCs w:val="22"/>
        </w:rPr>
        <w:t xml:space="preserve">Table S </w:t>
      </w:r>
      <w:r w:rsidRPr="00DD15CD">
        <w:rPr>
          <w:rFonts w:asciiTheme="majorBidi" w:hAnsiTheme="majorBidi" w:cstheme="majorBidi"/>
          <w:noProof/>
          <w:sz w:val="22"/>
          <w:szCs w:val="22"/>
        </w:rPr>
        <w:t>11</w:t>
      </w:r>
      <w:r w:rsidRPr="00DD15CD">
        <w:rPr>
          <w:rFonts w:asciiTheme="majorBidi" w:hAnsiTheme="majorBidi" w:cstheme="majorBidi"/>
          <w:sz w:val="22"/>
          <w:szCs w:val="22"/>
        </w:rPr>
        <w:fldChar w:fldCharType="end"/>
      </w:r>
      <w:r w:rsidR="00001BB2" w:rsidRPr="009B4D65">
        <w:rPr>
          <w:rFonts w:asciiTheme="majorBidi" w:hAnsiTheme="majorBidi" w:cstheme="majorBidi"/>
          <w:sz w:val="22"/>
          <w:szCs w:val="22"/>
        </w:rPr>
        <w:t>provide expanded characteristics for the hydrological drought events identified at the SLLI ≤ −1.0 threshold, including antecedent meteorological conditions and event-level propagation metrics.</w:t>
      </w:r>
    </w:p>
    <w:p w14:paraId="181BE365" w14:textId="7AE9F6D3" w:rsidR="00D03728" w:rsidRPr="009B4D65" w:rsidRDefault="00D03728" w:rsidP="00DD15CD">
      <w:pPr>
        <w:pStyle w:val="Heading2"/>
      </w:pPr>
      <w:r w:rsidRPr="009B4D65">
        <w:t>S4.1. Lake Iznik</w:t>
      </w:r>
      <w:r w:rsidR="00F33F8B" w:rsidRPr="009B4D65">
        <w:t xml:space="preserve">, </w:t>
      </w:r>
      <w:r w:rsidR="00AF78B1" w:rsidRPr="009B4D65">
        <w:t>hydrological</w:t>
      </w:r>
      <w:r w:rsidR="00F33F8B" w:rsidRPr="009B4D65">
        <w:t xml:space="preserve"> drought event details</w:t>
      </w:r>
    </w:p>
    <w:p w14:paraId="7A17AD70" w14:textId="2638F3FA" w:rsidR="00F33F8B" w:rsidRPr="009B4D65" w:rsidRDefault="002F41C5" w:rsidP="002F41C5">
      <w:pPr>
        <w:pStyle w:val="Caption"/>
        <w:rPr>
          <w:rFonts w:cstheme="majorBidi"/>
          <w:sz w:val="22"/>
          <w:szCs w:val="22"/>
        </w:rPr>
      </w:pPr>
      <w:bookmarkStart w:id="7" w:name="_Ref232335186"/>
      <w:r>
        <w:t xml:space="preserve">Table S </w:t>
      </w:r>
      <w:fldSimple w:instr=" SEQ Table_S \* ARABIC ">
        <w:r>
          <w:rPr>
            <w:noProof/>
          </w:rPr>
          <w:t>10</w:t>
        </w:r>
      </w:fldSimple>
      <w:bookmarkEnd w:id="7"/>
      <w:r>
        <w:t>.</w:t>
      </w:r>
      <w:r w:rsidR="00F33F8B" w:rsidRPr="009B4D65">
        <w:rPr>
          <w:rFonts w:cstheme="majorBidi"/>
          <w:b/>
          <w:sz w:val="22"/>
          <w:szCs w:val="22"/>
        </w:rPr>
        <w:t xml:space="preserve"> </w:t>
      </w:r>
      <w:r w:rsidR="00F33F8B" w:rsidRPr="009B4D65">
        <w:rPr>
          <w:rFonts w:cstheme="majorBidi"/>
          <w:sz w:val="22"/>
          <w:szCs w:val="22"/>
        </w:rPr>
        <w:t>Characteristics of hydrological drought events at Lake İznik (January 1993–December 2024; SLLI &lt; −1.0 threshold). Severity = Σ|SLLI − (−1.0)| for event months. Propagation lag is estimated as the interval in months from antecedent meteorological drought onset to SLLI onset.</w:t>
      </w:r>
    </w:p>
    <w:tbl>
      <w:tblPr>
        <w:tblStyle w:val="Elsevier"/>
        <w:tblW w:w="5000" w:type="pct"/>
        <w:tblLook w:val="04A0" w:firstRow="1" w:lastRow="0" w:firstColumn="1" w:lastColumn="0" w:noHBand="0" w:noVBand="1"/>
      </w:tblPr>
      <w:tblGrid>
        <w:gridCol w:w="875"/>
        <w:gridCol w:w="1092"/>
        <w:gridCol w:w="1224"/>
        <w:gridCol w:w="955"/>
        <w:gridCol w:w="955"/>
        <w:gridCol w:w="1125"/>
        <w:gridCol w:w="1923"/>
        <w:gridCol w:w="1211"/>
      </w:tblGrid>
      <w:tr w:rsidR="00F33F8B" w:rsidRPr="009B4D65" w14:paraId="26AA722E" w14:textId="77777777" w:rsidTr="00441C3E">
        <w:tc>
          <w:tcPr>
            <w:tcW w:w="467" w:type="pct"/>
            <w:tcBorders>
              <w:top w:val="single" w:sz="4" w:space="0" w:color="auto"/>
              <w:bottom w:val="single" w:sz="4" w:space="0" w:color="auto"/>
            </w:tcBorders>
          </w:tcPr>
          <w:p w14:paraId="79659646" w14:textId="77777777" w:rsidR="00F33F8B" w:rsidRPr="009B4D65" w:rsidRDefault="00F33F8B" w:rsidP="009B4D65">
            <w:pPr>
              <w:spacing w:line="276" w:lineRule="auto"/>
              <w:jc w:val="center"/>
              <w:rPr>
                <w:rFonts w:asciiTheme="majorBidi" w:hAnsiTheme="majorBidi" w:cstheme="majorBidi"/>
                <w:szCs w:val="22"/>
              </w:rPr>
            </w:pPr>
            <w:r w:rsidRPr="009B4D65">
              <w:rPr>
                <w:rFonts w:asciiTheme="majorBidi" w:hAnsiTheme="majorBidi" w:cstheme="majorBidi"/>
                <w:b/>
                <w:szCs w:val="22"/>
              </w:rPr>
              <w:t>Event</w:t>
            </w:r>
          </w:p>
        </w:tc>
        <w:tc>
          <w:tcPr>
            <w:tcW w:w="583" w:type="pct"/>
            <w:tcBorders>
              <w:top w:val="single" w:sz="4" w:space="0" w:color="auto"/>
              <w:bottom w:val="single" w:sz="4" w:space="0" w:color="auto"/>
            </w:tcBorders>
          </w:tcPr>
          <w:p w14:paraId="4942ED8C" w14:textId="77777777" w:rsidR="00F33F8B" w:rsidRPr="009B4D65" w:rsidRDefault="00F33F8B" w:rsidP="009B4D65">
            <w:pPr>
              <w:spacing w:line="276" w:lineRule="auto"/>
              <w:jc w:val="center"/>
              <w:rPr>
                <w:rFonts w:asciiTheme="majorBidi" w:hAnsiTheme="majorBidi" w:cstheme="majorBidi"/>
                <w:szCs w:val="22"/>
              </w:rPr>
            </w:pPr>
            <w:r w:rsidRPr="009B4D65">
              <w:rPr>
                <w:rFonts w:asciiTheme="majorBidi" w:hAnsiTheme="majorBidi" w:cstheme="majorBidi"/>
                <w:b/>
                <w:szCs w:val="22"/>
              </w:rPr>
              <w:t>Period</w:t>
            </w:r>
          </w:p>
        </w:tc>
        <w:tc>
          <w:tcPr>
            <w:tcW w:w="654" w:type="pct"/>
            <w:tcBorders>
              <w:top w:val="single" w:sz="4" w:space="0" w:color="auto"/>
              <w:bottom w:val="single" w:sz="4" w:space="0" w:color="auto"/>
            </w:tcBorders>
          </w:tcPr>
          <w:p w14:paraId="279FDFEA" w14:textId="77777777" w:rsidR="00F33F8B" w:rsidRPr="009B4D65" w:rsidRDefault="00F33F8B" w:rsidP="009B4D65">
            <w:pPr>
              <w:spacing w:line="276" w:lineRule="auto"/>
              <w:jc w:val="center"/>
              <w:rPr>
                <w:rFonts w:asciiTheme="majorBidi" w:hAnsiTheme="majorBidi" w:cstheme="majorBidi"/>
                <w:szCs w:val="22"/>
              </w:rPr>
            </w:pPr>
            <w:r w:rsidRPr="009B4D65">
              <w:rPr>
                <w:rFonts w:asciiTheme="majorBidi" w:hAnsiTheme="majorBidi" w:cstheme="majorBidi"/>
                <w:b/>
                <w:szCs w:val="22"/>
              </w:rPr>
              <w:t>Duration (months)</w:t>
            </w:r>
          </w:p>
        </w:tc>
        <w:tc>
          <w:tcPr>
            <w:tcW w:w="510" w:type="pct"/>
            <w:tcBorders>
              <w:top w:val="single" w:sz="4" w:space="0" w:color="auto"/>
              <w:bottom w:val="single" w:sz="4" w:space="0" w:color="auto"/>
            </w:tcBorders>
          </w:tcPr>
          <w:p w14:paraId="3B5DD57F" w14:textId="77777777" w:rsidR="00F33F8B" w:rsidRPr="009B4D65" w:rsidRDefault="00F33F8B" w:rsidP="009B4D65">
            <w:pPr>
              <w:spacing w:line="276" w:lineRule="auto"/>
              <w:jc w:val="center"/>
              <w:rPr>
                <w:rFonts w:asciiTheme="majorBidi" w:hAnsiTheme="majorBidi" w:cstheme="majorBidi"/>
                <w:szCs w:val="22"/>
              </w:rPr>
            </w:pPr>
            <w:r w:rsidRPr="009B4D65">
              <w:rPr>
                <w:rFonts w:asciiTheme="majorBidi" w:hAnsiTheme="majorBidi" w:cstheme="majorBidi"/>
                <w:b/>
                <w:szCs w:val="22"/>
              </w:rPr>
              <w:t>Min. SLLI</w:t>
            </w:r>
          </w:p>
        </w:tc>
        <w:tc>
          <w:tcPr>
            <w:tcW w:w="510" w:type="pct"/>
            <w:tcBorders>
              <w:top w:val="single" w:sz="4" w:space="0" w:color="auto"/>
              <w:bottom w:val="single" w:sz="4" w:space="0" w:color="auto"/>
            </w:tcBorders>
          </w:tcPr>
          <w:p w14:paraId="19D4398A" w14:textId="77777777" w:rsidR="00F33F8B" w:rsidRPr="009B4D65" w:rsidRDefault="00F33F8B" w:rsidP="009B4D65">
            <w:pPr>
              <w:spacing w:line="276" w:lineRule="auto"/>
              <w:jc w:val="center"/>
              <w:rPr>
                <w:rFonts w:asciiTheme="majorBidi" w:hAnsiTheme="majorBidi" w:cstheme="majorBidi"/>
                <w:szCs w:val="22"/>
              </w:rPr>
            </w:pPr>
            <w:r w:rsidRPr="009B4D65">
              <w:rPr>
                <w:rFonts w:asciiTheme="majorBidi" w:hAnsiTheme="majorBidi" w:cstheme="majorBidi"/>
                <w:b/>
                <w:szCs w:val="22"/>
              </w:rPr>
              <w:t>Mean SLLI</w:t>
            </w:r>
          </w:p>
        </w:tc>
        <w:tc>
          <w:tcPr>
            <w:tcW w:w="601" w:type="pct"/>
            <w:tcBorders>
              <w:top w:val="single" w:sz="4" w:space="0" w:color="auto"/>
              <w:bottom w:val="single" w:sz="4" w:space="0" w:color="auto"/>
            </w:tcBorders>
          </w:tcPr>
          <w:p w14:paraId="7DB012C9" w14:textId="77777777" w:rsidR="00F33F8B" w:rsidRPr="009B4D65" w:rsidRDefault="00F33F8B" w:rsidP="009B4D65">
            <w:pPr>
              <w:spacing w:line="276" w:lineRule="auto"/>
              <w:jc w:val="center"/>
              <w:rPr>
                <w:rFonts w:asciiTheme="majorBidi" w:hAnsiTheme="majorBidi" w:cstheme="majorBidi"/>
                <w:szCs w:val="22"/>
              </w:rPr>
            </w:pPr>
            <w:r w:rsidRPr="009B4D65">
              <w:rPr>
                <w:rFonts w:asciiTheme="majorBidi" w:hAnsiTheme="majorBidi" w:cstheme="majorBidi"/>
                <w:b/>
                <w:szCs w:val="22"/>
              </w:rPr>
              <w:t>Severity</w:t>
            </w:r>
          </w:p>
        </w:tc>
        <w:tc>
          <w:tcPr>
            <w:tcW w:w="1027" w:type="pct"/>
            <w:tcBorders>
              <w:top w:val="single" w:sz="4" w:space="0" w:color="auto"/>
              <w:bottom w:val="single" w:sz="4" w:space="0" w:color="auto"/>
            </w:tcBorders>
          </w:tcPr>
          <w:p w14:paraId="66CD96F0" w14:textId="77777777" w:rsidR="00F33F8B" w:rsidRPr="009B4D65" w:rsidRDefault="00F33F8B" w:rsidP="009B4D65">
            <w:pPr>
              <w:spacing w:line="276" w:lineRule="auto"/>
              <w:jc w:val="center"/>
              <w:rPr>
                <w:rFonts w:asciiTheme="majorBidi" w:hAnsiTheme="majorBidi" w:cstheme="majorBidi"/>
                <w:szCs w:val="22"/>
              </w:rPr>
            </w:pPr>
            <w:r w:rsidRPr="009B4D65">
              <w:rPr>
                <w:rFonts w:asciiTheme="majorBidi" w:hAnsiTheme="majorBidi" w:cstheme="majorBidi"/>
                <w:b/>
                <w:szCs w:val="22"/>
              </w:rPr>
              <w:t>Antecedent index (onset)</w:t>
            </w:r>
          </w:p>
        </w:tc>
        <w:tc>
          <w:tcPr>
            <w:tcW w:w="647" w:type="pct"/>
            <w:tcBorders>
              <w:top w:val="single" w:sz="4" w:space="0" w:color="auto"/>
              <w:bottom w:val="single" w:sz="4" w:space="0" w:color="auto"/>
            </w:tcBorders>
          </w:tcPr>
          <w:p w14:paraId="78246102" w14:textId="77777777" w:rsidR="00F33F8B" w:rsidRPr="009B4D65" w:rsidRDefault="00F33F8B" w:rsidP="009B4D65">
            <w:pPr>
              <w:spacing w:line="276" w:lineRule="auto"/>
              <w:jc w:val="center"/>
              <w:rPr>
                <w:rFonts w:asciiTheme="majorBidi" w:hAnsiTheme="majorBidi" w:cstheme="majorBidi"/>
                <w:szCs w:val="22"/>
              </w:rPr>
            </w:pPr>
            <w:r w:rsidRPr="009B4D65">
              <w:rPr>
                <w:rFonts w:asciiTheme="majorBidi" w:hAnsiTheme="majorBidi" w:cstheme="majorBidi"/>
                <w:b/>
                <w:szCs w:val="22"/>
              </w:rPr>
              <w:t>Lag (months)</w:t>
            </w:r>
          </w:p>
        </w:tc>
      </w:tr>
      <w:tr w:rsidR="00441C3E" w:rsidRPr="009B4D65" w14:paraId="7BFBDCD3" w14:textId="77777777" w:rsidTr="00441C3E">
        <w:tc>
          <w:tcPr>
            <w:tcW w:w="467" w:type="pct"/>
            <w:tcBorders>
              <w:top w:val="single" w:sz="4" w:space="0" w:color="auto"/>
            </w:tcBorders>
          </w:tcPr>
          <w:p w14:paraId="73EB0A47" w14:textId="77777777"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1</w:t>
            </w:r>
          </w:p>
        </w:tc>
        <w:tc>
          <w:tcPr>
            <w:tcW w:w="583" w:type="pct"/>
            <w:tcBorders>
              <w:top w:val="single" w:sz="4" w:space="0" w:color="auto"/>
            </w:tcBorders>
          </w:tcPr>
          <w:p w14:paraId="1AF62F25" w14:textId="3EB3E9A1"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Oct–</w:t>
            </w:r>
            <w:r>
              <w:rPr>
                <w:rFonts w:asciiTheme="majorBidi" w:hAnsiTheme="majorBidi" w:cstheme="majorBidi"/>
                <w:szCs w:val="22"/>
              </w:rPr>
              <w:t>Dec</w:t>
            </w:r>
            <w:r w:rsidRPr="009B4D65">
              <w:rPr>
                <w:rFonts w:asciiTheme="majorBidi" w:hAnsiTheme="majorBidi" w:cstheme="majorBidi"/>
                <w:szCs w:val="22"/>
              </w:rPr>
              <w:t xml:space="preserve"> 2009</w:t>
            </w:r>
          </w:p>
        </w:tc>
        <w:tc>
          <w:tcPr>
            <w:tcW w:w="654" w:type="pct"/>
            <w:tcBorders>
              <w:top w:val="single" w:sz="4" w:space="0" w:color="auto"/>
            </w:tcBorders>
          </w:tcPr>
          <w:p w14:paraId="717B60E6" w14:textId="074B80BB" w:rsidR="00441C3E" w:rsidRPr="009B4D65" w:rsidRDefault="00441C3E" w:rsidP="00441C3E">
            <w:pPr>
              <w:spacing w:line="276" w:lineRule="auto"/>
              <w:jc w:val="center"/>
              <w:rPr>
                <w:rFonts w:asciiTheme="majorBidi" w:hAnsiTheme="majorBidi" w:cstheme="majorBidi"/>
                <w:szCs w:val="22"/>
              </w:rPr>
            </w:pPr>
            <w:r w:rsidRPr="000B14C8">
              <w:t>3</w:t>
            </w:r>
          </w:p>
        </w:tc>
        <w:tc>
          <w:tcPr>
            <w:tcW w:w="510" w:type="pct"/>
            <w:tcBorders>
              <w:top w:val="single" w:sz="4" w:space="0" w:color="auto"/>
            </w:tcBorders>
          </w:tcPr>
          <w:p w14:paraId="25415C2E" w14:textId="77777777"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−1.097</w:t>
            </w:r>
          </w:p>
        </w:tc>
        <w:tc>
          <w:tcPr>
            <w:tcW w:w="510" w:type="pct"/>
            <w:tcBorders>
              <w:top w:val="single" w:sz="4" w:space="0" w:color="auto"/>
            </w:tcBorders>
          </w:tcPr>
          <w:p w14:paraId="577A17AB" w14:textId="4E426301" w:rsidR="00441C3E" w:rsidRPr="009B4D65" w:rsidRDefault="00441C3E" w:rsidP="00441C3E">
            <w:pPr>
              <w:spacing w:line="276" w:lineRule="auto"/>
              <w:jc w:val="center"/>
              <w:rPr>
                <w:rFonts w:asciiTheme="majorBidi" w:hAnsiTheme="majorBidi" w:cstheme="majorBidi"/>
                <w:szCs w:val="22"/>
              </w:rPr>
            </w:pPr>
            <w:r w:rsidRPr="004232D1">
              <w:t>-0.757</w:t>
            </w:r>
          </w:p>
        </w:tc>
        <w:tc>
          <w:tcPr>
            <w:tcW w:w="601" w:type="pct"/>
            <w:tcBorders>
              <w:top w:val="single" w:sz="4" w:space="0" w:color="auto"/>
            </w:tcBorders>
          </w:tcPr>
          <w:p w14:paraId="01EAD57D" w14:textId="46CC35B4" w:rsidR="00441C3E" w:rsidRPr="009B4D65" w:rsidRDefault="00441C3E" w:rsidP="00441C3E">
            <w:pPr>
              <w:spacing w:line="276" w:lineRule="auto"/>
              <w:jc w:val="center"/>
              <w:rPr>
                <w:rFonts w:asciiTheme="majorBidi" w:hAnsiTheme="majorBidi" w:cstheme="majorBidi"/>
                <w:szCs w:val="22"/>
              </w:rPr>
            </w:pPr>
            <w:r w:rsidRPr="00861DF1">
              <w:t>2.270</w:t>
            </w:r>
          </w:p>
        </w:tc>
        <w:tc>
          <w:tcPr>
            <w:tcW w:w="1027" w:type="pct"/>
            <w:tcBorders>
              <w:top w:val="single" w:sz="4" w:space="0" w:color="auto"/>
            </w:tcBorders>
          </w:tcPr>
          <w:p w14:paraId="290CD223" w14:textId="77777777"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SPEI-6 (Sep 2009)</w:t>
            </w:r>
          </w:p>
        </w:tc>
        <w:tc>
          <w:tcPr>
            <w:tcW w:w="647" w:type="pct"/>
            <w:tcBorders>
              <w:top w:val="single" w:sz="4" w:space="0" w:color="auto"/>
            </w:tcBorders>
          </w:tcPr>
          <w:p w14:paraId="6BE64542" w14:textId="77777777"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~1</w:t>
            </w:r>
          </w:p>
        </w:tc>
      </w:tr>
      <w:tr w:rsidR="00441C3E" w:rsidRPr="009B4D65" w14:paraId="65756C65" w14:textId="77777777" w:rsidTr="00441C3E">
        <w:tc>
          <w:tcPr>
            <w:tcW w:w="467" w:type="pct"/>
          </w:tcPr>
          <w:p w14:paraId="08538191" w14:textId="77777777"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2</w:t>
            </w:r>
          </w:p>
        </w:tc>
        <w:tc>
          <w:tcPr>
            <w:tcW w:w="583" w:type="pct"/>
          </w:tcPr>
          <w:p w14:paraId="069E5558" w14:textId="40CD405F"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Dec 2019–</w:t>
            </w:r>
            <w:r>
              <w:rPr>
                <w:rFonts w:asciiTheme="majorBidi" w:hAnsiTheme="majorBidi" w:cstheme="majorBidi"/>
                <w:szCs w:val="22"/>
              </w:rPr>
              <w:t>Jun</w:t>
            </w:r>
            <w:r w:rsidRPr="009B4D65">
              <w:rPr>
                <w:rFonts w:asciiTheme="majorBidi" w:hAnsiTheme="majorBidi" w:cstheme="majorBidi"/>
                <w:szCs w:val="22"/>
              </w:rPr>
              <w:t xml:space="preserve"> 2020</w:t>
            </w:r>
          </w:p>
        </w:tc>
        <w:tc>
          <w:tcPr>
            <w:tcW w:w="654" w:type="pct"/>
          </w:tcPr>
          <w:p w14:paraId="033CD741" w14:textId="7B678B59" w:rsidR="00441C3E" w:rsidRPr="009B4D65" w:rsidRDefault="00441C3E" w:rsidP="00441C3E">
            <w:pPr>
              <w:spacing w:line="276" w:lineRule="auto"/>
              <w:jc w:val="center"/>
              <w:rPr>
                <w:rFonts w:asciiTheme="majorBidi" w:hAnsiTheme="majorBidi" w:cstheme="majorBidi"/>
                <w:szCs w:val="22"/>
              </w:rPr>
            </w:pPr>
            <w:r w:rsidRPr="000B14C8">
              <w:t>7</w:t>
            </w:r>
          </w:p>
        </w:tc>
        <w:tc>
          <w:tcPr>
            <w:tcW w:w="510" w:type="pct"/>
          </w:tcPr>
          <w:p w14:paraId="501A9AA0" w14:textId="77777777"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−1.097</w:t>
            </w:r>
          </w:p>
        </w:tc>
        <w:tc>
          <w:tcPr>
            <w:tcW w:w="510" w:type="pct"/>
          </w:tcPr>
          <w:p w14:paraId="27AAC6F1" w14:textId="3057884E" w:rsidR="00441C3E" w:rsidRPr="009B4D65" w:rsidRDefault="00441C3E" w:rsidP="00441C3E">
            <w:pPr>
              <w:spacing w:line="276" w:lineRule="auto"/>
              <w:jc w:val="center"/>
              <w:rPr>
                <w:rFonts w:asciiTheme="majorBidi" w:hAnsiTheme="majorBidi" w:cstheme="majorBidi"/>
                <w:szCs w:val="22"/>
              </w:rPr>
            </w:pPr>
            <w:r w:rsidRPr="004232D1">
              <w:t>-1.078</w:t>
            </w:r>
          </w:p>
        </w:tc>
        <w:tc>
          <w:tcPr>
            <w:tcW w:w="601" w:type="pct"/>
          </w:tcPr>
          <w:p w14:paraId="5D9EDBB9" w14:textId="4395ACCA" w:rsidR="00441C3E" w:rsidRPr="009B4D65" w:rsidRDefault="00441C3E" w:rsidP="00441C3E">
            <w:pPr>
              <w:spacing w:line="276" w:lineRule="auto"/>
              <w:jc w:val="center"/>
              <w:rPr>
                <w:rFonts w:asciiTheme="majorBidi" w:hAnsiTheme="majorBidi" w:cstheme="majorBidi"/>
                <w:szCs w:val="22"/>
              </w:rPr>
            </w:pPr>
            <w:r w:rsidRPr="00861DF1">
              <w:t>7.548</w:t>
            </w:r>
          </w:p>
        </w:tc>
        <w:tc>
          <w:tcPr>
            <w:tcW w:w="1027" w:type="pct"/>
          </w:tcPr>
          <w:p w14:paraId="32602FAF" w14:textId="77777777"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SPEI-6 (Nov 2019)</w:t>
            </w:r>
          </w:p>
        </w:tc>
        <w:tc>
          <w:tcPr>
            <w:tcW w:w="647" w:type="pct"/>
          </w:tcPr>
          <w:p w14:paraId="2F12207F" w14:textId="77777777"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~1</w:t>
            </w:r>
          </w:p>
        </w:tc>
      </w:tr>
      <w:tr w:rsidR="00441C3E" w:rsidRPr="009B4D65" w14:paraId="56823D20" w14:textId="77777777" w:rsidTr="00441C3E">
        <w:tc>
          <w:tcPr>
            <w:tcW w:w="467" w:type="pct"/>
          </w:tcPr>
          <w:p w14:paraId="64CC4ABC" w14:textId="77777777"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3</w:t>
            </w:r>
          </w:p>
        </w:tc>
        <w:tc>
          <w:tcPr>
            <w:tcW w:w="583" w:type="pct"/>
          </w:tcPr>
          <w:p w14:paraId="0C5C0BA8" w14:textId="126BE5A3"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Oct 2020–</w:t>
            </w:r>
            <w:r>
              <w:rPr>
                <w:rFonts w:asciiTheme="majorBidi" w:hAnsiTheme="majorBidi" w:cstheme="majorBidi"/>
                <w:szCs w:val="22"/>
              </w:rPr>
              <w:t>Oct</w:t>
            </w:r>
            <w:r w:rsidRPr="009B4D65">
              <w:rPr>
                <w:rFonts w:asciiTheme="majorBidi" w:hAnsiTheme="majorBidi" w:cstheme="majorBidi"/>
                <w:szCs w:val="22"/>
              </w:rPr>
              <w:t xml:space="preserve"> 2023</w:t>
            </w:r>
          </w:p>
        </w:tc>
        <w:tc>
          <w:tcPr>
            <w:tcW w:w="654" w:type="pct"/>
          </w:tcPr>
          <w:p w14:paraId="4237DB16" w14:textId="67D4B557" w:rsidR="00441C3E" w:rsidRPr="009B4D65" w:rsidRDefault="00441C3E" w:rsidP="00441C3E">
            <w:pPr>
              <w:spacing w:line="276" w:lineRule="auto"/>
              <w:jc w:val="center"/>
              <w:rPr>
                <w:rFonts w:asciiTheme="majorBidi" w:hAnsiTheme="majorBidi" w:cstheme="majorBidi"/>
                <w:szCs w:val="22"/>
              </w:rPr>
            </w:pPr>
            <w:r w:rsidRPr="000B14C8">
              <w:t>37</w:t>
            </w:r>
          </w:p>
        </w:tc>
        <w:tc>
          <w:tcPr>
            <w:tcW w:w="510" w:type="pct"/>
          </w:tcPr>
          <w:p w14:paraId="73DCB787" w14:textId="77777777"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−1.691</w:t>
            </w:r>
          </w:p>
        </w:tc>
        <w:tc>
          <w:tcPr>
            <w:tcW w:w="510" w:type="pct"/>
          </w:tcPr>
          <w:p w14:paraId="75799C64" w14:textId="1FA7A78B" w:rsidR="00441C3E" w:rsidRPr="009B4D65" w:rsidRDefault="00441C3E" w:rsidP="00441C3E">
            <w:pPr>
              <w:spacing w:line="276" w:lineRule="auto"/>
              <w:jc w:val="center"/>
              <w:rPr>
                <w:rFonts w:asciiTheme="majorBidi" w:hAnsiTheme="majorBidi" w:cstheme="majorBidi"/>
                <w:szCs w:val="22"/>
              </w:rPr>
            </w:pPr>
            <w:r w:rsidRPr="004232D1">
              <w:t>-1.444</w:t>
            </w:r>
          </w:p>
        </w:tc>
        <w:tc>
          <w:tcPr>
            <w:tcW w:w="601" w:type="pct"/>
          </w:tcPr>
          <w:p w14:paraId="5571AD53" w14:textId="469CF713" w:rsidR="00441C3E" w:rsidRPr="009B4D65" w:rsidRDefault="00441C3E" w:rsidP="00441C3E">
            <w:pPr>
              <w:spacing w:line="276" w:lineRule="auto"/>
              <w:jc w:val="center"/>
              <w:rPr>
                <w:rFonts w:asciiTheme="majorBidi" w:hAnsiTheme="majorBidi" w:cstheme="majorBidi"/>
                <w:szCs w:val="22"/>
              </w:rPr>
            </w:pPr>
            <w:r w:rsidRPr="00861DF1">
              <w:t>53.438</w:t>
            </w:r>
          </w:p>
        </w:tc>
        <w:tc>
          <w:tcPr>
            <w:tcW w:w="1027" w:type="pct"/>
          </w:tcPr>
          <w:p w14:paraId="051332E1" w14:textId="77777777"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SPEI-12 (Jan 2020; min −2.197 Aug 2020)</w:t>
            </w:r>
          </w:p>
        </w:tc>
        <w:tc>
          <w:tcPr>
            <w:tcW w:w="647" w:type="pct"/>
          </w:tcPr>
          <w:p w14:paraId="4C93A087" w14:textId="77777777"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~9–10</w:t>
            </w:r>
          </w:p>
        </w:tc>
      </w:tr>
      <w:tr w:rsidR="00441C3E" w:rsidRPr="009B4D65" w14:paraId="6832AB9E" w14:textId="77777777" w:rsidTr="00441C3E">
        <w:tc>
          <w:tcPr>
            <w:tcW w:w="467" w:type="pct"/>
          </w:tcPr>
          <w:p w14:paraId="5D6FC58C" w14:textId="77777777"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4</w:t>
            </w:r>
          </w:p>
        </w:tc>
        <w:tc>
          <w:tcPr>
            <w:tcW w:w="583" w:type="pct"/>
          </w:tcPr>
          <w:p w14:paraId="23FA6C4B" w14:textId="3F8BDD59"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Jun–</w:t>
            </w:r>
            <w:r>
              <w:rPr>
                <w:rFonts w:asciiTheme="majorBidi" w:hAnsiTheme="majorBidi" w:cstheme="majorBidi"/>
                <w:szCs w:val="22"/>
              </w:rPr>
              <w:t>Oct</w:t>
            </w:r>
            <w:r w:rsidRPr="009B4D65">
              <w:rPr>
                <w:rFonts w:asciiTheme="majorBidi" w:hAnsiTheme="majorBidi" w:cstheme="majorBidi"/>
                <w:szCs w:val="22"/>
              </w:rPr>
              <w:t xml:space="preserve"> 2024</w:t>
            </w:r>
          </w:p>
        </w:tc>
        <w:tc>
          <w:tcPr>
            <w:tcW w:w="654" w:type="pct"/>
          </w:tcPr>
          <w:p w14:paraId="59194A51" w14:textId="6ADF6146" w:rsidR="00441C3E" w:rsidRPr="009B4D65" w:rsidRDefault="00441C3E" w:rsidP="00441C3E">
            <w:pPr>
              <w:spacing w:line="276" w:lineRule="auto"/>
              <w:jc w:val="center"/>
              <w:rPr>
                <w:rFonts w:asciiTheme="majorBidi" w:hAnsiTheme="majorBidi" w:cstheme="majorBidi"/>
                <w:szCs w:val="22"/>
              </w:rPr>
            </w:pPr>
            <w:r w:rsidRPr="000B14C8">
              <w:t>5</w:t>
            </w:r>
          </w:p>
        </w:tc>
        <w:tc>
          <w:tcPr>
            <w:tcW w:w="510" w:type="pct"/>
          </w:tcPr>
          <w:p w14:paraId="3A44F3CC" w14:textId="77777777"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−1.097</w:t>
            </w:r>
          </w:p>
        </w:tc>
        <w:tc>
          <w:tcPr>
            <w:tcW w:w="510" w:type="pct"/>
          </w:tcPr>
          <w:p w14:paraId="0249A1F2" w14:textId="2EF1D71B" w:rsidR="00441C3E" w:rsidRPr="009B4D65" w:rsidRDefault="00441C3E" w:rsidP="00441C3E">
            <w:pPr>
              <w:spacing w:line="276" w:lineRule="auto"/>
              <w:jc w:val="center"/>
              <w:rPr>
                <w:rFonts w:asciiTheme="majorBidi" w:hAnsiTheme="majorBidi" w:cstheme="majorBidi"/>
                <w:szCs w:val="22"/>
              </w:rPr>
            </w:pPr>
            <w:r w:rsidRPr="004232D1">
              <w:t>-1.008</w:t>
            </w:r>
          </w:p>
        </w:tc>
        <w:tc>
          <w:tcPr>
            <w:tcW w:w="601" w:type="pct"/>
          </w:tcPr>
          <w:p w14:paraId="5DD6634E" w14:textId="6196FB8C" w:rsidR="00441C3E" w:rsidRPr="009B4D65" w:rsidRDefault="00441C3E" w:rsidP="00441C3E">
            <w:pPr>
              <w:spacing w:line="276" w:lineRule="auto"/>
              <w:jc w:val="center"/>
              <w:rPr>
                <w:rFonts w:asciiTheme="majorBidi" w:hAnsiTheme="majorBidi" w:cstheme="majorBidi"/>
                <w:szCs w:val="22"/>
              </w:rPr>
            </w:pPr>
            <w:r w:rsidRPr="00861DF1">
              <w:t>5.038</w:t>
            </w:r>
          </w:p>
        </w:tc>
        <w:tc>
          <w:tcPr>
            <w:tcW w:w="1027" w:type="pct"/>
          </w:tcPr>
          <w:p w14:paraId="04AC8F7E" w14:textId="77777777"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SPEI-6 (Jun 2024)</w:t>
            </w:r>
          </w:p>
        </w:tc>
        <w:tc>
          <w:tcPr>
            <w:tcW w:w="647" w:type="pct"/>
          </w:tcPr>
          <w:p w14:paraId="6B098B52" w14:textId="77777777" w:rsidR="00441C3E" w:rsidRPr="009B4D65" w:rsidRDefault="00441C3E" w:rsidP="00441C3E">
            <w:pPr>
              <w:spacing w:line="276" w:lineRule="auto"/>
              <w:jc w:val="center"/>
              <w:rPr>
                <w:rFonts w:asciiTheme="majorBidi" w:hAnsiTheme="majorBidi" w:cstheme="majorBidi"/>
                <w:szCs w:val="22"/>
              </w:rPr>
            </w:pPr>
            <w:r w:rsidRPr="009B4D65">
              <w:rPr>
                <w:rFonts w:asciiTheme="majorBidi" w:hAnsiTheme="majorBidi" w:cstheme="majorBidi"/>
                <w:szCs w:val="22"/>
              </w:rPr>
              <w:t>~1</w:t>
            </w:r>
          </w:p>
        </w:tc>
      </w:tr>
    </w:tbl>
    <w:p w14:paraId="14003AFC" w14:textId="77777777" w:rsidR="002F41C5" w:rsidRPr="00AA6EA3" w:rsidRDefault="002F41C5" w:rsidP="002F41C5">
      <w:pPr>
        <w:spacing w:line="276" w:lineRule="auto"/>
        <w:rPr>
          <w:rFonts w:asciiTheme="majorBidi" w:hAnsiTheme="majorBidi" w:cstheme="majorBidi"/>
          <w:sz w:val="20"/>
          <w:szCs w:val="20"/>
        </w:rPr>
      </w:pPr>
      <w:r w:rsidRPr="00AA6EA3">
        <w:rPr>
          <w:rFonts w:asciiTheme="majorBidi" w:hAnsiTheme="majorBidi" w:cstheme="majorBidi"/>
          <w:i/>
          <w:iCs/>
          <w:sz w:val="20"/>
          <w:szCs w:val="20"/>
        </w:rPr>
        <w:t>Notes: Event 3 accounts for 75% of total drought months and 82% of cumulative severity. Propagation lags for Events 1, 2, and 4 are single-event estimates based on threshold crossings; robust statistical inference requires larger event samples. The record SLLI minimum (−1.691) was sustained throughout October 2022–September 2023, coinciding with concurrent SPI-12 &lt; −1.0 and SPEI-24 &lt; −1.0.</w:t>
      </w:r>
    </w:p>
    <w:p w14:paraId="33CA9D09" w14:textId="4FC1BE4E" w:rsidR="00F33F8B" w:rsidRPr="00DD15CD" w:rsidRDefault="00F33F8B" w:rsidP="00DD15CD">
      <w:pPr>
        <w:pStyle w:val="Heading2"/>
      </w:pPr>
      <w:r w:rsidRPr="00DD15CD">
        <w:t>S4.2. Lake Uluabat, hydrological drought event detail</w:t>
      </w:r>
    </w:p>
    <w:p w14:paraId="7EF7331D" w14:textId="4DA6BE2D" w:rsidR="00F33F8B" w:rsidRPr="009B4D65" w:rsidRDefault="002F41C5" w:rsidP="002F41C5">
      <w:pPr>
        <w:pStyle w:val="Caption"/>
        <w:rPr>
          <w:rFonts w:cstheme="majorBidi"/>
          <w:sz w:val="22"/>
          <w:szCs w:val="22"/>
        </w:rPr>
      </w:pPr>
      <w:bookmarkStart w:id="8" w:name="_Ref232335190"/>
      <w:r>
        <w:t xml:space="preserve">Table S </w:t>
      </w:r>
      <w:fldSimple w:instr=" SEQ Table_S \* ARABIC ">
        <w:r>
          <w:rPr>
            <w:noProof/>
          </w:rPr>
          <w:t>11</w:t>
        </w:r>
      </w:fldSimple>
      <w:bookmarkEnd w:id="8"/>
      <w:r>
        <w:t>.</w:t>
      </w:r>
      <w:r w:rsidR="00F33F8B" w:rsidRPr="009B4D65">
        <w:rPr>
          <w:rFonts w:cstheme="majorBidi"/>
          <w:b/>
          <w:sz w:val="22"/>
          <w:szCs w:val="22"/>
        </w:rPr>
        <w:t xml:space="preserve"> </w:t>
      </w:r>
      <w:r w:rsidR="00F33F8B" w:rsidRPr="009B4D65">
        <w:rPr>
          <w:rFonts w:cstheme="majorBidi"/>
          <w:sz w:val="22"/>
          <w:szCs w:val="22"/>
        </w:rPr>
        <w:t>Characteristics of hydrological drought events at Lake Uluabat (January 1993–December 2024; SLLI &lt; −1.0 threshold). Concurrent SPEI values represent means over the event period. † indicates events where mean SPEI-3 &gt; 0, suggesting dominant non-meteorological forcing.</w:t>
      </w:r>
    </w:p>
    <w:tbl>
      <w:tblPr>
        <w:tblStyle w:val="Elsevier"/>
        <w:tblW w:w="0" w:type="auto"/>
        <w:tblLayout w:type="fixed"/>
        <w:tblLook w:val="04A0" w:firstRow="1" w:lastRow="0" w:firstColumn="1" w:lastColumn="0" w:noHBand="0" w:noVBand="1"/>
      </w:tblPr>
      <w:tblGrid>
        <w:gridCol w:w="773"/>
        <w:gridCol w:w="1113"/>
        <w:gridCol w:w="1066"/>
        <w:gridCol w:w="914"/>
        <w:gridCol w:w="914"/>
        <w:gridCol w:w="932"/>
        <w:gridCol w:w="932"/>
        <w:gridCol w:w="1558"/>
      </w:tblGrid>
      <w:tr w:rsidR="00F33F8B" w:rsidRPr="009B4D65" w14:paraId="20E78F4E" w14:textId="77777777" w:rsidTr="002B3069">
        <w:tc>
          <w:tcPr>
            <w:tcW w:w="773" w:type="dxa"/>
            <w:tcBorders>
              <w:top w:val="single" w:sz="4" w:space="0" w:color="auto"/>
              <w:bottom w:val="single" w:sz="4" w:space="0" w:color="auto"/>
            </w:tcBorders>
          </w:tcPr>
          <w:p w14:paraId="6C70DF5C" w14:textId="77777777" w:rsidR="00F33F8B" w:rsidRPr="009B4D65" w:rsidRDefault="00F33F8B" w:rsidP="009B4D65">
            <w:pPr>
              <w:spacing w:line="276" w:lineRule="auto"/>
              <w:jc w:val="center"/>
              <w:rPr>
                <w:rFonts w:asciiTheme="majorBidi" w:hAnsiTheme="majorBidi" w:cstheme="majorBidi"/>
                <w:szCs w:val="22"/>
              </w:rPr>
            </w:pPr>
            <w:r w:rsidRPr="009B4D65">
              <w:rPr>
                <w:rFonts w:asciiTheme="majorBidi" w:hAnsiTheme="majorBidi" w:cstheme="majorBidi"/>
                <w:b/>
                <w:szCs w:val="22"/>
              </w:rPr>
              <w:t>Event</w:t>
            </w:r>
          </w:p>
        </w:tc>
        <w:tc>
          <w:tcPr>
            <w:tcW w:w="1113" w:type="dxa"/>
            <w:tcBorders>
              <w:top w:val="single" w:sz="4" w:space="0" w:color="auto"/>
              <w:bottom w:val="single" w:sz="4" w:space="0" w:color="auto"/>
            </w:tcBorders>
          </w:tcPr>
          <w:p w14:paraId="4135C821" w14:textId="77777777" w:rsidR="00F33F8B" w:rsidRPr="009B4D65" w:rsidRDefault="00F33F8B" w:rsidP="009B4D65">
            <w:pPr>
              <w:spacing w:line="276" w:lineRule="auto"/>
              <w:jc w:val="center"/>
              <w:rPr>
                <w:rFonts w:asciiTheme="majorBidi" w:hAnsiTheme="majorBidi" w:cstheme="majorBidi"/>
                <w:szCs w:val="22"/>
              </w:rPr>
            </w:pPr>
            <w:r w:rsidRPr="009B4D65">
              <w:rPr>
                <w:rFonts w:asciiTheme="majorBidi" w:hAnsiTheme="majorBidi" w:cstheme="majorBidi"/>
                <w:b/>
                <w:szCs w:val="22"/>
              </w:rPr>
              <w:t>Period</w:t>
            </w:r>
          </w:p>
        </w:tc>
        <w:tc>
          <w:tcPr>
            <w:tcW w:w="1066" w:type="dxa"/>
            <w:tcBorders>
              <w:top w:val="single" w:sz="4" w:space="0" w:color="auto"/>
              <w:bottom w:val="single" w:sz="4" w:space="0" w:color="auto"/>
            </w:tcBorders>
          </w:tcPr>
          <w:p w14:paraId="474B6FA2" w14:textId="77777777" w:rsidR="00F33F8B" w:rsidRPr="009B4D65" w:rsidRDefault="00F33F8B" w:rsidP="009B4D65">
            <w:pPr>
              <w:spacing w:line="276" w:lineRule="auto"/>
              <w:jc w:val="center"/>
              <w:rPr>
                <w:rFonts w:asciiTheme="majorBidi" w:hAnsiTheme="majorBidi" w:cstheme="majorBidi"/>
                <w:szCs w:val="22"/>
              </w:rPr>
            </w:pPr>
            <w:r w:rsidRPr="009B4D65">
              <w:rPr>
                <w:rFonts w:asciiTheme="majorBidi" w:hAnsiTheme="majorBidi" w:cstheme="majorBidi"/>
                <w:b/>
                <w:szCs w:val="22"/>
              </w:rPr>
              <w:t>Dur. (months)</w:t>
            </w:r>
          </w:p>
        </w:tc>
        <w:tc>
          <w:tcPr>
            <w:tcW w:w="914" w:type="dxa"/>
            <w:tcBorders>
              <w:top w:val="single" w:sz="4" w:space="0" w:color="auto"/>
              <w:bottom w:val="single" w:sz="4" w:space="0" w:color="auto"/>
            </w:tcBorders>
          </w:tcPr>
          <w:p w14:paraId="340664EE" w14:textId="77777777" w:rsidR="00F33F8B" w:rsidRPr="009B4D65" w:rsidRDefault="00F33F8B" w:rsidP="009B4D65">
            <w:pPr>
              <w:spacing w:line="276" w:lineRule="auto"/>
              <w:jc w:val="center"/>
              <w:rPr>
                <w:rFonts w:asciiTheme="majorBidi" w:hAnsiTheme="majorBidi" w:cstheme="majorBidi"/>
                <w:szCs w:val="22"/>
              </w:rPr>
            </w:pPr>
            <w:r w:rsidRPr="009B4D65">
              <w:rPr>
                <w:rFonts w:asciiTheme="majorBidi" w:hAnsiTheme="majorBidi" w:cstheme="majorBidi"/>
                <w:b/>
                <w:szCs w:val="22"/>
              </w:rPr>
              <w:t>Min. SLLI</w:t>
            </w:r>
          </w:p>
        </w:tc>
        <w:tc>
          <w:tcPr>
            <w:tcW w:w="914" w:type="dxa"/>
            <w:tcBorders>
              <w:top w:val="single" w:sz="4" w:space="0" w:color="auto"/>
              <w:bottom w:val="single" w:sz="4" w:space="0" w:color="auto"/>
            </w:tcBorders>
          </w:tcPr>
          <w:p w14:paraId="745AD872" w14:textId="77777777" w:rsidR="00F33F8B" w:rsidRPr="009B4D65" w:rsidRDefault="00F33F8B" w:rsidP="009B4D65">
            <w:pPr>
              <w:spacing w:line="276" w:lineRule="auto"/>
              <w:jc w:val="center"/>
              <w:rPr>
                <w:rFonts w:asciiTheme="majorBidi" w:hAnsiTheme="majorBidi" w:cstheme="majorBidi"/>
                <w:szCs w:val="22"/>
              </w:rPr>
            </w:pPr>
            <w:r w:rsidRPr="009B4D65">
              <w:rPr>
                <w:rFonts w:asciiTheme="majorBidi" w:hAnsiTheme="majorBidi" w:cstheme="majorBidi"/>
                <w:b/>
                <w:szCs w:val="22"/>
              </w:rPr>
              <w:t>Mean SLLI</w:t>
            </w:r>
          </w:p>
        </w:tc>
        <w:tc>
          <w:tcPr>
            <w:tcW w:w="932" w:type="dxa"/>
            <w:tcBorders>
              <w:top w:val="single" w:sz="4" w:space="0" w:color="auto"/>
              <w:bottom w:val="single" w:sz="4" w:space="0" w:color="auto"/>
            </w:tcBorders>
          </w:tcPr>
          <w:p w14:paraId="5C2E9362" w14:textId="77777777" w:rsidR="00F33F8B" w:rsidRPr="009B4D65" w:rsidRDefault="00F33F8B" w:rsidP="009B4D65">
            <w:pPr>
              <w:spacing w:line="276" w:lineRule="auto"/>
              <w:jc w:val="center"/>
              <w:rPr>
                <w:rFonts w:asciiTheme="majorBidi" w:hAnsiTheme="majorBidi" w:cstheme="majorBidi"/>
                <w:szCs w:val="22"/>
              </w:rPr>
            </w:pPr>
            <w:r w:rsidRPr="009B4D65">
              <w:rPr>
                <w:rFonts w:asciiTheme="majorBidi" w:hAnsiTheme="majorBidi" w:cstheme="majorBidi"/>
                <w:b/>
                <w:szCs w:val="22"/>
              </w:rPr>
              <w:t>Mean SPEI-3</w:t>
            </w:r>
          </w:p>
        </w:tc>
        <w:tc>
          <w:tcPr>
            <w:tcW w:w="932" w:type="dxa"/>
            <w:tcBorders>
              <w:top w:val="single" w:sz="4" w:space="0" w:color="auto"/>
              <w:bottom w:val="single" w:sz="4" w:space="0" w:color="auto"/>
            </w:tcBorders>
          </w:tcPr>
          <w:p w14:paraId="01D90E1E" w14:textId="77777777" w:rsidR="00F33F8B" w:rsidRPr="009B4D65" w:rsidRDefault="00F33F8B" w:rsidP="009B4D65">
            <w:pPr>
              <w:spacing w:line="276" w:lineRule="auto"/>
              <w:jc w:val="center"/>
              <w:rPr>
                <w:rFonts w:asciiTheme="majorBidi" w:hAnsiTheme="majorBidi" w:cstheme="majorBidi"/>
                <w:szCs w:val="22"/>
              </w:rPr>
            </w:pPr>
            <w:r w:rsidRPr="009B4D65">
              <w:rPr>
                <w:rFonts w:asciiTheme="majorBidi" w:hAnsiTheme="majorBidi" w:cstheme="majorBidi"/>
                <w:b/>
                <w:szCs w:val="22"/>
              </w:rPr>
              <w:t>Mean SPEI-6</w:t>
            </w:r>
          </w:p>
        </w:tc>
        <w:tc>
          <w:tcPr>
            <w:tcW w:w="1558" w:type="dxa"/>
            <w:tcBorders>
              <w:top w:val="single" w:sz="4" w:space="0" w:color="auto"/>
              <w:bottom w:val="single" w:sz="4" w:space="0" w:color="auto"/>
            </w:tcBorders>
          </w:tcPr>
          <w:p w14:paraId="7EFF3D82" w14:textId="77777777" w:rsidR="00F33F8B" w:rsidRPr="009B4D65" w:rsidRDefault="00F33F8B" w:rsidP="009B4D65">
            <w:pPr>
              <w:spacing w:line="276" w:lineRule="auto"/>
              <w:jc w:val="center"/>
              <w:rPr>
                <w:rFonts w:asciiTheme="majorBidi" w:hAnsiTheme="majorBidi" w:cstheme="majorBidi"/>
                <w:szCs w:val="22"/>
              </w:rPr>
            </w:pPr>
            <w:r w:rsidRPr="009B4D65">
              <w:rPr>
                <w:rFonts w:asciiTheme="majorBidi" w:hAnsiTheme="majorBidi" w:cstheme="majorBidi"/>
                <w:b/>
                <w:szCs w:val="22"/>
              </w:rPr>
              <w:t>Forcing</w:t>
            </w:r>
          </w:p>
        </w:tc>
      </w:tr>
      <w:tr w:rsidR="005E1796" w:rsidRPr="009B4D65" w14:paraId="5AD314C4" w14:textId="77777777" w:rsidTr="002B3069">
        <w:tc>
          <w:tcPr>
            <w:tcW w:w="773" w:type="dxa"/>
            <w:tcBorders>
              <w:top w:val="single" w:sz="4" w:space="0" w:color="auto"/>
            </w:tcBorders>
          </w:tcPr>
          <w:p w14:paraId="6E715D1A"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1</w:t>
            </w:r>
          </w:p>
        </w:tc>
        <w:tc>
          <w:tcPr>
            <w:tcW w:w="1113" w:type="dxa"/>
            <w:tcBorders>
              <w:top w:val="single" w:sz="4" w:space="0" w:color="auto"/>
            </w:tcBorders>
          </w:tcPr>
          <w:p w14:paraId="0E0DB060" w14:textId="6D54BB40"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Apr–</w:t>
            </w:r>
            <w:r>
              <w:rPr>
                <w:rFonts w:asciiTheme="majorBidi" w:hAnsiTheme="majorBidi" w:cstheme="majorBidi"/>
                <w:szCs w:val="22"/>
              </w:rPr>
              <w:t>Jun</w:t>
            </w:r>
            <w:r w:rsidRPr="009B4D65">
              <w:rPr>
                <w:rFonts w:asciiTheme="majorBidi" w:hAnsiTheme="majorBidi" w:cstheme="majorBidi"/>
                <w:szCs w:val="22"/>
              </w:rPr>
              <w:t xml:space="preserve"> 2002</w:t>
            </w:r>
          </w:p>
        </w:tc>
        <w:tc>
          <w:tcPr>
            <w:tcW w:w="1066" w:type="dxa"/>
            <w:tcBorders>
              <w:top w:val="single" w:sz="4" w:space="0" w:color="auto"/>
            </w:tcBorders>
          </w:tcPr>
          <w:p w14:paraId="3E340527" w14:textId="73B71634" w:rsidR="005E1796" w:rsidRPr="009B4D65" w:rsidRDefault="005E1796" w:rsidP="005E1796">
            <w:pPr>
              <w:spacing w:line="276" w:lineRule="auto"/>
              <w:jc w:val="center"/>
              <w:rPr>
                <w:rFonts w:asciiTheme="majorBidi" w:hAnsiTheme="majorBidi" w:cstheme="majorBidi"/>
                <w:szCs w:val="22"/>
              </w:rPr>
            </w:pPr>
            <w:r w:rsidRPr="00AA2513">
              <w:t>3</w:t>
            </w:r>
          </w:p>
        </w:tc>
        <w:tc>
          <w:tcPr>
            <w:tcW w:w="914" w:type="dxa"/>
            <w:tcBorders>
              <w:top w:val="single" w:sz="4" w:space="0" w:color="auto"/>
            </w:tcBorders>
          </w:tcPr>
          <w:p w14:paraId="6CB67E6F" w14:textId="59B90B01" w:rsidR="005E1796" w:rsidRPr="009B4D65" w:rsidRDefault="005E1796" w:rsidP="005E1796">
            <w:pPr>
              <w:spacing w:line="276" w:lineRule="auto"/>
              <w:jc w:val="center"/>
              <w:rPr>
                <w:rFonts w:asciiTheme="majorBidi" w:hAnsiTheme="majorBidi" w:cstheme="majorBidi"/>
                <w:szCs w:val="22"/>
              </w:rPr>
            </w:pPr>
            <w:r w:rsidRPr="0064123A">
              <w:t>-1.434</w:t>
            </w:r>
          </w:p>
        </w:tc>
        <w:tc>
          <w:tcPr>
            <w:tcW w:w="914" w:type="dxa"/>
            <w:tcBorders>
              <w:top w:val="single" w:sz="4" w:space="0" w:color="auto"/>
            </w:tcBorders>
          </w:tcPr>
          <w:p w14:paraId="301D5D4A" w14:textId="5319152B" w:rsidR="005E1796" w:rsidRPr="009B4D65" w:rsidRDefault="005E1796" w:rsidP="005E1796">
            <w:pPr>
              <w:spacing w:line="276" w:lineRule="auto"/>
              <w:jc w:val="center"/>
              <w:rPr>
                <w:rFonts w:asciiTheme="majorBidi" w:hAnsiTheme="majorBidi" w:cstheme="majorBidi"/>
                <w:szCs w:val="22"/>
              </w:rPr>
            </w:pPr>
            <w:r w:rsidRPr="00C926FD">
              <w:t>-1.128</w:t>
            </w:r>
          </w:p>
        </w:tc>
        <w:tc>
          <w:tcPr>
            <w:tcW w:w="932" w:type="dxa"/>
            <w:tcBorders>
              <w:top w:val="single" w:sz="4" w:space="0" w:color="auto"/>
            </w:tcBorders>
          </w:tcPr>
          <w:p w14:paraId="7190A830"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−0.261</w:t>
            </w:r>
          </w:p>
        </w:tc>
        <w:tc>
          <w:tcPr>
            <w:tcW w:w="932" w:type="dxa"/>
            <w:tcBorders>
              <w:top w:val="single" w:sz="4" w:space="0" w:color="auto"/>
            </w:tcBorders>
          </w:tcPr>
          <w:p w14:paraId="55911E24"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+0.593</w:t>
            </w:r>
          </w:p>
        </w:tc>
        <w:tc>
          <w:tcPr>
            <w:tcW w:w="1558" w:type="dxa"/>
            <w:tcBorders>
              <w:top w:val="single" w:sz="4" w:space="0" w:color="auto"/>
            </w:tcBorders>
          </w:tcPr>
          <w:p w14:paraId="3B3E29B7"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Mixed†</w:t>
            </w:r>
          </w:p>
        </w:tc>
      </w:tr>
      <w:tr w:rsidR="005E1796" w:rsidRPr="009B4D65" w14:paraId="5B89C09E" w14:textId="77777777" w:rsidTr="002B3069">
        <w:tc>
          <w:tcPr>
            <w:tcW w:w="773" w:type="dxa"/>
          </w:tcPr>
          <w:p w14:paraId="6ED08163"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2</w:t>
            </w:r>
          </w:p>
        </w:tc>
        <w:tc>
          <w:tcPr>
            <w:tcW w:w="1113" w:type="dxa"/>
          </w:tcPr>
          <w:p w14:paraId="5000992B" w14:textId="333F70C2"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Apr–Ju</w:t>
            </w:r>
            <w:r>
              <w:rPr>
                <w:rFonts w:asciiTheme="majorBidi" w:hAnsiTheme="majorBidi" w:cstheme="majorBidi"/>
                <w:szCs w:val="22"/>
              </w:rPr>
              <w:t>l</w:t>
            </w:r>
            <w:r w:rsidRPr="009B4D65">
              <w:rPr>
                <w:rFonts w:asciiTheme="majorBidi" w:hAnsiTheme="majorBidi" w:cstheme="majorBidi"/>
                <w:szCs w:val="22"/>
              </w:rPr>
              <w:t xml:space="preserve"> 2003</w:t>
            </w:r>
          </w:p>
        </w:tc>
        <w:tc>
          <w:tcPr>
            <w:tcW w:w="1066" w:type="dxa"/>
          </w:tcPr>
          <w:p w14:paraId="4200D72B" w14:textId="748B3465" w:rsidR="005E1796" w:rsidRPr="009B4D65" w:rsidRDefault="005E1796" w:rsidP="005E1796">
            <w:pPr>
              <w:spacing w:line="276" w:lineRule="auto"/>
              <w:jc w:val="center"/>
              <w:rPr>
                <w:rFonts w:asciiTheme="majorBidi" w:hAnsiTheme="majorBidi" w:cstheme="majorBidi"/>
                <w:szCs w:val="22"/>
              </w:rPr>
            </w:pPr>
            <w:r w:rsidRPr="00AA2513">
              <w:t>4</w:t>
            </w:r>
          </w:p>
        </w:tc>
        <w:tc>
          <w:tcPr>
            <w:tcW w:w="914" w:type="dxa"/>
          </w:tcPr>
          <w:p w14:paraId="354B7094" w14:textId="24FC141C" w:rsidR="005E1796" w:rsidRPr="009B4D65" w:rsidRDefault="005E1796" w:rsidP="005E1796">
            <w:pPr>
              <w:spacing w:line="276" w:lineRule="auto"/>
              <w:jc w:val="center"/>
              <w:rPr>
                <w:rFonts w:asciiTheme="majorBidi" w:hAnsiTheme="majorBidi" w:cstheme="majorBidi"/>
                <w:szCs w:val="22"/>
              </w:rPr>
            </w:pPr>
            <w:r w:rsidRPr="0064123A">
              <w:t>-1.248</w:t>
            </w:r>
          </w:p>
        </w:tc>
        <w:tc>
          <w:tcPr>
            <w:tcW w:w="914" w:type="dxa"/>
          </w:tcPr>
          <w:p w14:paraId="2A2A9D15" w14:textId="3ECB21A4" w:rsidR="005E1796" w:rsidRPr="009B4D65" w:rsidRDefault="005E1796" w:rsidP="005E1796">
            <w:pPr>
              <w:spacing w:line="276" w:lineRule="auto"/>
              <w:jc w:val="center"/>
              <w:rPr>
                <w:rFonts w:asciiTheme="majorBidi" w:hAnsiTheme="majorBidi" w:cstheme="majorBidi"/>
                <w:szCs w:val="22"/>
              </w:rPr>
            </w:pPr>
            <w:r w:rsidRPr="00C926FD">
              <w:t>-1.054</w:t>
            </w:r>
          </w:p>
        </w:tc>
        <w:tc>
          <w:tcPr>
            <w:tcW w:w="932" w:type="dxa"/>
          </w:tcPr>
          <w:p w14:paraId="3FD8F4C3"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+0.318</w:t>
            </w:r>
          </w:p>
        </w:tc>
        <w:tc>
          <w:tcPr>
            <w:tcW w:w="932" w:type="dxa"/>
          </w:tcPr>
          <w:p w14:paraId="0132B748"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+0.085</w:t>
            </w:r>
          </w:p>
        </w:tc>
        <w:tc>
          <w:tcPr>
            <w:tcW w:w="1558" w:type="dxa"/>
          </w:tcPr>
          <w:p w14:paraId="11AE01DA"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Non-met.†</w:t>
            </w:r>
          </w:p>
        </w:tc>
      </w:tr>
      <w:tr w:rsidR="005E1796" w:rsidRPr="009B4D65" w14:paraId="3A07C28B" w14:textId="77777777" w:rsidTr="002B3069">
        <w:tc>
          <w:tcPr>
            <w:tcW w:w="773" w:type="dxa"/>
          </w:tcPr>
          <w:p w14:paraId="4EAF4A1F"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3</w:t>
            </w:r>
          </w:p>
        </w:tc>
        <w:tc>
          <w:tcPr>
            <w:tcW w:w="1113" w:type="dxa"/>
          </w:tcPr>
          <w:p w14:paraId="35BB6BD1" w14:textId="708CBF5B"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Jul</w:t>
            </w:r>
            <w:r>
              <w:rPr>
                <w:rFonts w:asciiTheme="majorBidi" w:hAnsiTheme="majorBidi" w:cstheme="majorBidi"/>
                <w:szCs w:val="22"/>
              </w:rPr>
              <w:t>-Aug</w:t>
            </w:r>
            <w:r w:rsidRPr="009B4D65">
              <w:rPr>
                <w:rFonts w:asciiTheme="majorBidi" w:hAnsiTheme="majorBidi" w:cstheme="majorBidi"/>
                <w:szCs w:val="22"/>
              </w:rPr>
              <w:t xml:space="preserve"> 2004</w:t>
            </w:r>
          </w:p>
        </w:tc>
        <w:tc>
          <w:tcPr>
            <w:tcW w:w="1066" w:type="dxa"/>
          </w:tcPr>
          <w:p w14:paraId="7224019F" w14:textId="33F27336" w:rsidR="005E1796" w:rsidRPr="009B4D65" w:rsidRDefault="005E1796" w:rsidP="005E1796">
            <w:pPr>
              <w:spacing w:line="276" w:lineRule="auto"/>
              <w:jc w:val="center"/>
              <w:rPr>
                <w:rFonts w:asciiTheme="majorBidi" w:hAnsiTheme="majorBidi" w:cstheme="majorBidi"/>
                <w:szCs w:val="22"/>
              </w:rPr>
            </w:pPr>
            <w:r w:rsidRPr="00AA2513">
              <w:t>2</w:t>
            </w:r>
          </w:p>
        </w:tc>
        <w:tc>
          <w:tcPr>
            <w:tcW w:w="914" w:type="dxa"/>
          </w:tcPr>
          <w:p w14:paraId="6A5F22A7" w14:textId="081B1BC0" w:rsidR="005E1796" w:rsidRPr="009B4D65" w:rsidRDefault="005E1796" w:rsidP="005E1796">
            <w:pPr>
              <w:spacing w:line="276" w:lineRule="auto"/>
              <w:jc w:val="center"/>
              <w:rPr>
                <w:rFonts w:asciiTheme="majorBidi" w:hAnsiTheme="majorBidi" w:cstheme="majorBidi"/>
                <w:szCs w:val="22"/>
              </w:rPr>
            </w:pPr>
            <w:r w:rsidRPr="0064123A">
              <w:t>-1.097</w:t>
            </w:r>
          </w:p>
        </w:tc>
        <w:tc>
          <w:tcPr>
            <w:tcW w:w="914" w:type="dxa"/>
          </w:tcPr>
          <w:p w14:paraId="5EC13E1A" w14:textId="67B23414" w:rsidR="005E1796" w:rsidRPr="009B4D65" w:rsidRDefault="005E1796" w:rsidP="005E1796">
            <w:pPr>
              <w:spacing w:line="276" w:lineRule="auto"/>
              <w:jc w:val="center"/>
              <w:rPr>
                <w:rFonts w:asciiTheme="majorBidi" w:hAnsiTheme="majorBidi" w:cstheme="majorBidi"/>
                <w:szCs w:val="22"/>
              </w:rPr>
            </w:pPr>
            <w:r w:rsidRPr="00C926FD">
              <w:t>-0.975</w:t>
            </w:r>
          </w:p>
        </w:tc>
        <w:tc>
          <w:tcPr>
            <w:tcW w:w="932" w:type="dxa"/>
          </w:tcPr>
          <w:p w14:paraId="367858B1"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−0.913</w:t>
            </w:r>
          </w:p>
        </w:tc>
        <w:tc>
          <w:tcPr>
            <w:tcW w:w="932" w:type="dxa"/>
          </w:tcPr>
          <w:p w14:paraId="41EF51B2"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−1.152</w:t>
            </w:r>
          </w:p>
        </w:tc>
        <w:tc>
          <w:tcPr>
            <w:tcW w:w="1558" w:type="dxa"/>
          </w:tcPr>
          <w:p w14:paraId="151DF9E0"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Meteorological</w:t>
            </w:r>
          </w:p>
        </w:tc>
      </w:tr>
      <w:tr w:rsidR="005E1796" w:rsidRPr="009B4D65" w14:paraId="43B42B45" w14:textId="77777777" w:rsidTr="002B3069">
        <w:tc>
          <w:tcPr>
            <w:tcW w:w="773" w:type="dxa"/>
          </w:tcPr>
          <w:p w14:paraId="56BF22DD"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4</w:t>
            </w:r>
          </w:p>
        </w:tc>
        <w:tc>
          <w:tcPr>
            <w:tcW w:w="1113" w:type="dxa"/>
          </w:tcPr>
          <w:p w14:paraId="7DA9665A" w14:textId="605D5111"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Oct 2004–</w:t>
            </w:r>
            <w:r>
              <w:rPr>
                <w:rFonts w:asciiTheme="majorBidi" w:hAnsiTheme="majorBidi" w:cstheme="majorBidi"/>
                <w:szCs w:val="22"/>
              </w:rPr>
              <w:t>Feb</w:t>
            </w:r>
            <w:r w:rsidRPr="009B4D65">
              <w:rPr>
                <w:rFonts w:asciiTheme="majorBidi" w:hAnsiTheme="majorBidi" w:cstheme="majorBidi"/>
                <w:szCs w:val="22"/>
              </w:rPr>
              <w:t xml:space="preserve"> 2005</w:t>
            </w:r>
          </w:p>
        </w:tc>
        <w:tc>
          <w:tcPr>
            <w:tcW w:w="1066" w:type="dxa"/>
          </w:tcPr>
          <w:p w14:paraId="66C88460" w14:textId="23C8C669" w:rsidR="005E1796" w:rsidRPr="009B4D65" w:rsidRDefault="005E1796" w:rsidP="005E1796">
            <w:pPr>
              <w:spacing w:line="276" w:lineRule="auto"/>
              <w:jc w:val="center"/>
              <w:rPr>
                <w:rFonts w:asciiTheme="majorBidi" w:hAnsiTheme="majorBidi" w:cstheme="majorBidi"/>
                <w:szCs w:val="22"/>
              </w:rPr>
            </w:pPr>
            <w:r w:rsidRPr="00AA2513">
              <w:t>5</w:t>
            </w:r>
          </w:p>
        </w:tc>
        <w:tc>
          <w:tcPr>
            <w:tcW w:w="914" w:type="dxa"/>
          </w:tcPr>
          <w:p w14:paraId="358B567B" w14:textId="251D38B6" w:rsidR="005E1796" w:rsidRPr="009B4D65" w:rsidRDefault="005E1796" w:rsidP="005E1796">
            <w:pPr>
              <w:spacing w:line="276" w:lineRule="auto"/>
              <w:jc w:val="center"/>
              <w:rPr>
                <w:rFonts w:asciiTheme="majorBidi" w:hAnsiTheme="majorBidi" w:cstheme="majorBidi"/>
                <w:szCs w:val="22"/>
              </w:rPr>
            </w:pPr>
            <w:r w:rsidRPr="0064123A">
              <w:t>-1.434</w:t>
            </w:r>
          </w:p>
        </w:tc>
        <w:tc>
          <w:tcPr>
            <w:tcW w:w="914" w:type="dxa"/>
          </w:tcPr>
          <w:p w14:paraId="3D816CF9" w14:textId="1470E2CA" w:rsidR="005E1796" w:rsidRPr="009B4D65" w:rsidRDefault="005E1796" w:rsidP="005E1796">
            <w:pPr>
              <w:spacing w:line="276" w:lineRule="auto"/>
              <w:jc w:val="center"/>
              <w:rPr>
                <w:rFonts w:asciiTheme="majorBidi" w:hAnsiTheme="majorBidi" w:cstheme="majorBidi"/>
                <w:szCs w:val="22"/>
              </w:rPr>
            </w:pPr>
            <w:r w:rsidRPr="00C926FD">
              <w:t>-1.266</w:t>
            </w:r>
          </w:p>
        </w:tc>
        <w:tc>
          <w:tcPr>
            <w:tcW w:w="932" w:type="dxa"/>
          </w:tcPr>
          <w:p w14:paraId="293E6074"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−0.846</w:t>
            </w:r>
          </w:p>
        </w:tc>
        <w:tc>
          <w:tcPr>
            <w:tcW w:w="932" w:type="dxa"/>
          </w:tcPr>
          <w:p w14:paraId="59070D5E"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−1.040</w:t>
            </w:r>
          </w:p>
        </w:tc>
        <w:tc>
          <w:tcPr>
            <w:tcW w:w="1558" w:type="dxa"/>
          </w:tcPr>
          <w:p w14:paraId="7E98B712"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Meteorological</w:t>
            </w:r>
          </w:p>
        </w:tc>
      </w:tr>
      <w:tr w:rsidR="005E1796" w:rsidRPr="009B4D65" w14:paraId="6407699B" w14:textId="77777777" w:rsidTr="002B3069">
        <w:tc>
          <w:tcPr>
            <w:tcW w:w="773" w:type="dxa"/>
          </w:tcPr>
          <w:p w14:paraId="71ECC81C"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5</w:t>
            </w:r>
          </w:p>
        </w:tc>
        <w:tc>
          <w:tcPr>
            <w:tcW w:w="1113" w:type="dxa"/>
          </w:tcPr>
          <w:p w14:paraId="23C5D668" w14:textId="75B151A5"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Sep</w:t>
            </w:r>
            <w:r>
              <w:rPr>
                <w:rFonts w:asciiTheme="majorBidi" w:hAnsiTheme="majorBidi" w:cstheme="majorBidi"/>
                <w:szCs w:val="22"/>
              </w:rPr>
              <w:t>-Oct</w:t>
            </w:r>
            <w:r w:rsidRPr="009B4D65">
              <w:rPr>
                <w:rFonts w:asciiTheme="majorBidi" w:hAnsiTheme="majorBidi" w:cstheme="majorBidi"/>
                <w:szCs w:val="22"/>
              </w:rPr>
              <w:t xml:space="preserve"> 2005</w:t>
            </w:r>
          </w:p>
        </w:tc>
        <w:tc>
          <w:tcPr>
            <w:tcW w:w="1066" w:type="dxa"/>
          </w:tcPr>
          <w:p w14:paraId="77BF0D8C" w14:textId="3B00A035" w:rsidR="005E1796" w:rsidRPr="009B4D65" w:rsidRDefault="005E1796" w:rsidP="005E1796">
            <w:pPr>
              <w:spacing w:line="276" w:lineRule="auto"/>
              <w:jc w:val="center"/>
              <w:rPr>
                <w:rFonts w:asciiTheme="majorBidi" w:hAnsiTheme="majorBidi" w:cstheme="majorBidi"/>
                <w:szCs w:val="22"/>
              </w:rPr>
            </w:pPr>
            <w:r w:rsidRPr="00AA2513">
              <w:t>2</w:t>
            </w:r>
          </w:p>
        </w:tc>
        <w:tc>
          <w:tcPr>
            <w:tcW w:w="914" w:type="dxa"/>
          </w:tcPr>
          <w:p w14:paraId="7777B5C8" w14:textId="694C1ED5" w:rsidR="005E1796" w:rsidRPr="009B4D65" w:rsidRDefault="005E1796" w:rsidP="005E1796">
            <w:pPr>
              <w:spacing w:line="276" w:lineRule="auto"/>
              <w:jc w:val="center"/>
              <w:rPr>
                <w:rFonts w:asciiTheme="majorBidi" w:hAnsiTheme="majorBidi" w:cstheme="majorBidi"/>
                <w:szCs w:val="22"/>
              </w:rPr>
            </w:pPr>
            <w:r w:rsidRPr="0064123A">
              <w:t>-1.097</w:t>
            </w:r>
          </w:p>
        </w:tc>
        <w:tc>
          <w:tcPr>
            <w:tcW w:w="914" w:type="dxa"/>
          </w:tcPr>
          <w:p w14:paraId="4685B8A9" w14:textId="5E097D17" w:rsidR="005E1796" w:rsidRPr="009B4D65" w:rsidRDefault="005E1796" w:rsidP="005E1796">
            <w:pPr>
              <w:spacing w:line="276" w:lineRule="auto"/>
              <w:jc w:val="center"/>
              <w:rPr>
                <w:rFonts w:asciiTheme="majorBidi" w:hAnsiTheme="majorBidi" w:cstheme="majorBidi"/>
                <w:szCs w:val="22"/>
              </w:rPr>
            </w:pPr>
            <w:r w:rsidRPr="00C926FD">
              <w:t>-1.032</w:t>
            </w:r>
          </w:p>
        </w:tc>
        <w:tc>
          <w:tcPr>
            <w:tcW w:w="932" w:type="dxa"/>
          </w:tcPr>
          <w:p w14:paraId="130A00BE"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+0.934</w:t>
            </w:r>
          </w:p>
        </w:tc>
        <w:tc>
          <w:tcPr>
            <w:tcW w:w="932" w:type="dxa"/>
          </w:tcPr>
          <w:p w14:paraId="01CB283B"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−0.338</w:t>
            </w:r>
          </w:p>
        </w:tc>
        <w:tc>
          <w:tcPr>
            <w:tcW w:w="1558" w:type="dxa"/>
          </w:tcPr>
          <w:p w14:paraId="69D3238B"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Non-met.†</w:t>
            </w:r>
          </w:p>
        </w:tc>
      </w:tr>
      <w:tr w:rsidR="005E1796" w:rsidRPr="009B4D65" w14:paraId="1E6FFAB4" w14:textId="77777777" w:rsidTr="002B3069">
        <w:tc>
          <w:tcPr>
            <w:tcW w:w="773" w:type="dxa"/>
          </w:tcPr>
          <w:p w14:paraId="0B6B558D"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6</w:t>
            </w:r>
          </w:p>
        </w:tc>
        <w:tc>
          <w:tcPr>
            <w:tcW w:w="1113" w:type="dxa"/>
          </w:tcPr>
          <w:p w14:paraId="2FBDA777" w14:textId="728809D6"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Nov 2005–</w:t>
            </w:r>
            <w:r>
              <w:rPr>
                <w:rFonts w:asciiTheme="majorBidi" w:hAnsiTheme="majorBidi" w:cstheme="majorBidi"/>
                <w:szCs w:val="22"/>
              </w:rPr>
              <w:t>Feb</w:t>
            </w:r>
            <w:r w:rsidRPr="009B4D65">
              <w:rPr>
                <w:rFonts w:asciiTheme="majorBidi" w:hAnsiTheme="majorBidi" w:cstheme="majorBidi"/>
                <w:szCs w:val="22"/>
              </w:rPr>
              <w:t xml:space="preserve"> 2006</w:t>
            </w:r>
          </w:p>
        </w:tc>
        <w:tc>
          <w:tcPr>
            <w:tcW w:w="1066" w:type="dxa"/>
          </w:tcPr>
          <w:p w14:paraId="19CE3E46" w14:textId="325ABE03" w:rsidR="005E1796" w:rsidRPr="009B4D65" w:rsidRDefault="005E1796" w:rsidP="005E1796">
            <w:pPr>
              <w:spacing w:line="276" w:lineRule="auto"/>
              <w:jc w:val="center"/>
              <w:rPr>
                <w:rFonts w:asciiTheme="majorBidi" w:hAnsiTheme="majorBidi" w:cstheme="majorBidi"/>
                <w:szCs w:val="22"/>
              </w:rPr>
            </w:pPr>
            <w:r w:rsidRPr="00AA2513">
              <w:t>4</w:t>
            </w:r>
          </w:p>
        </w:tc>
        <w:tc>
          <w:tcPr>
            <w:tcW w:w="914" w:type="dxa"/>
          </w:tcPr>
          <w:p w14:paraId="1837C632" w14:textId="63A530CD" w:rsidR="005E1796" w:rsidRPr="009B4D65" w:rsidRDefault="005E1796" w:rsidP="005E1796">
            <w:pPr>
              <w:spacing w:line="276" w:lineRule="auto"/>
              <w:jc w:val="center"/>
              <w:rPr>
                <w:rFonts w:asciiTheme="majorBidi" w:hAnsiTheme="majorBidi" w:cstheme="majorBidi"/>
                <w:szCs w:val="22"/>
              </w:rPr>
            </w:pPr>
            <w:r w:rsidRPr="0064123A">
              <w:t>-1.097</w:t>
            </w:r>
          </w:p>
        </w:tc>
        <w:tc>
          <w:tcPr>
            <w:tcW w:w="914" w:type="dxa"/>
          </w:tcPr>
          <w:p w14:paraId="2EBB1992" w14:textId="76B8FD2D" w:rsidR="005E1796" w:rsidRPr="009B4D65" w:rsidRDefault="005E1796" w:rsidP="005E1796">
            <w:pPr>
              <w:spacing w:line="276" w:lineRule="auto"/>
              <w:jc w:val="center"/>
              <w:rPr>
                <w:rFonts w:asciiTheme="majorBidi" w:hAnsiTheme="majorBidi" w:cstheme="majorBidi"/>
                <w:szCs w:val="22"/>
              </w:rPr>
            </w:pPr>
            <w:r w:rsidRPr="00C926FD">
              <w:t>-0.704</w:t>
            </w:r>
          </w:p>
        </w:tc>
        <w:tc>
          <w:tcPr>
            <w:tcW w:w="932" w:type="dxa"/>
          </w:tcPr>
          <w:p w14:paraId="5AD0D2B9"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+0.418</w:t>
            </w:r>
          </w:p>
        </w:tc>
        <w:tc>
          <w:tcPr>
            <w:tcW w:w="932" w:type="dxa"/>
          </w:tcPr>
          <w:p w14:paraId="1830F780"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+0.395</w:t>
            </w:r>
          </w:p>
        </w:tc>
        <w:tc>
          <w:tcPr>
            <w:tcW w:w="1558" w:type="dxa"/>
          </w:tcPr>
          <w:p w14:paraId="29939962"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Non-met.†</w:t>
            </w:r>
          </w:p>
        </w:tc>
      </w:tr>
      <w:tr w:rsidR="005E1796" w:rsidRPr="009B4D65" w14:paraId="61658E0F" w14:textId="77777777" w:rsidTr="002B3069">
        <w:tc>
          <w:tcPr>
            <w:tcW w:w="773" w:type="dxa"/>
          </w:tcPr>
          <w:p w14:paraId="48F18469"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7</w:t>
            </w:r>
          </w:p>
        </w:tc>
        <w:tc>
          <w:tcPr>
            <w:tcW w:w="1113" w:type="dxa"/>
          </w:tcPr>
          <w:p w14:paraId="747192BF" w14:textId="475CC9AA"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Jun–</w:t>
            </w:r>
            <w:r>
              <w:rPr>
                <w:rFonts w:asciiTheme="majorBidi" w:hAnsiTheme="majorBidi" w:cstheme="majorBidi"/>
                <w:szCs w:val="22"/>
              </w:rPr>
              <w:t>Nov</w:t>
            </w:r>
            <w:r w:rsidRPr="009B4D65">
              <w:rPr>
                <w:rFonts w:asciiTheme="majorBidi" w:hAnsiTheme="majorBidi" w:cstheme="majorBidi"/>
                <w:szCs w:val="22"/>
              </w:rPr>
              <w:t xml:space="preserve"> 2006</w:t>
            </w:r>
          </w:p>
        </w:tc>
        <w:tc>
          <w:tcPr>
            <w:tcW w:w="1066" w:type="dxa"/>
          </w:tcPr>
          <w:p w14:paraId="4417AB16" w14:textId="2F2624EA" w:rsidR="005E1796" w:rsidRPr="009B4D65" w:rsidRDefault="005E1796" w:rsidP="005E1796">
            <w:pPr>
              <w:spacing w:line="276" w:lineRule="auto"/>
              <w:jc w:val="center"/>
              <w:rPr>
                <w:rFonts w:asciiTheme="majorBidi" w:hAnsiTheme="majorBidi" w:cstheme="majorBidi"/>
                <w:szCs w:val="22"/>
              </w:rPr>
            </w:pPr>
            <w:r w:rsidRPr="00AA2513">
              <w:t>6</w:t>
            </w:r>
          </w:p>
        </w:tc>
        <w:tc>
          <w:tcPr>
            <w:tcW w:w="914" w:type="dxa"/>
          </w:tcPr>
          <w:p w14:paraId="5B0B5504" w14:textId="77F70C77" w:rsidR="005E1796" w:rsidRPr="009B4D65" w:rsidRDefault="005E1796" w:rsidP="005E1796">
            <w:pPr>
              <w:spacing w:line="276" w:lineRule="auto"/>
              <w:jc w:val="center"/>
              <w:rPr>
                <w:rFonts w:asciiTheme="majorBidi" w:hAnsiTheme="majorBidi" w:cstheme="majorBidi"/>
                <w:szCs w:val="22"/>
              </w:rPr>
            </w:pPr>
            <w:r w:rsidRPr="0064123A">
              <w:t>-1.691</w:t>
            </w:r>
          </w:p>
        </w:tc>
        <w:tc>
          <w:tcPr>
            <w:tcW w:w="914" w:type="dxa"/>
          </w:tcPr>
          <w:p w14:paraId="5CC9551D" w14:textId="6A957478" w:rsidR="005E1796" w:rsidRPr="009B4D65" w:rsidRDefault="005E1796" w:rsidP="005E1796">
            <w:pPr>
              <w:spacing w:line="276" w:lineRule="auto"/>
              <w:jc w:val="center"/>
              <w:rPr>
                <w:rFonts w:asciiTheme="majorBidi" w:hAnsiTheme="majorBidi" w:cstheme="majorBidi"/>
                <w:szCs w:val="22"/>
              </w:rPr>
            </w:pPr>
            <w:r w:rsidRPr="00C926FD">
              <w:t>-1.250</w:t>
            </w:r>
          </w:p>
        </w:tc>
        <w:tc>
          <w:tcPr>
            <w:tcW w:w="932" w:type="dxa"/>
          </w:tcPr>
          <w:p w14:paraId="32D3317F"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−0.577</w:t>
            </w:r>
          </w:p>
        </w:tc>
        <w:tc>
          <w:tcPr>
            <w:tcW w:w="932" w:type="dxa"/>
          </w:tcPr>
          <w:p w14:paraId="6B1EA78E"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−0.887</w:t>
            </w:r>
          </w:p>
        </w:tc>
        <w:tc>
          <w:tcPr>
            <w:tcW w:w="1558" w:type="dxa"/>
          </w:tcPr>
          <w:p w14:paraId="120EEB4C"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Meteorological</w:t>
            </w:r>
          </w:p>
        </w:tc>
      </w:tr>
      <w:tr w:rsidR="005E1796" w:rsidRPr="009B4D65" w14:paraId="5D987CEB" w14:textId="77777777" w:rsidTr="002B3069">
        <w:tc>
          <w:tcPr>
            <w:tcW w:w="773" w:type="dxa"/>
          </w:tcPr>
          <w:p w14:paraId="1007D248"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8</w:t>
            </w:r>
          </w:p>
        </w:tc>
        <w:tc>
          <w:tcPr>
            <w:tcW w:w="1113" w:type="dxa"/>
          </w:tcPr>
          <w:p w14:paraId="171ADF2A" w14:textId="69E97406"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Dec 2006–</w:t>
            </w:r>
            <w:r>
              <w:rPr>
                <w:rFonts w:asciiTheme="majorBidi" w:hAnsiTheme="majorBidi" w:cstheme="majorBidi"/>
                <w:szCs w:val="22"/>
              </w:rPr>
              <w:t>Dec</w:t>
            </w:r>
            <w:r w:rsidRPr="009B4D65">
              <w:rPr>
                <w:rFonts w:asciiTheme="majorBidi" w:hAnsiTheme="majorBidi" w:cstheme="majorBidi"/>
                <w:szCs w:val="22"/>
              </w:rPr>
              <w:t xml:space="preserve"> 2007</w:t>
            </w:r>
          </w:p>
        </w:tc>
        <w:tc>
          <w:tcPr>
            <w:tcW w:w="1066" w:type="dxa"/>
          </w:tcPr>
          <w:p w14:paraId="7CEFFAE9" w14:textId="1F4839FE" w:rsidR="005E1796" w:rsidRPr="009B4D65" w:rsidRDefault="005E1796" w:rsidP="005E1796">
            <w:pPr>
              <w:spacing w:line="276" w:lineRule="auto"/>
              <w:jc w:val="center"/>
              <w:rPr>
                <w:rFonts w:asciiTheme="majorBidi" w:hAnsiTheme="majorBidi" w:cstheme="majorBidi"/>
                <w:szCs w:val="22"/>
              </w:rPr>
            </w:pPr>
            <w:r w:rsidRPr="00AA2513">
              <w:t>13</w:t>
            </w:r>
          </w:p>
        </w:tc>
        <w:tc>
          <w:tcPr>
            <w:tcW w:w="914" w:type="dxa"/>
          </w:tcPr>
          <w:p w14:paraId="1D79C6BD" w14:textId="115BC5BB" w:rsidR="005E1796" w:rsidRPr="009B4D65" w:rsidRDefault="005E1796" w:rsidP="005E1796">
            <w:pPr>
              <w:spacing w:line="276" w:lineRule="auto"/>
              <w:jc w:val="center"/>
              <w:rPr>
                <w:rFonts w:asciiTheme="majorBidi" w:hAnsiTheme="majorBidi" w:cstheme="majorBidi"/>
                <w:szCs w:val="22"/>
              </w:rPr>
            </w:pPr>
            <w:r w:rsidRPr="0064123A">
              <w:t>-1.691</w:t>
            </w:r>
          </w:p>
        </w:tc>
        <w:tc>
          <w:tcPr>
            <w:tcW w:w="914" w:type="dxa"/>
          </w:tcPr>
          <w:p w14:paraId="63CA1182" w14:textId="1FDE8FF7" w:rsidR="005E1796" w:rsidRPr="009B4D65" w:rsidRDefault="005E1796" w:rsidP="005E1796">
            <w:pPr>
              <w:spacing w:line="276" w:lineRule="auto"/>
              <w:jc w:val="center"/>
              <w:rPr>
                <w:rFonts w:asciiTheme="majorBidi" w:hAnsiTheme="majorBidi" w:cstheme="majorBidi"/>
                <w:szCs w:val="22"/>
              </w:rPr>
            </w:pPr>
            <w:r w:rsidRPr="00C926FD">
              <w:t>-1.533</w:t>
            </w:r>
          </w:p>
        </w:tc>
        <w:tc>
          <w:tcPr>
            <w:tcW w:w="932" w:type="dxa"/>
          </w:tcPr>
          <w:p w14:paraId="5A0E81B1"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−0.487</w:t>
            </w:r>
          </w:p>
        </w:tc>
        <w:tc>
          <w:tcPr>
            <w:tcW w:w="932" w:type="dxa"/>
          </w:tcPr>
          <w:p w14:paraId="7992387E"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−0.717</w:t>
            </w:r>
          </w:p>
        </w:tc>
        <w:tc>
          <w:tcPr>
            <w:tcW w:w="1558" w:type="dxa"/>
          </w:tcPr>
          <w:p w14:paraId="798E27C4"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Meteorological</w:t>
            </w:r>
          </w:p>
        </w:tc>
      </w:tr>
      <w:tr w:rsidR="005E1796" w:rsidRPr="009B4D65" w14:paraId="3E10C9AE" w14:textId="77777777" w:rsidTr="002B3069">
        <w:tc>
          <w:tcPr>
            <w:tcW w:w="773" w:type="dxa"/>
          </w:tcPr>
          <w:p w14:paraId="3DFD20CF"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9</w:t>
            </w:r>
          </w:p>
        </w:tc>
        <w:tc>
          <w:tcPr>
            <w:tcW w:w="1113" w:type="dxa"/>
          </w:tcPr>
          <w:p w14:paraId="32E06C15" w14:textId="5B9A7C3B"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Feb–</w:t>
            </w:r>
            <w:r>
              <w:rPr>
                <w:rFonts w:asciiTheme="majorBidi" w:hAnsiTheme="majorBidi" w:cstheme="majorBidi"/>
                <w:szCs w:val="22"/>
              </w:rPr>
              <w:t>Apr</w:t>
            </w:r>
            <w:r w:rsidRPr="009B4D65">
              <w:rPr>
                <w:rFonts w:asciiTheme="majorBidi" w:hAnsiTheme="majorBidi" w:cstheme="majorBidi"/>
                <w:szCs w:val="22"/>
              </w:rPr>
              <w:t xml:space="preserve"> 2008</w:t>
            </w:r>
          </w:p>
        </w:tc>
        <w:tc>
          <w:tcPr>
            <w:tcW w:w="1066" w:type="dxa"/>
          </w:tcPr>
          <w:p w14:paraId="669F3506" w14:textId="71194F9B" w:rsidR="005E1796" w:rsidRPr="009B4D65" w:rsidRDefault="005E1796" w:rsidP="005E1796">
            <w:pPr>
              <w:spacing w:line="276" w:lineRule="auto"/>
              <w:jc w:val="center"/>
              <w:rPr>
                <w:rFonts w:asciiTheme="majorBidi" w:hAnsiTheme="majorBidi" w:cstheme="majorBidi"/>
                <w:szCs w:val="22"/>
              </w:rPr>
            </w:pPr>
            <w:r w:rsidRPr="00AA2513">
              <w:t>3</w:t>
            </w:r>
          </w:p>
        </w:tc>
        <w:tc>
          <w:tcPr>
            <w:tcW w:w="914" w:type="dxa"/>
          </w:tcPr>
          <w:p w14:paraId="04C20764" w14:textId="61130D5C" w:rsidR="005E1796" w:rsidRPr="009B4D65" w:rsidRDefault="005E1796" w:rsidP="005E1796">
            <w:pPr>
              <w:spacing w:line="276" w:lineRule="auto"/>
              <w:jc w:val="center"/>
              <w:rPr>
                <w:rFonts w:asciiTheme="majorBidi" w:hAnsiTheme="majorBidi" w:cstheme="majorBidi"/>
                <w:szCs w:val="22"/>
              </w:rPr>
            </w:pPr>
            <w:r w:rsidRPr="0064123A">
              <w:t>-1.434</w:t>
            </w:r>
          </w:p>
        </w:tc>
        <w:tc>
          <w:tcPr>
            <w:tcW w:w="914" w:type="dxa"/>
          </w:tcPr>
          <w:p w14:paraId="22A2437F" w14:textId="67291330" w:rsidR="005E1796" w:rsidRPr="009B4D65" w:rsidRDefault="005E1796" w:rsidP="005E1796">
            <w:pPr>
              <w:spacing w:line="276" w:lineRule="auto"/>
              <w:jc w:val="center"/>
              <w:rPr>
                <w:rFonts w:asciiTheme="majorBidi" w:hAnsiTheme="majorBidi" w:cstheme="majorBidi"/>
                <w:szCs w:val="22"/>
              </w:rPr>
            </w:pPr>
            <w:r w:rsidRPr="00C926FD">
              <w:t>-0.895</w:t>
            </w:r>
          </w:p>
        </w:tc>
        <w:tc>
          <w:tcPr>
            <w:tcW w:w="932" w:type="dxa"/>
          </w:tcPr>
          <w:p w14:paraId="46043382"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−0.455</w:t>
            </w:r>
          </w:p>
        </w:tc>
        <w:tc>
          <w:tcPr>
            <w:tcW w:w="932" w:type="dxa"/>
          </w:tcPr>
          <w:p w14:paraId="2A38C9EF"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+0.915</w:t>
            </w:r>
          </w:p>
        </w:tc>
        <w:tc>
          <w:tcPr>
            <w:tcW w:w="1558" w:type="dxa"/>
          </w:tcPr>
          <w:p w14:paraId="5FA7A925"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Mixed†</w:t>
            </w:r>
          </w:p>
        </w:tc>
      </w:tr>
      <w:tr w:rsidR="005E1796" w:rsidRPr="009B4D65" w14:paraId="44A5761B" w14:textId="77777777" w:rsidTr="002B3069">
        <w:tc>
          <w:tcPr>
            <w:tcW w:w="773" w:type="dxa"/>
          </w:tcPr>
          <w:p w14:paraId="2515FEDD"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10</w:t>
            </w:r>
          </w:p>
        </w:tc>
        <w:tc>
          <w:tcPr>
            <w:tcW w:w="1113" w:type="dxa"/>
          </w:tcPr>
          <w:p w14:paraId="57DF3847" w14:textId="25BD5E9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May</w:t>
            </w:r>
            <w:r>
              <w:rPr>
                <w:rFonts w:asciiTheme="majorBidi" w:hAnsiTheme="majorBidi" w:cstheme="majorBidi"/>
                <w:szCs w:val="22"/>
              </w:rPr>
              <w:t xml:space="preserve"> 2008</w:t>
            </w:r>
            <w:r w:rsidRPr="009B4D65">
              <w:rPr>
                <w:rFonts w:asciiTheme="majorBidi" w:hAnsiTheme="majorBidi" w:cstheme="majorBidi"/>
                <w:szCs w:val="22"/>
              </w:rPr>
              <w:t>–</w:t>
            </w:r>
            <w:r>
              <w:rPr>
                <w:rFonts w:asciiTheme="majorBidi" w:hAnsiTheme="majorBidi" w:cstheme="majorBidi"/>
                <w:szCs w:val="22"/>
              </w:rPr>
              <w:t>Jan</w:t>
            </w:r>
            <w:r w:rsidRPr="009B4D65">
              <w:rPr>
                <w:rFonts w:asciiTheme="majorBidi" w:hAnsiTheme="majorBidi" w:cstheme="majorBidi"/>
                <w:szCs w:val="22"/>
              </w:rPr>
              <w:t xml:space="preserve"> 200</w:t>
            </w:r>
            <w:r>
              <w:rPr>
                <w:rFonts w:asciiTheme="majorBidi" w:hAnsiTheme="majorBidi" w:cstheme="majorBidi"/>
                <w:szCs w:val="22"/>
              </w:rPr>
              <w:t>9</w:t>
            </w:r>
          </w:p>
        </w:tc>
        <w:tc>
          <w:tcPr>
            <w:tcW w:w="1066" w:type="dxa"/>
          </w:tcPr>
          <w:p w14:paraId="297EED63" w14:textId="4293A94E" w:rsidR="005E1796" w:rsidRPr="009B4D65" w:rsidRDefault="005E1796" w:rsidP="005E1796">
            <w:pPr>
              <w:spacing w:line="276" w:lineRule="auto"/>
              <w:jc w:val="center"/>
              <w:rPr>
                <w:rFonts w:asciiTheme="majorBidi" w:hAnsiTheme="majorBidi" w:cstheme="majorBidi"/>
                <w:szCs w:val="22"/>
              </w:rPr>
            </w:pPr>
            <w:r w:rsidRPr="00AA2513">
              <w:t>9</w:t>
            </w:r>
          </w:p>
        </w:tc>
        <w:tc>
          <w:tcPr>
            <w:tcW w:w="914" w:type="dxa"/>
          </w:tcPr>
          <w:p w14:paraId="0565B088" w14:textId="6336AB80" w:rsidR="005E1796" w:rsidRPr="009B4D65" w:rsidRDefault="005E1796" w:rsidP="005E1796">
            <w:pPr>
              <w:spacing w:line="276" w:lineRule="auto"/>
              <w:jc w:val="center"/>
              <w:rPr>
                <w:rFonts w:asciiTheme="majorBidi" w:hAnsiTheme="majorBidi" w:cstheme="majorBidi"/>
                <w:szCs w:val="22"/>
              </w:rPr>
            </w:pPr>
            <w:r w:rsidRPr="0064123A">
              <w:t>-1.691</w:t>
            </w:r>
          </w:p>
        </w:tc>
        <w:tc>
          <w:tcPr>
            <w:tcW w:w="914" w:type="dxa"/>
          </w:tcPr>
          <w:p w14:paraId="29320269" w14:textId="6F89A2F0" w:rsidR="005E1796" w:rsidRPr="009B4D65" w:rsidRDefault="005E1796" w:rsidP="005E1796">
            <w:pPr>
              <w:spacing w:line="276" w:lineRule="auto"/>
              <w:jc w:val="center"/>
              <w:rPr>
                <w:rFonts w:asciiTheme="majorBidi" w:hAnsiTheme="majorBidi" w:cstheme="majorBidi"/>
                <w:szCs w:val="22"/>
              </w:rPr>
            </w:pPr>
            <w:r w:rsidRPr="00C926FD">
              <w:t>-1.302</w:t>
            </w:r>
          </w:p>
        </w:tc>
        <w:tc>
          <w:tcPr>
            <w:tcW w:w="932" w:type="dxa"/>
          </w:tcPr>
          <w:p w14:paraId="7E93480A"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−1.037</w:t>
            </w:r>
          </w:p>
        </w:tc>
        <w:tc>
          <w:tcPr>
            <w:tcW w:w="932" w:type="dxa"/>
          </w:tcPr>
          <w:p w14:paraId="733F95ED"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−1.366</w:t>
            </w:r>
          </w:p>
        </w:tc>
        <w:tc>
          <w:tcPr>
            <w:tcW w:w="1558" w:type="dxa"/>
          </w:tcPr>
          <w:p w14:paraId="69678D52"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Meteorological</w:t>
            </w:r>
          </w:p>
        </w:tc>
      </w:tr>
      <w:tr w:rsidR="005E1796" w:rsidRPr="009B4D65" w14:paraId="550B5955" w14:textId="77777777" w:rsidTr="002B3069">
        <w:tc>
          <w:tcPr>
            <w:tcW w:w="773" w:type="dxa"/>
          </w:tcPr>
          <w:p w14:paraId="1AB0B231"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11</w:t>
            </w:r>
          </w:p>
        </w:tc>
        <w:tc>
          <w:tcPr>
            <w:tcW w:w="1113" w:type="dxa"/>
          </w:tcPr>
          <w:p w14:paraId="07B0C71D" w14:textId="0F4A5C9C"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Aug</w:t>
            </w:r>
            <w:r>
              <w:rPr>
                <w:rFonts w:asciiTheme="majorBidi" w:hAnsiTheme="majorBidi" w:cstheme="majorBidi"/>
                <w:szCs w:val="22"/>
              </w:rPr>
              <w:t>-Sep</w:t>
            </w:r>
            <w:r w:rsidRPr="009B4D65">
              <w:rPr>
                <w:rFonts w:asciiTheme="majorBidi" w:hAnsiTheme="majorBidi" w:cstheme="majorBidi"/>
                <w:szCs w:val="22"/>
              </w:rPr>
              <w:t xml:space="preserve"> 2009</w:t>
            </w:r>
          </w:p>
        </w:tc>
        <w:tc>
          <w:tcPr>
            <w:tcW w:w="1066" w:type="dxa"/>
          </w:tcPr>
          <w:p w14:paraId="23D357B0" w14:textId="7987537F" w:rsidR="005E1796" w:rsidRPr="009B4D65" w:rsidRDefault="005E1796" w:rsidP="005E1796">
            <w:pPr>
              <w:spacing w:line="276" w:lineRule="auto"/>
              <w:jc w:val="center"/>
              <w:rPr>
                <w:rFonts w:asciiTheme="majorBidi" w:hAnsiTheme="majorBidi" w:cstheme="majorBidi"/>
                <w:szCs w:val="22"/>
              </w:rPr>
            </w:pPr>
            <w:r w:rsidRPr="00AA2513">
              <w:t>2</w:t>
            </w:r>
          </w:p>
        </w:tc>
        <w:tc>
          <w:tcPr>
            <w:tcW w:w="914" w:type="dxa"/>
          </w:tcPr>
          <w:p w14:paraId="7DD7BE98" w14:textId="1333EB70" w:rsidR="005E1796" w:rsidRPr="009B4D65" w:rsidRDefault="005E1796" w:rsidP="005E1796">
            <w:pPr>
              <w:spacing w:line="276" w:lineRule="auto"/>
              <w:jc w:val="center"/>
              <w:rPr>
                <w:rFonts w:asciiTheme="majorBidi" w:hAnsiTheme="majorBidi" w:cstheme="majorBidi"/>
                <w:szCs w:val="22"/>
              </w:rPr>
            </w:pPr>
            <w:r w:rsidRPr="0064123A">
              <w:t>-1.097</w:t>
            </w:r>
          </w:p>
        </w:tc>
        <w:tc>
          <w:tcPr>
            <w:tcW w:w="914" w:type="dxa"/>
          </w:tcPr>
          <w:p w14:paraId="58B7CE3E" w14:textId="4C960DF5" w:rsidR="005E1796" w:rsidRPr="009B4D65" w:rsidRDefault="005E1796" w:rsidP="005E1796">
            <w:pPr>
              <w:spacing w:line="276" w:lineRule="auto"/>
              <w:jc w:val="center"/>
              <w:rPr>
                <w:rFonts w:asciiTheme="majorBidi" w:hAnsiTheme="majorBidi" w:cstheme="majorBidi"/>
                <w:szCs w:val="22"/>
              </w:rPr>
            </w:pPr>
            <w:r w:rsidRPr="00C926FD">
              <w:t>-1.032</w:t>
            </w:r>
          </w:p>
        </w:tc>
        <w:tc>
          <w:tcPr>
            <w:tcW w:w="932" w:type="dxa"/>
          </w:tcPr>
          <w:p w14:paraId="1E7018A3"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−1.398</w:t>
            </w:r>
          </w:p>
        </w:tc>
        <w:tc>
          <w:tcPr>
            <w:tcW w:w="932" w:type="dxa"/>
          </w:tcPr>
          <w:p w14:paraId="4D6DDF35"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−0.941</w:t>
            </w:r>
          </w:p>
        </w:tc>
        <w:tc>
          <w:tcPr>
            <w:tcW w:w="1558" w:type="dxa"/>
          </w:tcPr>
          <w:p w14:paraId="0B18E4BA"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Meteorological</w:t>
            </w:r>
          </w:p>
        </w:tc>
      </w:tr>
      <w:tr w:rsidR="005E1796" w:rsidRPr="009B4D65" w14:paraId="3D8FEABD" w14:textId="77777777" w:rsidTr="002B3069">
        <w:tc>
          <w:tcPr>
            <w:tcW w:w="773" w:type="dxa"/>
          </w:tcPr>
          <w:p w14:paraId="2F6F00B3"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12</w:t>
            </w:r>
          </w:p>
        </w:tc>
        <w:tc>
          <w:tcPr>
            <w:tcW w:w="1113" w:type="dxa"/>
          </w:tcPr>
          <w:p w14:paraId="507A9F4E" w14:textId="26D1F136"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Feb–</w:t>
            </w:r>
            <w:r>
              <w:rPr>
                <w:rFonts w:asciiTheme="majorBidi" w:hAnsiTheme="majorBidi" w:cstheme="majorBidi"/>
                <w:szCs w:val="22"/>
              </w:rPr>
              <w:t>May</w:t>
            </w:r>
            <w:r w:rsidRPr="009B4D65">
              <w:rPr>
                <w:rFonts w:asciiTheme="majorBidi" w:hAnsiTheme="majorBidi" w:cstheme="majorBidi"/>
                <w:szCs w:val="22"/>
              </w:rPr>
              <w:t xml:space="preserve"> 2014</w:t>
            </w:r>
          </w:p>
        </w:tc>
        <w:tc>
          <w:tcPr>
            <w:tcW w:w="1066" w:type="dxa"/>
          </w:tcPr>
          <w:p w14:paraId="0B3E49BB" w14:textId="7803A7E2" w:rsidR="005E1796" w:rsidRPr="009B4D65" w:rsidRDefault="005E1796" w:rsidP="005E1796">
            <w:pPr>
              <w:spacing w:line="276" w:lineRule="auto"/>
              <w:jc w:val="center"/>
              <w:rPr>
                <w:rFonts w:asciiTheme="majorBidi" w:hAnsiTheme="majorBidi" w:cstheme="majorBidi"/>
                <w:szCs w:val="22"/>
              </w:rPr>
            </w:pPr>
            <w:r w:rsidRPr="00AA2513">
              <w:t>4</w:t>
            </w:r>
          </w:p>
        </w:tc>
        <w:tc>
          <w:tcPr>
            <w:tcW w:w="914" w:type="dxa"/>
          </w:tcPr>
          <w:p w14:paraId="6F9F4EF7" w14:textId="13178490" w:rsidR="005E1796" w:rsidRPr="009B4D65" w:rsidRDefault="005E1796" w:rsidP="005E1796">
            <w:pPr>
              <w:spacing w:line="276" w:lineRule="auto"/>
              <w:jc w:val="center"/>
              <w:rPr>
                <w:rFonts w:asciiTheme="majorBidi" w:hAnsiTheme="majorBidi" w:cstheme="majorBidi"/>
                <w:szCs w:val="22"/>
              </w:rPr>
            </w:pPr>
            <w:r w:rsidRPr="0064123A">
              <w:t>-1.434</w:t>
            </w:r>
          </w:p>
        </w:tc>
        <w:tc>
          <w:tcPr>
            <w:tcW w:w="914" w:type="dxa"/>
          </w:tcPr>
          <w:p w14:paraId="4DA5573C" w14:textId="73201ED6" w:rsidR="005E1796" w:rsidRPr="009B4D65" w:rsidRDefault="005E1796" w:rsidP="005E1796">
            <w:pPr>
              <w:spacing w:line="276" w:lineRule="auto"/>
              <w:jc w:val="center"/>
              <w:rPr>
                <w:rFonts w:asciiTheme="majorBidi" w:hAnsiTheme="majorBidi" w:cstheme="majorBidi"/>
                <w:szCs w:val="22"/>
              </w:rPr>
            </w:pPr>
            <w:r w:rsidRPr="00C926FD">
              <w:t>-1.068</w:t>
            </w:r>
          </w:p>
        </w:tc>
        <w:tc>
          <w:tcPr>
            <w:tcW w:w="932" w:type="dxa"/>
          </w:tcPr>
          <w:p w14:paraId="5B107C3A"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−1.190</w:t>
            </w:r>
          </w:p>
        </w:tc>
        <w:tc>
          <w:tcPr>
            <w:tcW w:w="932" w:type="dxa"/>
          </w:tcPr>
          <w:p w14:paraId="227A9856"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−1.438</w:t>
            </w:r>
          </w:p>
        </w:tc>
        <w:tc>
          <w:tcPr>
            <w:tcW w:w="1558" w:type="dxa"/>
          </w:tcPr>
          <w:p w14:paraId="5432D7DC"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Meteorological</w:t>
            </w:r>
          </w:p>
        </w:tc>
      </w:tr>
      <w:tr w:rsidR="005E1796" w:rsidRPr="009B4D65" w14:paraId="136B270F" w14:textId="77777777" w:rsidTr="002B3069">
        <w:tc>
          <w:tcPr>
            <w:tcW w:w="773" w:type="dxa"/>
          </w:tcPr>
          <w:p w14:paraId="552D2A01"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13</w:t>
            </w:r>
          </w:p>
        </w:tc>
        <w:tc>
          <w:tcPr>
            <w:tcW w:w="1113" w:type="dxa"/>
          </w:tcPr>
          <w:p w14:paraId="40B13DEF" w14:textId="3FF9A0AE"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Jan–</w:t>
            </w:r>
            <w:r>
              <w:rPr>
                <w:rFonts w:asciiTheme="majorBidi" w:hAnsiTheme="majorBidi" w:cstheme="majorBidi"/>
                <w:szCs w:val="22"/>
              </w:rPr>
              <w:t>Apr</w:t>
            </w:r>
            <w:r w:rsidRPr="009B4D65">
              <w:rPr>
                <w:rFonts w:asciiTheme="majorBidi" w:hAnsiTheme="majorBidi" w:cstheme="majorBidi"/>
                <w:szCs w:val="22"/>
              </w:rPr>
              <w:t xml:space="preserve"> 2023</w:t>
            </w:r>
          </w:p>
        </w:tc>
        <w:tc>
          <w:tcPr>
            <w:tcW w:w="1066" w:type="dxa"/>
          </w:tcPr>
          <w:p w14:paraId="6AA1BDEF" w14:textId="75143453" w:rsidR="005E1796" w:rsidRPr="009B4D65" w:rsidRDefault="005E1796" w:rsidP="005E1796">
            <w:pPr>
              <w:spacing w:line="276" w:lineRule="auto"/>
              <w:jc w:val="center"/>
              <w:rPr>
                <w:rFonts w:asciiTheme="majorBidi" w:hAnsiTheme="majorBidi" w:cstheme="majorBidi"/>
                <w:szCs w:val="22"/>
              </w:rPr>
            </w:pPr>
            <w:r w:rsidRPr="00AA2513">
              <w:t>4</w:t>
            </w:r>
          </w:p>
        </w:tc>
        <w:tc>
          <w:tcPr>
            <w:tcW w:w="914" w:type="dxa"/>
          </w:tcPr>
          <w:p w14:paraId="5A0057EF" w14:textId="624D2EFA" w:rsidR="005E1796" w:rsidRPr="009B4D65" w:rsidRDefault="005E1796" w:rsidP="005E1796">
            <w:pPr>
              <w:spacing w:line="276" w:lineRule="auto"/>
              <w:jc w:val="center"/>
              <w:rPr>
                <w:rFonts w:asciiTheme="majorBidi" w:hAnsiTheme="majorBidi" w:cstheme="majorBidi"/>
                <w:szCs w:val="22"/>
              </w:rPr>
            </w:pPr>
            <w:r w:rsidRPr="0064123A">
              <w:t>-1.248</w:t>
            </w:r>
          </w:p>
        </w:tc>
        <w:tc>
          <w:tcPr>
            <w:tcW w:w="914" w:type="dxa"/>
          </w:tcPr>
          <w:p w14:paraId="5A3A4B0F" w14:textId="27B5EDC3" w:rsidR="005E1796" w:rsidRPr="009B4D65" w:rsidRDefault="005E1796" w:rsidP="005E1796">
            <w:pPr>
              <w:spacing w:line="276" w:lineRule="auto"/>
              <w:jc w:val="center"/>
              <w:rPr>
                <w:rFonts w:asciiTheme="majorBidi" w:hAnsiTheme="majorBidi" w:cstheme="majorBidi"/>
                <w:szCs w:val="22"/>
              </w:rPr>
            </w:pPr>
            <w:r w:rsidRPr="00C926FD">
              <w:t>-1.099</w:t>
            </w:r>
          </w:p>
        </w:tc>
        <w:tc>
          <w:tcPr>
            <w:tcW w:w="932" w:type="dxa"/>
          </w:tcPr>
          <w:p w14:paraId="095E531F"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−1.375</w:t>
            </w:r>
          </w:p>
        </w:tc>
        <w:tc>
          <w:tcPr>
            <w:tcW w:w="932" w:type="dxa"/>
          </w:tcPr>
          <w:p w14:paraId="02A7897B"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−1.914</w:t>
            </w:r>
          </w:p>
        </w:tc>
        <w:tc>
          <w:tcPr>
            <w:tcW w:w="1558" w:type="dxa"/>
          </w:tcPr>
          <w:p w14:paraId="7051F684" w14:textId="77777777" w:rsidR="005E1796" w:rsidRPr="009B4D65" w:rsidRDefault="005E1796" w:rsidP="005E1796">
            <w:pPr>
              <w:spacing w:line="276" w:lineRule="auto"/>
              <w:jc w:val="center"/>
              <w:rPr>
                <w:rFonts w:asciiTheme="majorBidi" w:hAnsiTheme="majorBidi" w:cstheme="majorBidi"/>
                <w:szCs w:val="22"/>
              </w:rPr>
            </w:pPr>
            <w:r w:rsidRPr="009B4D65">
              <w:rPr>
                <w:rFonts w:asciiTheme="majorBidi" w:hAnsiTheme="majorBidi" w:cstheme="majorBidi"/>
                <w:szCs w:val="22"/>
              </w:rPr>
              <w:t>Meteorological</w:t>
            </w:r>
          </w:p>
        </w:tc>
      </w:tr>
    </w:tbl>
    <w:p w14:paraId="131DAB57" w14:textId="77777777" w:rsidR="002F41C5" w:rsidRPr="00AA6EA3" w:rsidRDefault="002F41C5" w:rsidP="002F41C5">
      <w:pPr>
        <w:spacing w:line="276" w:lineRule="auto"/>
        <w:rPr>
          <w:rFonts w:asciiTheme="majorBidi" w:hAnsiTheme="majorBidi" w:cstheme="majorBidi"/>
          <w:i/>
          <w:iCs/>
          <w:sz w:val="20"/>
          <w:szCs w:val="20"/>
        </w:rPr>
      </w:pPr>
      <w:r w:rsidRPr="00AA6EA3">
        <w:rPr>
          <w:rFonts w:asciiTheme="majorBidi" w:hAnsiTheme="majorBidi" w:cstheme="majorBidi"/>
          <w:i/>
          <w:iCs/>
          <w:sz w:val="20"/>
          <w:szCs w:val="20"/>
        </w:rPr>
        <w:t>Notes: Events 7–10 constitute a 27-month drought cluster within a 31-month window (Jun 2006–Dec 2008), the most severe sustained hydrological drought in the observational record. † indicates events where mean SPEI-3 &gt; 0 during the SLLI drought period, suggesting dominant non-meteorological (anthropogenic) forcing. Bold: record extremes.</w:t>
      </w:r>
    </w:p>
    <w:p w14:paraId="0151C1F6" w14:textId="5AE22C78" w:rsidR="00DD15CD" w:rsidRPr="009B4D65" w:rsidRDefault="00E95EA7" w:rsidP="00E95EA7">
      <w:pPr>
        <w:rPr>
          <w:rFonts w:asciiTheme="majorBidi" w:hAnsiTheme="majorBidi" w:cstheme="majorBidi"/>
          <w:sz w:val="22"/>
          <w:szCs w:val="22"/>
        </w:rPr>
      </w:pPr>
      <w:r>
        <w:rPr>
          <w:rFonts w:asciiTheme="majorBidi" w:hAnsiTheme="majorBidi" w:cstheme="majorBidi"/>
          <w:sz w:val="22"/>
          <w:szCs w:val="22"/>
        </w:rPr>
        <w:br w:type="page"/>
      </w:r>
    </w:p>
    <w:p w14:paraId="1EB87944" w14:textId="77777777" w:rsidR="00F33F8B" w:rsidRPr="009B4D65" w:rsidRDefault="00F33F8B" w:rsidP="009B4D65">
      <w:pPr>
        <w:pStyle w:val="Heading1"/>
        <w:spacing w:before="160" w:line="276" w:lineRule="auto"/>
        <w:rPr>
          <w:color w:val="0D0D0D" w:themeColor="text1" w:themeTint="F2"/>
          <w:sz w:val="22"/>
          <w:szCs w:val="22"/>
        </w:rPr>
      </w:pPr>
      <w:r w:rsidRPr="009B4D65">
        <w:rPr>
          <w:color w:val="0D0D0D" w:themeColor="text1" w:themeTint="F2"/>
          <w:sz w:val="22"/>
          <w:szCs w:val="22"/>
        </w:rPr>
        <w:t>References</w:t>
      </w:r>
    </w:p>
    <w:p w14:paraId="6E1A0C61" w14:textId="77777777" w:rsidR="00E95EA7" w:rsidRPr="00E95EA7" w:rsidRDefault="006B0865" w:rsidP="00E95EA7">
      <w:pPr>
        <w:pStyle w:val="Bibliography"/>
        <w:rPr>
          <w:rFonts w:asciiTheme="majorBidi" w:hAnsiTheme="majorBidi" w:cstheme="majorBidi"/>
          <w:sz w:val="22"/>
          <w:szCs w:val="22"/>
        </w:rPr>
      </w:pPr>
      <w:r w:rsidRPr="00E95EA7">
        <w:rPr>
          <w:rFonts w:asciiTheme="majorBidi" w:hAnsiTheme="majorBidi" w:cstheme="majorBidi"/>
          <w:sz w:val="22"/>
          <w:szCs w:val="22"/>
        </w:rPr>
        <w:fldChar w:fldCharType="begin"/>
      </w:r>
      <w:r w:rsidR="00DD15CD" w:rsidRPr="00E95EA7">
        <w:rPr>
          <w:rFonts w:asciiTheme="majorBidi" w:hAnsiTheme="majorBidi" w:cstheme="majorBidi"/>
          <w:sz w:val="22"/>
          <w:szCs w:val="22"/>
        </w:rPr>
        <w:instrText xml:space="preserve"> ADDIN ZOTERO_BIBL {"uncited":[],"omitted":[],"custom":[]} CSL_BIBLIOGRAPHY </w:instrText>
      </w:r>
      <w:r w:rsidRPr="00E95EA7">
        <w:rPr>
          <w:rFonts w:asciiTheme="majorBidi" w:hAnsiTheme="majorBidi" w:cstheme="majorBidi"/>
          <w:sz w:val="22"/>
          <w:szCs w:val="22"/>
        </w:rPr>
        <w:fldChar w:fldCharType="separate"/>
      </w:r>
      <w:r w:rsidR="00E95EA7" w:rsidRPr="00E95EA7">
        <w:rPr>
          <w:rFonts w:asciiTheme="majorBidi" w:hAnsiTheme="majorBidi" w:cstheme="majorBidi"/>
          <w:sz w:val="22"/>
          <w:szCs w:val="22"/>
        </w:rPr>
        <w:t>Alias, M.A., Alipitchay, S., Tajudin, M.A.B.A., Seposo, X., Sahani, M., Othman, H., 2026. Assessing temporal causal effects of climate on dengue incidence in Peninsular Malaysia. J. Clim. Change Health 27, 100634.</w:t>
      </w:r>
    </w:p>
    <w:p w14:paraId="7859E0A4"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Bretherton, C.S., Widmann, M., Dymnikov, V.P., Wallace, J.M., Bladé, I., 1999. The Effective Number of Spatial Degrees of Freedom of a Time-Varying Field. J. Clim. 12, 1990–2009. https://doi.org/10.1175/1520-0442(1999)012%3C1990:TENOSD%3E2.0.CO;2</w:t>
      </w:r>
    </w:p>
    <w:p w14:paraId="2B0BFA13"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Chelton, D.B., 1983. Effects of sampling errors in statistical estimation. Deep Sea Res. Part Oceanogr. Res. Pap. 30, 1083–1103.</w:t>
      </w:r>
    </w:p>
    <w:p w14:paraId="0585868B"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Crétaux, J.-F., Birkett, C., 2006. Lake studies from satellite radar altimetry. Terre Obs. Depuis Espace 338, 1098–1112. https://doi.org/10.1016/j.crte.2006.08.002</w:t>
      </w:r>
    </w:p>
    <w:p w14:paraId="6E873B97"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Dickey, D.A., Fuller, W.A., 1979. Distribution of the Estimators for Autoregressive Time Series With a Unit Root. J. Am. Stat. Assoc. 74, 427–431. https://doi.org/10.2307/2286348</w:t>
      </w:r>
    </w:p>
    <w:p w14:paraId="5505F96E"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Fang, Q., Qiu, T., Chen, F., Tian, X., Feng, Z., Cao, Y., Bai, J., Huang, J., Liu, Y., 2025. The relationship between prenatal drought exposure and the diversity and composition of gut microbiome in pregnant women and neonates. Sci. Rep. 15, 296. https://doi.org/10.1038/s41598-024-82148-6</w:t>
      </w:r>
    </w:p>
    <w:p w14:paraId="613EC840"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Fasano, G., Franceschini, A., 1987. A multidimensional version of the Kolmogorov–Smirnov test. Mon. Not. R. Astron. Soc. 225, 155–170. https://doi.org/10.1093/mnras/225.1.155</w:t>
      </w:r>
    </w:p>
    <w:p w14:paraId="4095308B"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Fleig, A.K., Tallaksen, L.M., Hisdal, H., Demuth, S., 2006. A global evaluation of streamflow drought characteristics. Hydrol. Earth Syst. Sci. 10, 535–552.</w:t>
      </w:r>
    </w:p>
    <w:p w14:paraId="3674108D"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Hobijn, B., Franses, P.H., Ooms, M., 2004. Generalizations of the KPSS-test for stationarity. Stat. Neerlandica 58, 483–502. https://doi.org/10.1111/j.1467-9574.2004.00272.x</w:t>
      </w:r>
    </w:p>
    <w:p w14:paraId="1DABB2B6"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Huang, X., Liu, L., Xu, N., Chen, Y., Wang, X., Lin, Z., 2025. Load Forecasting Using BiLSTM with Quantile Granger Causality: Insights from Geographic–Climatic Coupling Mechanisms. Appl. Sci. 15, 5912. https://doi.org/10.3390/app15115912</w:t>
      </w:r>
    </w:p>
    <w:p w14:paraId="5EF3C084"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Kagalwala, A., 2022. kpsstest: A command that implements the Kwiatkowski, Phillips, Schmidt, and Shin test with sample-specific critical values and reports p-values. Stata J. Promot. Commun. Stat. Stata 22, 269–292. https://doi.org/10.1177/1536867X221106371</w:t>
      </w:r>
    </w:p>
    <w:p w14:paraId="482D5DF8"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Künsch, H.R., 1989. The Jackknife and the Bootstrap for General Stationary Observations. Ann. Stat. 17, 1217–1241.</w:t>
      </w:r>
    </w:p>
    <w:p w14:paraId="0F7AE104"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Liu, J., Xia, J., Wang, M., 2025. Comparative study on bivariate statistical characteristics of drought in Shandong using SPI and SPEI. Sci. Rep. 15, 11268. https://doi.org/10.1038/s41598-024-83522-0</w:t>
      </w:r>
    </w:p>
    <w:p w14:paraId="78171BD5"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Liu, R.Y., Singh, K., 1992. Efficiency and robustness in resampling. Ann. Stat. 20, 370–384.</w:t>
      </w:r>
    </w:p>
    <w:p w14:paraId="2993C23A"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MacKinnon, J.G., 1994. Approximate Asymptotic Distribution Functions for Unit-Root and Cointegration Tests. J. Bus. Econ. Stat. 12, 167–176. https://doi.org/10.1080/07350015.1994.10510005</w:t>
      </w:r>
    </w:p>
    <w:p w14:paraId="248EEAB0"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Maitra, S., Politis, D.N., 2024. Prepivoted Augmented Dickey-Fuller Test with Bootstrap-Assisted Lag Length Selection. Stats 7, 1226–1243. https://doi.org/10.3390/stats7040072</w:t>
      </w:r>
    </w:p>
    <w:p w14:paraId="19CE1D95"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Pyper, B.J., Peterman, R.M., 1998. Comparison of methods to account for autocorrelation in correlation analyses of fish data. Can. J. Fish. Aquat. Sci. 55, 2127–2140.</w:t>
      </w:r>
    </w:p>
    <w:p w14:paraId="1351A716"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Quenouille, M.H., 1952. Associated measurements.</w:t>
      </w:r>
    </w:p>
    <w:p w14:paraId="3E83B52F"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Rasouli Majd, N., Montaseri, M., Amirataee, B., 2025. Stochastic evaluation of the effect of cross-correlation between precipitation and evapotranspiration on SPEI performance. J. Hydrol. 652, 132650. https://doi.org/10.1016/j.jhydrol.2024.132650</w:t>
      </w:r>
    </w:p>
    <w:p w14:paraId="5DCA9CC5"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Shyrokaya, A., Pappenberger, F., Messori, G., Pechlivanidis, I., Cloke, H., Di Baldassarre, G., 2025. How good is my drought index? Evaluating predictability and ability to estimate impacts across Europe. Environ. Res. Lett. 20, 034051. https://doi.org/10.1088/1748-9326/adb869</w:t>
      </w:r>
    </w:p>
    <w:p w14:paraId="40ED2375"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Van Lanen, H.A.J., Wanders, N., Tallaksen, L.M., Van Loon, A.F., 2013. Hydrological drought across the world: impact of climate and physical catchment structure. Hydrol. Earth Syst. Sci. 17, 1715–1732. https://doi.org/10.5194/hess-17-1715-2013</w:t>
      </w:r>
    </w:p>
    <w:p w14:paraId="64761CF0" w14:textId="77777777" w:rsidR="00E95EA7" w:rsidRPr="00E95EA7" w:rsidRDefault="00E95EA7" w:rsidP="00E95EA7">
      <w:pPr>
        <w:pStyle w:val="Bibliography"/>
        <w:rPr>
          <w:rFonts w:asciiTheme="majorBidi" w:hAnsiTheme="majorBidi" w:cstheme="majorBidi"/>
          <w:sz w:val="22"/>
          <w:szCs w:val="22"/>
        </w:rPr>
      </w:pPr>
      <w:r w:rsidRPr="00E95EA7">
        <w:rPr>
          <w:rFonts w:asciiTheme="majorBidi" w:hAnsiTheme="majorBidi" w:cstheme="majorBidi"/>
          <w:sz w:val="22"/>
          <w:szCs w:val="22"/>
        </w:rPr>
        <w:t>Yevjevich, V.M., 1967. An objective approach to definitions and investigations of continental hydrologic droughts. Colorado State University Fort Collins, CO, USA.</w:t>
      </w:r>
    </w:p>
    <w:p w14:paraId="3F278DBD" w14:textId="3B295FD9" w:rsidR="00AF172C" w:rsidRPr="00E95EA7" w:rsidRDefault="006B0865" w:rsidP="00590EFB">
      <w:pPr>
        <w:spacing w:line="276" w:lineRule="auto"/>
        <w:rPr>
          <w:rFonts w:asciiTheme="majorBidi" w:hAnsiTheme="majorBidi" w:cstheme="majorBidi"/>
          <w:sz w:val="22"/>
          <w:szCs w:val="22"/>
        </w:rPr>
      </w:pPr>
      <w:r w:rsidRPr="00E95EA7">
        <w:rPr>
          <w:rFonts w:asciiTheme="majorBidi" w:hAnsiTheme="majorBidi" w:cstheme="majorBidi"/>
          <w:sz w:val="22"/>
          <w:szCs w:val="22"/>
        </w:rPr>
        <w:fldChar w:fldCharType="end"/>
      </w:r>
    </w:p>
    <w:sectPr w:rsidR="00AF172C" w:rsidRPr="00E95EA7" w:rsidSect="00E95EA7">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590239"/>
    <w:multiLevelType w:val="multilevel"/>
    <w:tmpl w:val="6ACC75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49895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84C"/>
    <w:rsid w:val="00001BB2"/>
    <w:rsid w:val="00052906"/>
    <w:rsid w:val="00112EBB"/>
    <w:rsid w:val="001376B4"/>
    <w:rsid w:val="0015112A"/>
    <w:rsid w:val="00175F46"/>
    <w:rsid w:val="00177BC2"/>
    <w:rsid w:val="0021084C"/>
    <w:rsid w:val="00221A58"/>
    <w:rsid w:val="002B3069"/>
    <w:rsid w:val="002E6A6B"/>
    <w:rsid w:val="002F41C5"/>
    <w:rsid w:val="00330748"/>
    <w:rsid w:val="003357A9"/>
    <w:rsid w:val="00382BE4"/>
    <w:rsid w:val="003D2428"/>
    <w:rsid w:val="003D4B7C"/>
    <w:rsid w:val="00430829"/>
    <w:rsid w:val="00437CEC"/>
    <w:rsid w:val="00440565"/>
    <w:rsid w:val="00441C3E"/>
    <w:rsid w:val="00484287"/>
    <w:rsid w:val="004947DD"/>
    <w:rsid w:val="004D1D9A"/>
    <w:rsid w:val="004E421F"/>
    <w:rsid w:val="00517842"/>
    <w:rsid w:val="00541381"/>
    <w:rsid w:val="005523C8"/>
    <w:rsid w:val="0057683E"/>
    <w:rsid w:val="00590EFB"/>
    <w:rsid w:val="005D3F06"/>
    <w:rsid w:val="005D69B1"/>
    <w:rsid w:val="005E1796"/>
    <w:rsid w:val="0063089A"/>
    <w:rsid w:val="006411E3"/>
    <w:rsid w:val="0064642B"/>
    <w:rsid w:val="00675144"/>
    <w:rsid w:val="006A19B5"/>
    <w:rsid w:val="006B0865"/>
    <w:rsid w:val="006F0620"/>
    <w:rsid w:val="00732239"/>
    <w:rsid w:val="0073554F"/>
    <w:rsid w:val="007E4228"/>
    <w:rsid w:val="007E60CF"/>
    <w:rsid w:val="00812647"/>
    <w:rsid w:val="00814185"/>
    <w:rsid w:val="008320AB"/>
    <w:rsid w:val="0083730C"/>
    <w:rsid w:val="00852669"/>
    <w:rsid w:val="00861519"/>
    <w:rsid w:val="00864BD0"/>
    <w:rsid w:val="008717C0"/>
    <w:rsid w:val="008B6915"/>
    <w:rsid w:val="008C0EC1"/>
    <w:rsid w:val="008F17ED"/>
    <w:rsid w:val="008F4FB6"/>
    <w:rsid w:val="009270E1"/>
    <w:rsid w:val="0096199C"/>
    <w:rsid w:val="0097110D"/>
    <w:rsid w:val="00981D1A"/>
    <w:rsid w:val="00996918"/>
    <w:rsid w:val="009A178A"/>
    <w:rsid w:val="009A2344"/>
    <w:rsid w:val="009B2063"/>
    <w:rsid w:val="009B4D65"/>
    <w:rsid w:val="00A41C9E"/>
    <w:rsid w:val="00A85FF5"/>
    <w:rsid w:val="00A90485"/>
    <w:rsid w:val="00A90706"/>
    <w:rsid w:val="00AA3CF3"/>
    <w:rsid w:val="00AA6EA3"/>
    <w:rsid w:val="00AD0248"/>
    <w:rsid w:val="00AD50EC"/>
    <w:rsid w:val="00AF172C"/>
    <w:rsid w:val="00AF78B1"/>
    <w:rsid w:val="00B129FA"/>
    <w:rsid w:val="00B15D69"/>
    <w:rsid w:val="00B649E7"/>
    <w:rsid w:val="00B65F75"/>
    <w:rsid w:val="00B7194B"/>
    <w:rsid w:val="00B80E6A"/>
    <w:rsid w:val="00BA2BAF"/>
    <w:rsid w:val="00BD6AA5"/>
    <w:rsid w:val="00BE537F"/>
    <w:rsid w:val="00C06C40"/>
    <w:rsid w:val="00C220C0"/>
    <w:rsid w:val="00C43BC2"/>
    <w:rsid w:val="00C52D5F"/>
    <w:rsid w:val="00C64692"/>
    <w:rsid w:val="00C73741"/>
    <w:rsid w:val="00CA5F93"/>
    <w:rsid w:val="00CD00A4"/>
    <w:rsid w:val="00D03728"/>
    <w:rsid w:val="00D54720"/>
    <w:rsid w:val="00D61284"/>
    <w:rsid w:val="00D86BB7"/>
    <w:rsid w:val="00D90E1E"/>
    <w:rsid w:val="00DA5298"/>
    <w:rsid w:val="00DD15CD"/>
    <w:rsid w:val="00E03957"/>
    <w:rsid w:val="00E17A0B"/>
    <w:rsid w:val="00E767D6"/>
    <w:rsid w:val="00E816A5"/>
    <w:rsid w:val="00E95EA7"/>
    <w:rsid w:val="00EB29A5"/>
    <w:rsid w:val="00ED62EE"/>
    <w:rsid w:val="00F33F8B"/>
    <w:rsid w:val="00F47DC5"/>
    <w:rsid w:val="00F90FC7"/>
    <w:rsid w:val="00FC1B37"/>
    <w:rsid w:val="00FC1B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17E28"/>
  <w15:chartTrackingRefBased/>
  <w15:docId w15:val="{B6EFB412-2CC9-4A87-B8A3-1D1105FED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1C5"/>
  </w:style>
  <w:style w:type="paragraph" w:styleId="Heading1">
    <w:name w:val="heading 1"/>
    <w:basedOn w:val="Normal"/>
    <w:next w:val="Normal"/>
    <w:link w:val="Heading1Char"/>
    <w:uiPriority w:val="9"/>
    <w:qFormat/>
    <w:rsid w:val="005523C8"/>
    <w:pPr>
      <w:keepNext/>
      <w:keepLines/>
      <w:spacing w:before="360" w:after="80"/>
      <w:outlineLvl w:val="0"/>
    </w:pPr>
    <w:rPr>
      <w:rFonts w:asciiTheme="majorBidi" w:eastAsiaTheme="majorEastAsia" w:hAnsiTheme="majorBidi" w:cstheme="majorBidi"/>
      <w:b/>
      <w:color w:val="000000" w:themeColor="text1"/>
      <w:szCs w:val="40"/>
    </w:rPr>
  </w:style>
  <w:style w:type="paragraph" w:styleId="Heading2">
    <w:name w:val="heading 2"/>
    <w:basedOn w:val="Normal"/>
    <w:next w:val="Normal"/>
    <w:link w:val="Heading2Char"/>
    <w:uiPriority w:val="9"/>
    <w:unhideWhenUsed/>
    <w:qFormat/>
    <w:rsid w:val="005523C8"/>
    <w:pPr>
      <w:keepNext/>
      <w:keepLines/>
      <w:spacing w:before="160" w:after="80"/>
      <w:outlineLvl w:val="1"/>
    </w:pPr>
    <w:rPr>
      <w:rFonts w:asciiTheme="majorBidi" w:eastAsiaTheme="majorEastAsia" w:hAnsiTheme="majorBidi" w:cstheme="majorBidi"/>
      <w:b/>
      <w:sz w:val="22"/>
      <w:szCs w:val="32"/>
    </w:rPr>
  </w:style>
  <w:style w:type="paragraph" w:styleId="Heading3">
    <w:name w:val="heading 3"/>
    <w:basedOn w:val="Normal"/>
    <w:next w:val="Normal"/>
    <w:link w:val="Heading3Char"/>
    <w:uiPriority w:val="9"/>
    <w:unhideWhenUsed/>
    <w:qFormat/>
    <w:rsid w:val="002108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08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08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08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08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08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08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3C8"/>
    <w:rPr>
      <w:rFonts w:asciiTheme="majorBidi" w:eastAsiaTheme="majorEastAsia" w:hAnsiTheme="majorBidi" w:cstheme="majorBidi"/>
      <w:b/>
      <w:color w:val="000000" w:themeColor="text1"/>
      <w:szCs w:val="40"/>
    </w:rPr>
  </w:style>
  <w:style w:type="character" w:customStyle="1" w:styleId="Heading2Char">
    <w:name w:val="Heading 2 Char"/>
    <w:basedOn w:val="DefaultParagraphFont"/>
    <w:link w:val="Heading2"/>
    <w:uiPriority w:val="9"/>
    <w:rsid w:val="005523C8"/>
    <w:rPr>
      <w:rFonts w:asciiTheme="majorBidi" w:eastAsiaTheme="majorEastAsia" w:hAnsiTheme="majorBidi" w:cstheme="majorBidi"/>
      <w:b/>
      <w:sz w:val="22"/>
      <w:szCs w:val="32"/>
    </w:rPr>
  </w:style>
  <w:style w:type="character" w:customStyle="1" w:styleId="Heading3Char">
    <w:name w:val="Heading 3 Char"/>
    <w:basedOn w:val="DefaultParagraphFont"/>
    <w:link w:val="Heading3"/>
    <w:uiPriority w:val="9"/>
    <w:rsid w:val="002108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08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08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8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08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8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084C"/>
    <w:rPr>
      <w:rFonts w:eastAsiaTheme="majorEastAsia" w:cstheme="majorBidi"/>
      <w:color w:val="272727" w:themeColor="text1" w:themeTint="D8"/>
    </w:rPr>
  </w:style>
  <w:style w:type="paragraph" w:styleId="Title">
    <w:name w:val="Title"/>
    <w:basedOn w:val="Normal"/>
    <w:next w:val="Normal"/>
    <w:link w:val="TitleChar"/>
    <w:uiPriority w:val="10"/>
    <w:qFormat/>
    <w:rsid w:val="002108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08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8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08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084C"/>
    <w:pPr>
      <w:spacing w:before="160"/>
      <w:jc w:val="center"/>
    </w:pPr>
    <w:rPr>
      <w:i/>
      <w:iCs/>
      <w:color w:val="404040" w:themeColor="text1" w:themeTint="BF"/>
    </w:rPr>
  </w:style>
  <w:style w:type="character" w:customStyle="1" w:styleId="QuoteChar">
    <w:name w:val="Quote Char"/>
    <w:basedOn w:val="DefaultParagraphFont"/>
    <w:link w:val="Quote"/>
    <w:uiPriority w:val="29"/>
    <w:rsid w:val="0021084C"/>
    <w:rPr>
      <w:i/>
      <w:iCs/>
      <w:color w:val="404040" w:themeColor="text1" w:themeTint="BF"/>
    </w:rPr>
  </w:style>
  <w:style w:type="paragraph" w:styleId="ListParagraph">
    <w:name w:val="List Paragraph"/>
    <w:basedOn w:val="Normal"/>
    <w:uiPriority w:val="34"/>
    <w:qFormat/>
    <w:rsid w:val="0021084C"/>
    <w:pPr>
      <w:ind w:left="720"/>
      <w:contextualSpacing/>
    </w:pPr>
  </w:style>
  <w:style w:type="character" w:styleId="IntenseEmphasis">
    <w:name w:val="Intense Emphasis"/>
    <w:basedOn w:val="DefaultParagraphFont"/>
    <w:uiPriority w:val="21"/>
    <w:qFormat/>
    <w:rsid w:val="0021084C"/>
    <w:rPr>
      <w:i/>
      <w:iCs/>
      <w:color w:val="0F4761" w:themeColor="accent1" w:themeShade="BF"/>
    </w:rPr>
  </w:style>
  <w:style w:type="paragraph" w:styleId="IntenseQuote">
    <w:name w:val="Intense Quote"/>
    <w:basedOn w:val="Normal"/>
    <w:next w:val="Normal"/>
    <w:link w:val="IntenseQuoteChar"/>
    <w:uiPriority w:val="30"/>
    <w:qFormat/>
    <w:rsid w:val="00210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084C"/>
    <w:rPr>
      <w:i/>
      <w:iCs/>
      <w:color w:val="0F4761" w:themeColor="accent1" w:themeShade="BF"/>
    </w:rPr>
  </w:style>
  <w:style w:type="character" w:styleId="IntenseReference">
    <w:name w:val="Intense Reference"/>
    <w:basedOn w:val="DefaultParagraphFont"/>
    <w:uiPriority w:val="32"/>
    <w:qFormat/>
    <w:rsid w:val="0021084C"/>
    <w:rPr>
      <w:b/>
      <w:bCs/>
      <w:smallCaps/>
      <w:color w:val="0F4761" w:themeColor="accent1" w:themeShade="BF"/>
      <w:spacing w:val="5"/>
    </w:rPr>
  </w:style>
  <w:style w:type="table" w:customStyle="1" w:styleId="ElsevierFormate">
    <w:name w:val="ElsevierFormate"/>
    <w:basedOn w:val="TableNormal"/>
    <w:uiPriority w:val="99"/>
    <w:rsid w:val="0083730C"/>
    <w:pPr>
      <w:spacing w:after="0" w:line="240" w:lineRule="auto"/>
    </w:pPr>
    <w:rPr>
      <w:rFonts w:ascii="Times New Roman" w:hAnsi="Times New Roman"/>
      <w:sz w:val="22"/>
    </w:rPr>
    <w:tblPr>
      <w:tblBorders>
        <w:top w:val="single" w:sz="4" w:space="0" w:color="auto"/>
        <w:bottom w:val="single" w:sz="4" w:space="0" w:color="auto"/>
      </w:tblBorders>
    </w:tblPr>
  </w:style>
  <w:style w:type="paragraph" w:styleId="Caption">
    <w:name w:val="caption"/>
    <w:basedOn w:val="Normal"/>
    <w:next w:val="Normal"/>
    <w:uiPriority w:val="35"/>
    <w:unhideWhenUsed/>
    <w:qFormat/>
    <w:rsid w:val="008F17ED"/>
    <w:pPr>
      <w:spacing w:after="200" w:line="240" w:lineRule="auto"/>
    </w:pPr>
    <w:rPr>
      <w:rFonts w:asciiTheme="majorBidi" w:hAnsiTheme="majorBidi"/>
      <w:i/>
      <w:iCs/>
      <w:color w:val="0E2841" w:themeColor="text2"/>
      <w:sz w:val="18"/>
      <w:szCs w:val="18"/>
      <w14:ligatures w14:val="none"/>
    </w:rPr>
  </w:style>
  <w:style w:type="table" w:customStyle="1" w:styleId="Elsevier">
    <w:name w:val="Elsevier"/>
    <w:basedOn w:val="TableNormal"/>
    <w:uiPriority w:val="99"/>
    <w:rsid w:val="008F17ED"/>
    <w:pPr>
      <w:spacing w:after="0" w:line="240" w:lineRule="auto"/>
    </w:pPr>
    <w:rPr>
      <w:rFonts w:ascii="Times New Roman" w:hAnsi="Times New Roman"/>
      <w:sz w:val="22"/>
      <w14:ligatures w14:val="none"/>
    </w:rPr>
    <w:tblPr>
      <w:tblBorders>
        <w:top w:val="single" w:sz="4" w:space="0" w:color="auto"/>
        <w:bottom w:val="single" w:sz="4" w:space="0" w:color="auto"/>
      </w:tblBorders>
    </w:tblPr>
  </w:style>
  <w:style w:type="table" w:styleId="TableGrid">
    <w:name w:val="Table Grid"/>
    <w:basedOn w:val="TableNormal"/>
    <w:uiPriority w:val="59"/>
    <w:rsid w:val="00F33F8B"/>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F33F8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unhideWhenUsed/>
    <w:rsid w:val="006B0865"/>
    <w:pPr>
      <w:spacing w:after="0" w:line="240" w:lineRule="auto"/>
      <w:ind w:left="720" w:hanging="720"/>
    </w:pPr>
  </w:style>
  <w:style w:type="character" w:styleId="LineNumber">
    <w:name w:val="line number"/>
    <w:basedOn w:val="DefaultParagraphFont"/>
    <w:uiPriority w:val="99"/>
    <w:semiHidden/>
    <w:unhideWhenUsed/>
    <w:rsid w:val="00E95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D0587-EDB0-4FD7-BED3-F3268B492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6</Pages>
  <Words>12695</Words>
  <Characters>72367</Characters>
  <Application>Microsoft Office Word</Application>
  <DocSecurity>0</DocSecurity>
  <Lines>603</Lines>
  <Paragraphs>169</Paragraphs>
  <ScaleCrop>false</ScaleCrop>
  <Company/>
  <LinksUpToDate>false</LinksUpToDate>
  <CharactersWithSpaces>84893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Muslim Amiri</dc:creator>
  <cp:keywords/>
  <dc:description/>
  <cp:lastModifiedBy>Ali Muslim Amiri</cp:lastModifiedBy>
  <cp:revision>19</cp:revision>
  <dcterms:created xsi:type="dcterms:W3CDTF">2026-06-14T15:09:00Z</dcterms:created>
  <dcterms:modified xsi:type="dcterms:W3CDTF">2026-07-23T09:47:00Z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id="67hibtn3"/&gt;&lt;style id="http://www.zotero.org/styles/journal-of-hydrology-regional-studies" hasBibliography="1" bibliographyStyleHasBeenSet="1"/&gt;&lt;prefs&gt;&lt;pref name="fieldType" value="Field"/&gt;&lt;pref na</vt:lpwstr>
  </property>
  <property fmtid="{D5CDD505-2E9C-101B-9397-08002B2CF9AE}" pid="3" name="ZOTERO_PREF_2">
    <vt:lpwstr>me="automaticJournalAbbreviations" value="true"/&gt;&lt;/prefs&gt;&lt;/data&gt;</vt:lpwstr>
  </property>
</Properties>
</file>