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F3CEF" w14:textId="762E720A" w:rsidR="001678C9" w:rsidRPr="0040603C" w:rsidRDefault="001678C9" w:rsidP="00BD1D65">
      <w:pPr>
        <w:spacing w:line="360" w:lineRule="auto"/>
        <w:jc w:val="both"/>
        <w:rPr>
          <w:rFonts w:ascii="Helvetica" w:hAnsi="Helvetica" w:cstheme="minorHAnsi"/>
          <w:b/>
          <w:bCs/>
          <w:sz w:val="22"/>
          <w:szCs w:val="22"/>
          <w:lang w:val="en-US"/>
        </w:rPr>
      </w:pPr>
      <w:r w:rsidRPr="0040603C">
        <w:rPr>
          <w:rFonts w:ascii="Helvetica" w:hAnsi="Helvetica" w:cstheme="minorHAnsi"/>
          <w:b/>
          <w:bCs/>
          <w:sz w:val="22"/>
          <w:szCs w:val="22"/>
          <w:lang w:val="en-US"/>
        </w:rPr>
        <w:t>Supplementary Information for</w:t>
      </w:r>
    </w:p>
    <w:p w14:paraId="0E8188CD" w14:textId="77777777" w:rsidR="001678C9" w:rsidRDefault="001678C9" w:rsidP="00BD1D65">
      <w:pPr>
        <w:spacing w:line="360" w:lineRule="auto"/>
        <w:jc w:val="both"/>
        <w:rPr>
          <w:rFonts w:ascii="Helvetica" w:hAnsi="Helvetica" w:cstheme="minorHAnsi"/>
          <w:b/>
          <w:bCs/>
          <w:sz w:val="22"/>
          <w:szCs w:val="22"/>
          <w:lang w:val="en-US"/>
        </w:rPr>
      </w:pPr>
    </w:p>
    <w:p w14:paraId="5ED59DA3" w14:textId="77777777" w:rsidR="007B4299" w:rsidRPr="0040603C" w:rsidRDefault="007B4299" w:rsidP="00BD1D65">
      <w:pPr>
        <w:spacing w:line="360" w:lineRule="auto"/>
        <w:jc w:val="both"/>
        <w:rPr>
          <w:rFonts w:ascii="Helvetica" w:hAnsi="Helvetica" w:cstheme="minorHAnsi"/>
          <w:b/>
          <w:bCs/>
          <w:sz w:val="22"/>
          <w:szCs w:val="22"/>
          <w:lang w:val="en-US"/>
        </w:rPr>
      </w:pPr>
    </w:p>
    <w:p w14:paraId="297B71AD" w14:textId="77777777" w:rsidR="00BB06D7" w:rsidRDefault="00BB06D7" w:rsidP="0065127F">
      <w:pPr>
        <w:jc w:val="center"/>
        <w:rPr>
          <w:b/>
          <w:bCs/>
          <w:sz w:val="32"/>
          <w:szCs w:val="32"/>
          <w:lang w:val="en-GB"/>
        </w:rPr>
      </w:pPr>
      <w:r w:rsidRPr="0063615C">
        <w:rPr>
          <w:b/>
          <w:bCs/>
          <w:sz w:val="32"/>
          <w:szCs w:val="32"/>
          <w:lang w:val="en-GB"/>
        </w:rPr>
        <w:t>Assessing technological pathways for a circular PET management in Switzerland integrating MFA, LCA and TEA</w:t>
      </w:r>
    </w:p>
    <w:p w14:paraId="094AB898" w14:textId="77777777" w:rsidR="0092653B" w:rsidRDefault="0092653B" w:rsidP="00BD1D65">
      <w:pPr>
        <w:jc w:val="both"/>
        <w:rPr>
          <w:b/>
          <w:bCs/>
          <w:sz w:val="32"/>
          <w:szCs w:val="32"/>
          <w:lang w:val="en-GB"/>
        </w:rPr>
      </w:pPr>
    </w:p>
    <w:p w14:paraId="52D5606E" w14:textId="77777777" w:rsidR="007B4299" w:rsidRPr="0063615C" w:rsidRDefault="007B4299" w:rsidP="00BD1D65">
      <w:pPr>
        <w:jc w:val="both"/>
        <w:rPr>
          <w:b/>
          <w:bCs/>
          <w:sz w:val="32"/>
          <w:szCs w:val="32"/>
          <w:lang w:val="en-GB"/>
        </w:rPr>
      </w:pPr>
    </w:p>
    <w:p w14:paraId="4687C2DC" w14:textId="77777777" w:rsidR="00646570" w:rsidRPr="00646570" w:rsidRDefault="00646570" w:rsidP="00BD1D65">
      <w:pPr>
        <w:pStyle w:val="Els-Affiliation"/>
        <w:jc w:val="both"/>
        <w:rPr>
          <w:i w:val="0"/>
          <w:color w:val="000000" w:themeColor="text1"/>
          <w:sz w:val="22"/>
          <w:lang w:val="fr-CH"/>
        </w:rPr>
      </w:pPr>
      <w:r w:rsidRPr="00646570">
        <w:rPr>
          <w:i w:val="0"/>
          <w:color w:val="000000" w:themeColor="text1"/>
          <w:sz w:val="22"/>
          <w:lang w:val="fr-CH"/>
        </w:rPr>
        <w:t>Soline Corre</w:t>
      </w:r>
      <w:r w:rsidRPr="00646570">
        <w:rPr>
          <w:i w:val="0"/>
          <w:color w:val="000000" w:themeColor="text1"/>
          <w:sz w:val="22"/>
          <w:vertAlign w:val="superscript"/>
          <w:lang w:val="fr-CH"/>
        </w:rPr>
        <w:t>a,</w:t>
      </w:r>
      <w:r w:rsidRPr="00646570">
        <w:rPr>
          <w:i w:val="0"/>
          <w:color w:val="000000" w:themeColor="text1"/>
          <w:vertAlign w:val="superscript"/>
          <w:lang w:val="fr-CH"/>
        </w:rPr>
        <w:t xml:space="preserve"> b*</w:t>
      </w:r>
      <w:r w:rsidRPr="00646570">
        <w:rPr>
          <w:i w:val="0"/>
          <w:color w:val="000000" w:themeColor="text1"/>
          <w:sz w:val="22"/>
          <w:lang w:val="fr-CH"/>
        </w:rPr>
        <w:t>, Gabriel Magnaval</w:t>
      </w:r>
      <w:r w:rsidRPr="00646570">
        <w:rPr>
          <w:i w:val="0"/>
          <w:color w:val="000000" w:themeColor="text1"/>
          <w:vertAlign w:val="superscript"/>
          <w:lang w:val="fr-CH"/>
        </w:rPr>
        <w:t>b,c</w:t>
      </w:r>
      <w:r w:rsidRPr="00646570">
        <w:rPr>
          <w:i w:val="0"/>
          <w:color w:val="000000" w:themeColor="text1"/>
          <w:sz w:val="22"/>
          <w:lang w:val="fr-CH"/>
        </w:rPr>
        <w:t>, Oktay Boztas</w:t>
      </w:r>
      <w:r w:rsidRPr="00646570">
        <w:rPr>
          <w:i w:val="0"/>
          <w:color w:val="000000" w:themeColor="text1"/>
          <w:sz w:val="22"/>
          <w:vertAlign w:val="superscript"/>
          <w:lang w:val="fr-CH"/>
        </w:rPr>
        <w:t>a</w:t>
      </w:r>
      <w:r w:rsidRPr="00646570">
        <w:rPr>
          <w:i w:val="0"/>
          <w:color w:val="000000" w:themeColor="text1"/>
          <w:sz w:val="22"/>
          <w:lang w:val="fr-CH"/>
        </w:rPr>
        <w:t>, Manuele Margni</w:t>
      </w:r>
      <w:r w:rsidRPr="00646570">
        <w:rPr>
          <w:i w:val="0"/>
          <w:color w:val="000000" w:themeColor="text1"/>
          <w:sz w:val="22"/>
          <w:vertAlign w:val="superscript"/>
          <w:lang w:val="fr-CH"/>
        </w:rPr>
        <w:t>b,c</w:t>
      </w:r>
      <w:r w:rsidRPr="00646570">
        <w:rPr>
          <w:i w:val="0"/>
          <w:color w:val="000000" w:themeColor="text1"/>
          <w:sz w:val="22"/>
          <w:lang w:val="fr-CH"/>
        </w:rPr>
        <w:t>, François Maréchal</w:t>
      </w:r>
      <w:r w:rsidRPr="00646570">
        <w:rPr>
          <w:i w:val="0"/>
          <w:color w:val="000000" w:themeColor="text1"/>
          <w:sz w:val="22"/>
          <w:vertAlign w:val="superscript"/>
          <w:lang w:val="fr-CH"/>
        </w:rPr>
        <w:t>a,</w:t>
      </w:r>
      <w:r w:rsidRPr="00646570">
        <w:rPr>
          <w:i w:val="0"/>
          <w:color w:val="000000" w:themeColor="text1"/>
          <w:vertAlign w:val="superscript"/>
          <w:lang w:val="fr-CH"/>
        </w:rPr>
        <w:t xml:space="preserve"> b</w:t>
      </w:r>
    </w:p>
    <w:p w14:paraId="614B411F" w14:textId="77777777" w:rsidR="00646570" w:rsidRPr="0092653B" w:rsidRDefault="00646570" w:rsidP="00BD1D65">
      <w:pPr>
        <w:pStyle w:val="Els-Affiliation"/>
        <w:jc w:val="both"/>
        <w:rPr>
          <w:lang w:val="fr-CH"/>
        </w:rPr>
      </w:pPr>
      <w:r w:rsidRPr="0092653B">
        <w:rPr>
          <w:vertAlign w:val="superscript"/>
          <w:lang w:val="fr-CH"/>
        </w:rPr>
        <w:t>a</w:t>
      </w:r>
      <w:r w:rsidRPr="0092653B">
        <w:rPr>
          <w:lang w:val="fr-CH"/>
        </w:rPr>
        <w:t>EPFL, IPESE, rue de l’industrie, 17, Sion, 1950, Valais, Switzerland</w:t>
      </w:r>
    </w:p>
    <w:p w14:paraId="1F0E1BE1" w14:textId="77777777" w:rsidR="00646570" w:rsidRPr="0092653B" w:rsidRDefault="00646570" w:rsidP="00BD1D65">
      <w:pPr>
        <w:pStyle w:val="Els-Affiliation"/>
        <w:jc w:val="both"/>
        <w:rPr>
          <w:lang w:val="fr-CH"/>
        </w:rPr>
      </w:pPr>
      <w:r w:rsidRPr="0063615C">
        <w:rPr>
          <w:color w:val="000000" w:themeColor="text1"/>
          <w:vertAlign w:val="superscript"/>
        </w:rPr>
        <w:t>b</w:t>
      </w:r>
      <w:r w:rsidRPr="0063615C">
        <w:t xml:space="preserve">Polytechnique Montreal, CIRAIG, Department of Chemical Engineering, 2500 Chem. </w:t>
      </w:r>
      <w:r w:rsidRPr="0092653B">
        <w:rPr>
          <w:lang w:val="fr-CH"/>
        </w:rPr>
        <w:t>De Polytechnique, Montreal, Canada</w:t>
      </w:r>
    </w:p>
    <w:p w14:paraId="7B504380" w14:textId="77777777" w:rsidR="00646570" w:rsidRPr="00F5728C" w:rsidRDefault="00646570" w:rsidP="00BD1D65">
      <w:pPr>
        <w:spacing w:line="360" w:lineRule="auto"/>
        <w:jc w:val="both"/>
        <w:rPr>
          <w:i/>
          <w:iCs/>
          <w:sz w:val="20"/>
          <w:szCs w:val="20"/>
          <w:lang w:val="fr-CH"/>
        </w:rPr>
      </w:pPr>
      <w:proofErr w:type="spellStart"/>
      <w:proofErr w:type="gramStart"/>
      <w:r w:rsidRPr="00F5728C">
        <w:rPr>
          <w:i/>
          <w:iCs/>
          <w:sz w:val="20"/>
          <w:szCs w:val="20"/>
          <w:vertAlign w:val="superscript"/>
          <w:lang w:val="fr-CH"/>
        </w:rPr>
        <w:t>c</w:t>
      </w:r>
      <w:r w:rsidRPr="00F5728C">
        <w:rPr>
          <w:i/>
          <w:iCs/>
          <w:sz w:val="20"/>
          <w:szCs w:val="20"/>
          <w:lang w:val="fr-CH"/>
        </w:rPr>
        <w:t>HES</w:t>
      </w:r>
      <w:proofErr w:type="spellEnd"/>
      <w:proofErr w:type="gramEnd"/>
      <w:r w:rsidRPr="00F5728C">
        <w:rPr>
          <w:i/>
          <w:iCs/>
          <w:sz w:val="20"/>
          <w:szCs w:val="20"/>
          <w:lang w:val="fr-CH"/>
        </w:rPr>
        <w:t xml:space="preserve">-SO Valais-Wallis, CIRAIG, Rue de l’Industrie 21, Sion, </w:t>
      </w:r>
      <w:proofErr w:type="spellStart"/>
      <w:r w:rsidRPr="00F5728C">
        <w:rPr>
          <w:i/>
          <w:iCs/>
          <w:sz w:val="20"/>
          <w:szCs w:val="20"/>
          <w:lang w:val="fr-CH"/>
        </w:rPr>
        <w:t>Switzerland</w:t>
      </w:r>
      <w:proofErr w:type="spellEnd"/>
    </w:p>
    <w:p w14:paraId="513A919D" w14:textId="77777777" w:rsidR="00646570" w:rsidRPr="0063615C" w:rsidRDefault="00646570" w:rsidP="00BD1D65">
      <w:pPr>
        <w:pStyle w:val="Els-Affiliation"/>
        <w:jc w:val="both"/>
        <w:rPr>
          <w:color w:val="0563C1" w:themeColor="hyperlink"/>
          <w:u w:val="single"/>
        </w:rPr>
      </w:pPr>
      <w:r w:rsidRPr="0063615C">
        <w:rPr>
          <w:i w:val="0"/>
          <w:iCs/>
          <w:vertAlign w:val="superscript"/>
        </w:rPr>
        <w:t xml:space="preserve">* </w:t>
      </w:r>
      <w:r w:rsidRPr="0063615C">
        <w:rPr>
          <w:i w:val="0"/>
          <w:iCs/>
        </w:rPr>
        <w:t xml:space="preserve">corresponding author details: </w:t>
      </w:r>
      <w:hyperlink r:id="rId6" w:history="1">
        <w:r w:rsidRPr="0063615C">
          <w:rPr>
            <w:rStyle w:val="Hyperlink"/>
          </w:rPr>
          <w:t>soline.corre@epfl.ch</w:t>
        </w:r>
      </w:hyperlink>
    </w:p>
    <w:p w14:paraId="01FED6BF" w14:textId="77777777" w:rsidR="001678C9" w:rsidRDefault="001678C9" w:rsidP="00BD1D65">
      <w:pPr>
        <w:spacing w:line="360" w:lineRule="auto"/>
        <w:jc w:val="both"/>
        <w:rPr>
          <w:rStyle w:val="Hyperlink"/>
          <w:rFonts w:ascii="Helvetica" w:hAnsi="Helvetica" w:cstheme="minorHAnsi"/>
          <w:sz w:val="22"/>
          <w:szCs w:val="22"/>
          <w:lang w:val="en-US"/>
        </w:rPr>
      </w:pPr>
    </w:p>
    <w:p w14:paraId="0208E945" w14:textId="77777777" w:rsidR="007B4299" w:rsidRDefault="007B4299" w:rsidP="00BD1D65">
      <w:pPr>
        <w:spacing w:line="360" w:lineRule="auto"/>
        <w:jc w:val="both"/>
        <w:rPr>
          <w:rStyle w:val="Hyperlink"/>
          <w:rFonts w:ascii="Helvetica" w:hAnsi="Helvetica" w:cstheme="minorHAnsi"/>
          <w:sz w:val="22"/>
          <w:szCs w:val="22"/>
          <w:lang w:val="en-US"/>
        </w:rPr>
      </w:pPr>
    </w:p>
    <w:p w14:paraId="2881106A" w14:textId="77777777" w:rsidR="001678C9" w:rsidRPr="0040603C" w:rsidRDefault="001678C9" w:rsidP="00BD1D65">
      <w:pPr>
        <w:jc w:val="both"/>
        <w:rPr>
          <w:b/>
          <w:bCs/>
          <w:u w:val="single"/>
          <w:lang w:val="en-US"/>
        </w:rPr>
      </w:pPr>
      <w:r w:rsidRPr="00390709">
        <w:rPr>
          <w:b/>
          <w:bCs/>
          <w:u w:val="single"/>
          <w:lang w:val="en-US"/>
        </w:rPr>
        <w:t>Aim of this document</w:t>
      </w:r>
    </w:p>
    <w:p w14:paraId="7E05B909" w14:textId="31DC8213" w:rsidR="00E15DAE" w:rsidRDefault="00D43ECE" w:rsidP="00BD1D65">
      <w:pPr>
        <w:jc w:val="both"/>
        <w:rPr>
          <w:lang w:val="en-US"/>
        </w:rPr>
      </w:pPr>
      <w:r w:rsidRPr="00D43ECE">
        <w:rPr>
          <w:lang w:val="en-US"/>
        </w:rPr>
        <w:t xml:space="preserve">This document compiles </w:t>
      </w:r>
      <w:r w:rsidR="001A740D">
        <w:rPr>
          <w:lang w:val="en-US"/>
        </w:rPr>
        <w:t>detailed</w:t>
      </w:r>
      <w:r w:rsidRPr="00D43ECE">
        <w:rPr>
          <w:lang w:val="en-US"/>
        </w:rPr>
        <w:t xml:space="preserve"> methodologies</w:t>
      </w:r>
      <w:r w:rsidR="0055119A">
        <w:rPr>
          <w:lang w:val="en-US"/>
        </w:rPr>
        <w:t xml:space="preserve"> and background data definition</w:t>
      </w:r>
      <w:r w:rsidR="00CF1F91">
        <w:rPr>
          <w:lang w:val="en-US"/>
        </w:rPr>
        <w:t>s</w:t>
      </w:r>
      <w:r w:rsidRPr="00D43ECE">
        <w:rPr>
          <w:lang w:val="en-US"/>
        </w:rPr>
        <w:t xml:space="preserve"> related to the analysis of various </w:t>
      </w:r>
      <w:r w:rsidR="00E15DAE">
        <w:rPr>
          <w:lang w:val="en-US"/>
        </w:rPr>
        <w:t>technological pathways for PET management in Switzerland</w:t>
      </w:r>
      <w:r w:rsidRPr="00D43ECE">
        <w:rPr>
          <w:lang w:val="en-US"/>
        </w:rPr>
        <w:t>.</w:t>
      </w:r>
      <w:r>
        <w:rPr>
          <w:lang w:val="en-US"/>
        </w:rPr>
        <w:t xml:space="preserve"> </w:t>
      </w:r>
    </w:p>
    <w:p w14:paraId="2C07A7D5" w14:textId="77777777" w:rsidR="00070480" w:rsidRDefault="00070480" w:rsidP="00BD1D65">
      <w:pPr>
        <w:jc w:val="both"/>
        <w:rPr>
          <w:lang w:val="en-US"/>
        </w:rPr>
      </w:pPr>
    </w:p>
    <w:p w14:paraId="265C1923" w14:textId="77777777" w:rsidR="00CF1F91" w:rsidRDefault="00CF1F91" w:rsidP="00CF1F91">
      <w:pPr>
        <w:rPr>
          <w:color w:val="000000"/>
        </w:rPr>
      </w:pPr>
      <w:r>
        <w:rPr>
          <w:color w:val="000000"/>
        </w:rPr>
        <w:t>Complementary results are also displayed, including sensitivities and further analysis.</w:t>
      </w:r>
    </w:p>
    <w:sdt>
      <w:sdtPr>
        <w:rPr>
          <w:rFonts w:asciiTheme="minorHAnsi" w:eastAsiaTheme="minorHAnsi" w:hAnsiTheme="minorHAnsi" w:cstheme="minorBidi"/>
          <w:b w:val="0"/>
          <w:bCs w:val="0"/>
          <w:color w:val="auto"/>
          <w:kern w:val="2"/>
          <w:sz w:val="24"/>
          <w:szCs w:val="24"/>
          <w:lang w:val="en-GB" w:eastAsia="en-GB"/>
          <w14:ligatures w14:val="standardContextual"/>
        </w:rPr>
        <w:id w:val="722103395"/>
        <w:docPartObj>
          <w:docPartGallery w:val="Table of Contents"/>
          <w:docPartUnique/>
        </w:docPartObj>
      </w:sdtPr>
      <w:sdtEndPr>
        <w:rPr>
          <w:rFonts w:ascii="Times New Roman" w:eastAsia="Times New Roman" w:hAnsi="Times New Roman" w:cs="Times New Roman"/>
          <w:noProof/>
          <w:kern w:val="0"/>
          <w:lang w:val="en-CH"/>
          <w14:ligatures w14:val="none"/>
        </w:rPr>
      </w:sdtEndPr>
      <w:sdtContent>
        <w:p w14:paraId="6CF9FD5C" w14:textId="2EB0AD9C" w:rsidR="00234573" w:rsidRDefault="00234573" w:rsidP="007B4299">
          <w:pPr>
            <w:pStyle w:val="TOCHeading"/>
            <w:jc w:val="both"/>
            <w:rPr>
              <w:rFonts w:asciiTheme="minorHAnsi" w:eastAsiaTheme="minorHAnsi" w:hAnsiTheme="minorHAnsi" w:cstheme="minorBidi"/>
              <w:kern w:val="2"/>
              <w:lang w:val="en-GB"/>
              <w14:ligatures w14:val="standardContextual"/>
            </w:rPr>
          </w:pPr>
          <w:r>
            <w:rPr>
              <w:rFonts w:asciiTheme="minorHAnsi" w:eastAsiaTheme="minorHAnsi" w:hAnsiTheme="minorHAnsi" w:cstheme="minorBidi"/>
              <w:b w:val="0"/>
              <w:bCs w:val="0"/>
              <w:color w:val="auto"/>
              <w:kern w:val="2"/>
              <w:sz w:val="24"/>
              <w:szCs w:val="24"/>
              <w:lang w:val="en-GB" w:eastAsia="en-GB"/>
              <w14:ligatures w14:val="standardContextual"/>
            </w:rPr>
            <w:br w:type="page"/>
          </w:r>
        </w:p>
        <w:p w14:paraId="3CDA8F0E" w14:textId="3ABFD924" w:rsidR="00CF103F" w:rsidRDefault="00CF103F" w:rsidP="00BD1D65">
          <w:pPr>
            <w:pStyle w:val="TOCHeading"/>
            <w:jc w:val="both"/>
          </w:pPr>
          <w:r>
            <w:lastRenderedPageBreak/>
            <w:t>Table of Contents</w:t>
          </w:r>
        </w:p>
        <w:p w14:paraId="0528A649" w14:textId="06C799E1" w:rsidR="000232EE" w:rsidRDefault="00CF103F">
          <w:pPr>
            <w:pStyle w:val="TOC1"/>
            <w:tabs>
              <w:tab w:val="right" w:leader="dot" w:pos="9016"/>
            </w:tabs>
            <w:rPr>
              <w:rFonts w:eastAsiaTheme="minorEastAsia" w:cstheme="minorBidi"/>
              <w:b w:val="0"/>
              <w:bCs w:val="0"/>
              <w:i w:val="0"/>
              <w:iCs w:val="0"/>
              <w:noProof/>
              <w:lang w:val="en-CH" w:eastAsia="en-GB"/>
            </w:rPr>
          </w:pPr>
          <w:r>
            <w:rPr>
              <w:b w:val="0"/>
              <w:bCs w:val="0"/>
            </w:rPr>
            <w:fldChar w:fldCharType="begin"/>
          </w:r>
          <w:r>
            <w:instrText xml:space="preserve"> TOC \o "1-3" \h \z \u </w:instrText>
          </w:r>
          <w:r>
            <w:rPr>
              <w:b w:val="0"/>
              <w:bCs w:val="0"/>
            </w:rPr>
            <w:fldChar w:fldCharType="separate"/>
          </w:r>
          <w:hyperlink w:anchor="_Toc234499916" w:history="1">
            <w:r w:rsidR="000232EE" w:rsidRPr="00B02710">
              <w:rPr>
                <w:rStyle w:val="Hyperlink"/>
                <w:noProof/>
              </w:rPr>
              <w:t>S-M1. Methods – Background data definition</w:t>
            </w:r>
            <w:r w:rsidR="000232EE">
              <w:rPr>
                <w:noProof/>
                <w:webHidden/>
              </w:rPr>
              <w:tab/>
            </w:r>
            <w:r w:rsidR="000232EE">
              <w:rPr>
                <w:noProof/>
                <w:webHidden/>
              </w:rPr>
              <w:fldChar w:fldCharType="begin"/>
            </w:r>
            <w:r w:rsidR="000232EE">
              <w:rPr>
                <w:noProof/>
                <w:webHidden/>
              </w:rPr>
              <w:instrText xml:space="preserve"> PAGEREF _Toc234499916 \h </w:instrText>
            </w:r>
            <w:r w:rsidR="000232EE">
              <w:rPr>
                <w:noProof/>
                <w:webHidden/>
              </w:rPr>
            </w:r>
            <w:r w:rsidR="000232EE">
              <w:rPr>
                <w:noProof/>
                <w:webHidden/>
              </w:rPr>
              <w:fldChar w:fldCharType="separate"/>
            </w:r>
            <w:r w:rsidR="000232EE">
              <w:rPr>
                <w:noProof/>
                <w:webHidden/>
              </w:rPr>
              <w:t>3</w:t>
            </w:r>
            <w:r w:rsidR="000232EE">
              <w:rPr>
                <w:noProof/>
                <w:webHidden/>
              </w:rPr>
              <w:fldChar w:fldCharType="end"/>
            </w:r>
          </w:hyperlink>
        </w:p>
        <w:p w14:paraId="037FE077" w14:textId="33831B09"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17" w:history="1">
            <w:r w:rsidRPr="00B02710">
              <w:rPr>
                <w:rStyle w:val="Hyperlink"/>
                <w:noProof/>
              </w:rPr>
              <w:t>S-M1.1 Nomenclature</w:t>
            </w:r>
            <w:r>
              <w:rPr>
                <w:noProof/>
                <w:webHidden/>
              </w:rPr>
              <w:tab/>
            </w:r>
            <w:r>
              <w:rPr>
                <w:noProof/>
                <w:webHidden/>
              </w:rPr>
              <w:fldChar w:fldCharType="begin"/>
            </w:r>
            <w:r>
              <w:rPr>
                <w:noProof/>
                <w:webHidden/>
              </w:rPr>
              <w:instrText xml:space="preserve"> PAGEREF _Toc234499917 \h </w:instrText>
            </w:r>
            <w:r>
              <w:rPr>
                <w:noProof/>
                <w:webHidden/>
              </w:rPr>
            </w:r>
            <w:r>
              <w:rPr>
                <w:noProof/>
                <w:webHidden/>
              </w:rPr>
              <w:fldChar w:fldCharType="separate"/>
            </w:r>
            <w:r>
              <w:rPr>
                <w:noProof/>
                <w:webHidden/>
              </w:rPr>
              <w:t>3</w:t>
            </w:r>
            <w:r>
              <w:rPr>
                <w:noProof/>
                <w:webHidden/>
              </w:rPr>
              <w:fldChar w:fldCharType="end"/>
            </w:r>
          </w:hyperlink>
        </w:p>
        <w:p w14:paraId="5BD2F392" w14:textId="6974A2D4"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18" w:history="1">
            <w:r w:rsidRPr="00B02710">
              <w:rPr>
                <w:rStyle w:val="Hyperlink"/>
                <w:noProof/>
                <w:lang w:eastAsia="zh-CN"/>
              </w:rPr>
              <w:t>S-M1.2 PET end-use and waste quantities per sector</w:t>
            </w:r>
            <w:r>
              <w:rPr>
                <w:noProof/>
                <w:webHidden/>
              </w:rPr>
              <w:tab/>
            </w:r>
            <w:r>
              <w:rPr>
                <w:noProof/>
                <w:webHidden/>
              </w:rPr>
              <w:fldChar w:fldCharType="begin"/>
            </w:r>
            <w:r>
              <w:rPr>
                <w:noProof/>
                <w:webHidden/>
              </w:rPr>
              <w:instrText xml:space="preserve"> PAGEREF _Toc234499918 \h </w:instrText>
            </w:r>
            <w:r>
              <w:rPr>
                <w:noProof/>
                <w:webHidden/>
              </w:rPr>
            </w:r>
            <w:r>
              <w:rPr>
                <w:noProof/>
                <w:webHidden/>
              </w:rPr>
              <w:fldChar w:fldCharType="separate"/>
            </w:r>
            <w:r>
              <w:rPr>
                <w:noProof/>
                <w:webHidden/>
              </w:rPr>
              <w:t>3</w:t>
            </w:r>
            <w:r>
              <w:rPr>
                <w:noProof/>
                <w:webHidden/>
              </w:rPr>
              <w:fldChar w:fldCharType="end"/>
            </w:r>
          </w:hyperlink>
        </w:p>
        <w:p w14:paraId="46D706AC" w14:textId="641A8C27"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19" w:history="1">
            <w:r w:rsidRPr="00B02710">
              <w:rPr>
                <w:rStyle w:val="Hyperlink"/>
                <w:noProof/>
              </w:rPr>
              <w:t>S-M1.3 Downcycling specificities</w:t>
            </w:r>
            <w:r>
              <w:rPr>
                <w:noProof/>
                <w:webHidden/>
              </w:rPr>
              <w:tab/>
            </w:r>
            <w:r>
              <w:rPr>
                <w:noProof/>
                <w:webHidden/>
              </w:rPr>
              <w:fldChar w:fldCharType="begin"/>
            </w:r>
            <w:r>
              <w:rPr>
                <w:noProof/>
                <w:webHidden/>
              </w:rPr>
              <w:instrText xml:space="preserve"> PAGEREF _Toc234499919 \h </w:instrText>
            </w:r>
            <w:r>
              <w:rPr>
                <w:noProof/>
                <w:webHidden/>
              </w:rPr>
            </w:r>
            <w:r>
              <w:rPr>
                <w:noProof/>
                <w:webHidden/>
              </w:rPr>
              <w:fldChar w:fldCharType="separate"/>
            </w:r>
            <w:r>
              <w:rPr>
                <w:noProof/>
                <w:webHidden/>
              </w:rPr>
              <w:t>4</w:t>
            </w:r>
            <w:r>
              <w:rPr>
                <w:noProof/>
                <w:webHidden/>
              </w:rPr>
              <w:fldChar w:fldCharType="end"/>
            </w:r>
          </w:hyperlink>
        </w:p>
        <w:p w14:paraId="4227DE22" w14:textId="6290B9AF"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20" w:history="1">
            <w:r w:rsidRPr="00B02710">
              <w:rPr>
                <w:rStyle w:val="Hyperlink"/>
                <w:noProof/>
              </w:rPr>
              <w:t>S-M1.4 Collection rates</w:t>
            </w:r>
            <w:r>
              <w:rPr>
                <w:noProof/>
                <w:webHidden/>
              </w:rPr>
              <w:tab/>
            </w:r>
            <w:r>
              <w:rPr>
                <w:noProof/>
                <w:webHidden/>
              </w:rPr>
              <w:fldChar w:fldCharType="begin"/>
            </w:r>
            <w:r>
              <w:rPr>
                <w:noProof/>
                <w:webHidden/>
              </w:rPr>
              <w:instrText xml:space="preserve"> PAGEREF _Toc234499920 \h </w:instrText>
            </w:r>
            <w:r>
              <w:rPr>
                <w:noProof/>
                <w:webHidden/>
              </w:rPr>
            </w:r>
            <w:r>
              <w:rPr>
                <w:noProof/>
                <w:webHidden/>
              </w:rPr>
              <w:fldChar w:fldCharType="separate"/>
            </w:r>
            <w:r>
              <w:rPr>
                <w:noProof/>
                <w:webHidden/>
              </w:rPr>
              <w:t>4</w:t>
            </w:r>
            <w:r>
              <w:rPr>
                <w:noProof/>
                <w:webHidden/>
              </w:rPr>
              <w:fldChar w:fldCharType="end"/>
            </w:r>
          </w:hyperlink>
        </w:p>
        <w:p w14:paraId="0E819C8A" w14:textId="0998CDB3"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21" w:history="1">
            <w:r w:rsidRPr="00B02710">
              <w:rPr>
                <w:rStyle w:val="Hyperlink"/>
                <w:noProof/>
              </w:rPr>
              <w:t>S-M1.5 Distribution of material flows among the various technologies</w:t>
            </w:r>
            <w:r>
              <w:rPr>
                <w:noProof/>
                <w:webHidden/>
              </w:rPr>
              <w:tab/>
            </w:r>
            <w:r>
              <w:rPr>
                <w:noProof/>
                <w:webHidden/>
              </w:rPr>
              <w:fldChar w:fldCharType="begin"/>
            </w:r>
            <w:r>
              <w:rPr>
                <w:noProof/>
                <w:webHidden/>
              </w:rPr>
              <w:instrText xml:space="preserve"> PAGEREF _Toc234499921 \h </w:instrText>
            </w:r>
            <w:r>
              <w:rPr>
                <w:noProof/>
                <w:webHidden/>
              </w:rPr>
            </w:r>
            <w:r>
              <w:rPr>
                <w:noProof/>
                <w:webHidden/>
              </w:rPr>
              <w:fldChar w:fldCharType="separate"/>
            </w:r>
            <w:r>
              <w:rPr>
                <w:noProof/>
                <w:webHidden/>
              </w:rPr>
              <w:t>5</w:t>
            </w:r>
            <w:r>
              <w:rPr>
                <w:noProof/>
                <w:webHidden/>
              </w:rPr>
              <w:fldChar w:fldCharType="end"/>
            </w:r>
          </w:hyperlink>
        </w:p>
        <w:p w14:paraId="1D5F19F9" w14:textId="21728C62" w:rsidR="000232EE" w:rsidRDefault="000232EE">
          <w:pPr>
            <w:pStyle w:val="TOC1"/>
            <w:tabs>
              <w:tab w:val="right" w:leader="dot" w:pos="9016"/>
            </w:tabs>
            <w:rPr>
              <w:rFonts w:eastAsiaTheme="minorEastAsia" w:cstheme="minorBidi"/>
              <w:b w:val="0"/>
              <w:bCs w:val="0"/>
              <w:i w:val="0"/>
              <w:iCs w:val="0"/>
              <w:noProof/>
              <w:lang w:val="en-CH" w:eastAsia="en-GB"/>
            </w:rPr>
          </w:pPr>
          <w:hyperlink w:anchor="_Toc234499922" w:history="1">
            <w:r w:rsidRPr="00B02710">
              <w:rPr>
                <w:rStyle w:val="Hyperlink"/>
                <w:noProof/>
              </w:rPr>
              <w:t>S-M2. LCA and TEA methodologies</w:t>
            </w:r>
            <w:r>
              <w:rPr>
                <w:noProof/>
                <w:webHidden/>
              </w:rPr>
              <w:tab/>
            </w:r>
            <w:r>
              <w:rPr>
                <w:noProof/>
                <w:webHidden/>
              </w:rPr>
              <w:fldChar w:fldCharType="begin"/>
            </w:r>
            <w:r>
              <w:rPr>
                <w:noProof/>
                <w:webHidden/>
              </w:rPr>
              <w:instrText xml:space="preserve"> PAGEREF _Toc234499922 \h </w:instrText>
            </w:r>
            <w:r>
              <w:rPr>
                <w:noProof/>
                <w:webHidden/>
              </w:rPr>
            </w:r>
            <w:r>
              <w:rPr>
                <w:noProof/>
                <w:webHidden/>
              </w:rPr>
              <w:fldChar w:fldCharType="separate"/>
            </w:r>
            <w:r>
              <w:rPr>
                <w:noProof/>
                <w:webHidden/>
              </w:rPr>
              <w:t>6</w:t>
            </w:r>
            <w:r>
              <w:rPr>
                <w:noProof/>
                <w:webHidden/>
              </w:rPr>
              <w:fldChar w:fldCharType="end"/>
            </w:r>
          </w:hyperlink>
        </w:p>
        <w:p w14:paraId="64743601" w14:textId="4F061CA9"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23" w:history="1">
            <w:r w:rsidRPr="00B02710">
              <w:rPr>
                <w:rStyle w:val="Hyperlink"/>
                <w:noProof/>
              </w:rPr>
              <w:t>S-M2.1 Functional Unit and system boundaries</w:t>
            </w:r>
            <w:r>
              <w:rPr>
                <w:noProof/>
                <w:webHidden/>
              </w:rPr>
              <w:tab/>
            </w:r>
            <w:r>
              <w:rPr>
                <w:noProof/>
                <w:webHidden/>
              </w:rPr>
              <w:fldChar w:fldCharType="begin"/>
            </w:r>
            <w:r>
              <w:rPr>
                <w:noProof/>
                <w:webHidden/>
              </w:rPr>
              <w:instrText xml:space="preserve"> PAGEREF _Toc234499923 \h </w:instrText>
            </w:r>
            <w:r>
              <w:rPr>
                <w:noProof/>
                <w:webHidden/>
              </w:rPr>
            </w:r>
            <w:r>
              <w:rPr>
                <w:noProof/>
                <w:webHidden/>
              </w:rPr>
              <w:fldChar w:fldCharType="separate"/>
            </w:r>
            <w:r>
              <w:rPr>
                <w:noProof/>
                <w:webHidden/>
              </w:rPr>
              <w:t>6</w:t>
            </w:r>
            <w:r>
              <w:rPr>
                <w:noProof/>
                <w:webHidden/>
              </w:rPr>
              <w:fldChar w:fldCharType="end"/>
            </w:r>
          </w:hyperlink>
        </w:p>
        <w:p w14:paraId="5948A851" w14:textId="131A7B7E"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24" w:history="1">
            <w:r w:rsidRPr="00B02710">
              <w:rPr>
                <w:rStyle w:val="Hyperlink"/>
                <w:noProof/>
              </w:rPr>
              <w:t>S-M2.2 CAPEX, OPEX, and TOTEX calculation method</w:t>
            </w:r>
            <w:r>
              <w:rPr>
                <w:noProof/>
                <w:webHidden/>
              </w:rPr>
              <w:tab/>
            </w:r>
            <w:r>
              <w:rPr>
                <w:noProof/>
                <w:webHidden/>
              </w:rPr>
              <w:fldChar w:fldCharType="begin"/>
            </w:r>
            <w:r>
              <w:rPr>
                <w:noProof/>
                <w:webHidden/>
              </w:rPr>
              <w:instrText xml:space="preserve"> PAGEREF _Toc234499924 \h </w:instrText>
            </w:r>
            <w:r>
              <w:rPr>
                <w:noProof/>
                <w:webHidden/>
              </w:rPr>
            </w:r>
            <w:r>
              <w:rPr>
                <w:noProof/>
                <w:webHidden/>
              </w:rPr>
              <w:fldChar w:fldCharType="separate"/>
            </w:r>
            <w:r>
              <w:rPr>
                <w:noProof/>
                <w:webHidden/>
              </w:rPr>
              <w:t>8</w:t>
            </w:r>
            <w:r>
              <w:rPr>
                <w:noProof/>
                <w:webHidden/>
              </w:rPr>
              <w:fldChar w:fldCharType="end"/>
            </w:r>
          </w:hyperlink>
        </w:p>
        <w:p w14:paraId="536E111A" w14:textId="77E815AD"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25" w:history="1">
            <w:r w:rsidRPr="00B02710">
              <w:rPr>
                <w:rStyle w:val="Hyperlink"/>
                <w:noProof/>
              </w:rPr>
              <w:t>S-M2.3 OPEX details</w:t>
            </w:r>
            <w:r>
              <w:rPr>
                <w:noProof/>
                <w:webHidden/>
              </w:rPr>
              <w:tab/>
            </w:r>
            <w:r>
              <w:rPr>
                <w:noProof/>
                <w:webHidden/>
              </w:rPr>
              <w:fldChar w:fldCharType="begin"/>
            </w:r>
            <w:r>
              <w:rPr>
                <w:noProof/>
                <w:webHidden/>
              </w:rPr>
              <w:instrText xml:space="preserve"> PAGEREF _Toc234499925 \h </w:instrText>
            </w:r>
            <w:r>
              <w:rPr>
                <w:noProof/>
                <w:webHidden/>
              </w:rPr>
            </w:r>
            <w:r>
              <w:rPr>
                <w:noProof/>
                <w:webHidden/>
              </w:rPr>
              <w:fldChar w:fldCharType="separate"/>
            </w:r>
            <w:r>
              <w:rPr>
                <w:noProof/>
                <w:webHidden/>
              </w:rPr>
              <w:t>9</w:t>
            </w:r>
            <w:r>
              <w:rPr>
                <w:noProof/>
                <w:webHidden/>
              </w:rPr>
              <w:fldChar w:fldCharType="end"/>
            </w:r>
          </w:hyperlink>
        </w:p>
        <w:p w14:paraId="4092FEF1" w14:textId="66F21C47"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26" w:history="1">
            <w:r w:rsidRPr="00B02710">
              <w:rPr>
                <w:rStyle w:val="Hyperlink"/>
                <w:noProof/>
              </w:rPr>
              <w:t>S-M2.4 CAPEX details</w:t>
            </w:r>
            <w:r>
              <w:rPr>
                <w:noProof/>
                <w:webHidden/>
              </w:rPr>
              <w:tab/>
            </w:r>
            <w:r>
              <w:rPr>
                <w:noProof/>
                <w:webHidden/>
              </w:rPr>
              <w:fldChar w:fldCharType="begin"/>
            </w:r>
            <w:r>
              <w:rPr>
                <w:noProof/>
                <w:webHidden/>
              </w:rPr>
              <w:instrText xml:space="preserve"> PAGEREF _Toc234499926 \h </w:instrText>
            </w:r>
            <w:r>
              <w:rPr>
                <w:noProof/>
                <w:webHidden/>
              </w:rPr>
            </w:r>
            <w:r>
              <w:rPr>
                <w:noProof/>
                <w:webHidden/>
              </w:rPr>
              <w:fldChar w:fldCharType="separate"/>
            </w:r>
            <w:r>
              <w:rPr>
                <w:noProof/>
                <w:webHidden/>
              </w:rPr>
              <w:t>9</w:t>
            </w:r>
            <w:r>
              <w:rPr>
                <w:noProof/>
                <w:webHidden/>
              </w:rPr>
              <w:fldChar w:fldCharType="end"/>
            </w:r>
          </w:hyperlink>
        </w:p>
        <w:p w14:paraId="624B3DFD" w14:textId="69DF30E7"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27" w:history="1">
            <w:r w:rsidRPr="00B02710">
              <w:rPr>
                <w:rStyle w:val="Hyperlink"/>
                <w:noProof/>
              </w:rPr>
              <w:t>S-M2.5 Impact scores calculation method</w:t>
            </w:r>
            <w:r>
              <w:rPr>
                <w:noProof/>
                <w:webHidden/>
              </w:rPr>
              <w:tab/>
            </w:r>
            <w:r>
              <w:rPr>
                <w:noProof/>
                <w:webHidden/>
              </w:rPr>
              <w:fldChar w:fldCharType="begin"/>
            </w:r>
            <w:r>
              <w:rPr>
                <w:noProof/>
                <w:webHidden/>
              </w:rPr>
              <w:instrText xml:space="preserve"> PAGEREF _Toc234499927 \h </w:instrText>
            </w:r>
            <w:r>
              <w:rPr>
                <w:noProof/>
                <w:webHidden/>
              </w:rPr>
            </w:r>
            <w:r>
              <w:rPr>
                <w:noProof/>
                <w:webHidden/>
              </w:rPr>
              <w:fldChar w:fldCharType="separate"/>
            </w:r>
            <w:r>
              <w:rPr>
                <w:noProof/>
                <w:webHidden/>
              </w:rPr>
              <w:t>10</w:t>
            </w:r>
            <w:r>
              <w:rPr>
                <w:noProof/>
                <w:webHidden/>
              </w:rPr>
              <w:fldChar w:fldCharType="end"/>
            </w:r>
          </w:hyperlink>
        </w:p>
        <w:p w14:paraId="7B95F5F6" w14:textId="43171197" w:rsidR="000232EE" w:rsidRDefault="000232EE">
          <w:pPr>
            <w:pStyle w:val="TOC1"/>
            <w:tabs>
              <w:tab w:val="right" w:leader="dot" w:pos="9016"/>
            </w:tabs>
            <w:rPr>
              <w:rFonts w:eastAsiaTheme="minorEastAsia" w:cstheme="minorBidi"/>
              <w:b w:val="0"/>
              <w:bCs w:val="0"/>
              <w:i w:val="0"/>
              <w:iCs w:val="0"/>
              <w:noProof/>
              <w:lang w:val="en-CH" w:eastAsia="en-GB"/>
            </w:rPr>
          </w:pPr>
          <w:hyperlink w:anchor="_Toc234499928" w:history="1">
            <w:r w:rsidRPr="00B02710">
              <w:rPr>
                <w:rStyle w:val="Hyperlink"/>
                <w:noProof/>
              </w:rPr>
              <w:t>S-R1. Results</w:t>
            </w:r>
            <w:r>
              <w:rPr>
                <w:noProof/>
                <w:webHidden/>
              </w:rPr>
              <w:tab/>
            </w:r>
            <w:r>
              <w:rPr>
                <w:noProof/>
                <w:webHidden/>
              </w:rPr>
              <w:fldChar w:fldCharType="begin"/>
            </w:r>
            <w:r>
              <w:rPr>
                <w:noProof/>
                <w:webHidden/>
              </w:rPr>
              <w:instrText xml:space="preserve"> PAGEREF _Toc234499928 \h </w:instrText>
            </w:r>
            <w:r>
              <w:rPr>
                <w:noProof/>
                <w:webHidden/>
              </w:rPr>
            </w:r>
            <w:r>
              <w:rPr>
                <w:noProof/>
                <w:webHidden/>
              </w:rPr>
              <w:fldChar w:fldCharType="separate"/>
            </w:r>
            <w:r>
              <w:rPr>
                <w:noProof/>
                <w:webHidden/>
              </w:rPr>
              <w:t>11</w:t>
            </w:r>
            <w:r>
              <w:rPr>
                <w:noProof/>
                <w:webHidden/>
              </w:rPr>
              <w:fldChar w:fldCharType="end"/>
            </w:r>
          </w:hyperlink>
        </w:p>
        <w:p w14:paraId="4309E384" w14:textId="1DFB72E9"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29" w:history="1">
            <w:r w:rsidRPr="00B02710">
              <w:rPr>
                <w:rStyle w:val="Hyperlink"/>
                <w:noProof/>
              </w:rPr>
              <w:t>S-R1.1 TOTEX and CC impact scores of FU1 under open and closed-loop assumptions</w:t>
            </w:r>
            <w:r>
              <w:rPr>
                <w:noProof/>
                <w:webHidden/>
              </w:rPr>
              <w:tab/>
            </w:r>
            <w:r>
              <w:rPr>
                <w:noProof/>
                <w:webHidden/>
              </w:rPr>
              <w:fldChar w:fldCharType="begin"/>
            </w:r>
            <w:r>
              <w:rPr>
                <w:noProof/>
                <w:webHidden/>
              </w:rPr>
              <w:instrText xml:space="preserve"> PAGEREF _Toc234499929 \h </w:instrText>
            </w:r>
            <w:r>
              <w:rPr>
                <w:noProof/>
                <w:webHidden/>
              </w:rPr>
            </w:r>
            <w:r>
              <w:rPr>
                <w:noProof/>
                <w:webHidden/>
              </w:rPr>
              <w:fldChar w:fldCharType="separate"/>
            </w:r>
            <w:r>
              <w:rPr>
                <w:noProof/>
                <w:webHidden/>
              </w:rPr>
              <w:t>11</w:t>
            </w:r>
            <w:r>
              <w:rPr>
                <w:noProof/>
                <w:webHidden/>
              </w:rPr>
              <w:fldChar w:fldCharType="end"/>
            </w:r>
          </w:hyperlink>
        </w:p>
        <w:p w14:paraId="6D6A103F" w14:textId="480C6312"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30" w:history="1">
            <w:r w:rsidRPr="00B02710">
              <w:rPr>
                <w:rStyle w:val="Hyperlink"/>
                <w:noProof/>
              </w:rPr>
              <w:t>S-R1.2 EQ, FU, HH, and WU Impact Scores</w:t>
            </w:r>
            <w:r>
              <w:rPr>
                <w:noProof/>
                <w:webHidden/>
              </w:rPr>
              <w:tab/>
            </w:r>
            <w:r>
              <w:rPr>
                <w:noProof/>
                <w:webHidden/>
              </w:rPr>
              <w:fldChar w:fldCharType="begin"/>
            </w:r>
            <w:r>
              <w:rPr>
                <w:noProof/>
                <w:webHidden/>
              </w:rPr>
              <w:instrText xml:space="preserve"> PAGEREF _Toc234499930 \h </w:instrText>
            </w:r>
            <w:r>
              <w:rPr>
                <w:noProof/>
                <w:webHidden/>
              </w:rPr>
            </w:r>
            <w:r>
              <w:rPr>
                <w:noProof/>
                <w:webHidden/>
              </w:rPr>
              <w:fldChar w:fldCharType="separate"/>
            </w:r>
            <w:r>
              <w:rPr>
                <w:noProof/>
                <w:webHidden/>
              </w:rPr>
              <w:t>12</w:t>
            </w:r>
            <w:r>
              <w:rPr>
                <w:noProof/>
                <w:webHidden/>
              </w:rPr>
              <w:fldChar w:fldCharType="end"/>
            </w:r>
          </w:hyperlink>
        </w:p>
        <w:p w14:paraId="18FE442A" w14:textId="54CC95B7"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31" w:history="1">
            <w:r w:rsidRPr="00B02710">
              <w:rPr>
                <w:rStyle w:val="Hyperlink"/>
                <w:noProof/>
              </w:rPr>
              <w:t>S-R1.3 Detailed MFA of PET-based apparel and household textiles in Switzerland</w:t>
            </w:r>
            <w:r>
              <w:rPr>
                <w:noProof/>
                <w:webHidden/>
              </w:rPr>
              <w:tab/>
            </w:r>
            <w:r>
              <w:rPr>
                <w:noProof/>
                <w:webHidden/>
              </w:rPr>
              <w:fldChar w:fldCharType="begin"/>
            </w:r>
            <w:r>
              <w:rPr>
                <w:noProof/>
                <w:webHidden/>
              </w:rPr>
              <w:instrText xml:space="preserve"> PAGEREF _Toc234499931 \h </w:instrText>
            </w:r>
            <w:r>
              <w:rPr>
                <w:noProof/>
                <w:webHidden/>
              </w:rPr>
            </w:r>
            <w:r>
              <w:rPr>
                <w:noProof/>
                <w:webHidden/>
              </w:rPr>
              <w:fldChar w:fldCharType="separate"/>
            </w:r>
            <w:r>
              <w:rPr>
                <w:noProof/>
                <w:webHidden/>
              </w:rPr>
              <w:t>13</w:t>
            </w:r>
            <w:r>
              <w:rPr>
                <w:noProof/>
                <w:webHidden/>
              </w:rPr>
              <w:fldChar w:fldCharType="end"/>
            </w:r>
          </w:hyperlink>
        </w:p>
        <w:p w14:paraId="6D89BBB9" w14:textId="4007E0B3"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32" w:history="1">
            <w:r w:rsidRPr="00B02710">
              <w:rPr>
                <w:rStyle w:val="Hyperlink"/>
                <w:noProof/>
              </w:rPr>
              <w:t>S-R1.4 Coupling between collection rates and technological share in the treatment mix</w:t>
            </w:r>
            <w:r>
              <w:rPr>
                <w:noProof/>
                <w:webHidden/>
              </w:rPr>
              <w:tab/>
            </w:r>
            <w:r>
              <w:rPr>
                <w:noProof/>
                <w:webHidden/>
              </w:rPr>
              <w:fldChar w:fldCharType="begin"/>
            </w:r>
            <w:r>
              <w:rPr>
                <w:noProof/>
                <w:webHidden/>
              </w:rPr>
              <w:instrText xml:space="preserve"> PAGEREF _Toc234499932 \h </w:instrText>
            </w:r>
            <w:r>
              <w:rPr>
                <w:noProof/>
                <w:webHidden/>
              </w:rPr>
            </w:r>
            <w:r>
              <w:rPr>
                <w:noProof/>
                <w:webHidden/>
              </w:rPr>
              <w:fldChar w:fldCharType="separate"/>
            </w:r>
            <w:r>
              <w:rPr>
                <w:noProof/>
                <w:webHidden/>
              </w:rPr>
              <w:t>13</w:t>
            </w:r>
            <w:r>
              <w:rPr>
                <w:noProof/>
                <w:webHidden/>
              </w:rPr>
              <w:fldChar w:fldCharType="end"/>
            </w:r>
          </w:hyperlink>
        </w:p>
        <w:p w14:paraId="57F39873" w14:textId="1080CB6A"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33" w:history="1">
            <w:r w:rsidRPr="00B02710">
              <w:rPr>
                <w:rStyle w:val="Hyperlink"/>
                <w:noProof/>
              </w:rPr>
              <w:t>S-R1.5 Circularity of the system along the pareto</w:t>
            </w:r>
            <w:r>
              <w:rPr>
                <w:noProof/>
                <w:webHidden/>
              </w:rPr>
              <w:tab/>
            </w:r>
            <w:r>
              <w:rPr>
                <w:noProof/>
                <w:webHidden/>
              </w:rPr>
              <w:fldChar w:fldCharType="begin"/>
            </w:r>
            <w:r>
              <w:rPr>
                <w:noProof/>
                <w:webHidden/>
              </w:rPr>
              <w:instrText xml:space="preserve"> PAGEREF _Toc234499933 \h </w:instrText>
            </w:r>
            <w:r>
              <w:rPr>
                <w:noProof/>
                <w:webHidden/>
              </w:rPr>
            </w:r>
            <w:r>
              <w:rPr>
                <w:noProof/>
                <w:webHidden/>
              </w:rPr>
              <w:fldChar w:fldCharType="separate"/>
            </w:r>
            <w:r>
              <w:rPr>
                <w:noProof/>
                <w:webHidden/>
              </w:rPr>
              <w:t>14</w:t>
            </w:r>
            <w:r>
              <w:rPr>
                <w:noProof/>
                <w:webHidden/>
              </w:rPr>
              <w:fldChar w:fldCharType="end"/>
            </w:r>
          </w:hyperlink>
        </w:p>
        <w:p w14:paraId="372C515D" w14:textId="31B4249A"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34" w:history="1">
            <w:r w:rsidRPr="00B02710">
              <w:rPr>
                <w:rStyle w:val="Hyperlink"/>
                <w:noProof/>
              </w:rPr>
              <w:t>S-R1.6 Slopes of the pareto frontier</w:t>
            </w:r>
            <w:r>
              <w:rPr>
                <w:noProof/>
                <w:webHidden/>
              </w:rPr>
              <w:tab/>
            </w:r>
            <w:r>
              <w:rPr>
                <w:noProof/>
                <w:webHidden/>
              </w:rPr>
              <w:fldChar w:fldCharType="begin"/>
            </w:r>
            <w:r>
              <w:rPr>
                <w:noProof/>
                <w:webHidden/>
              </w:rPr>
              <w:instrText xml:space="preserve"> PAGEREF _Toc234499934 \h </w:instrText>
            </w:r>
            <w:r>
              <w:rPr>
                <w:noProof/>
                <w:webHidden/>
              </w:rPr>
            </w:r>
            <w:r>
              <w:rPr>
                <w:noProof/>
                <w:webHidden/>
              </w:rPr>
              <w:fldChar w:fldCharType="separate"/>
            </w:r>
            <w:r>
              <w:rPr>
                <w:noProof/>
                <w:webHidden/>
              </w:rPr>
              <w:t>14</w:t>
            </w:r>
            <w:r>
              <w:rPr>
                <w:noProof/>
                <w:webHidden/>
              </w:rPr>
              <w:fldChar w:fldCharType="end"/>
            </w:r>
          </w:hyperlink>
        </w:p>
        <w:p w14:paraId="3A3A319B" w14:textId="2A3432AE"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35" w:history="1">
            <w:r w:rsidRPr="00B02710">
              <w:rPr>
                <w:rStyle w:val="Hyperlink"/>
                <w:noProof/>
              </w:rPr>
              <w:t>S-R1.7 Pareto fronts for EQ, HH, WU and FU impact scores</w:t>
            </w:r>
            <w:r>
              <w:rPr>
                <w:noProof/>
                <w:webHidden/>
              </w:rPr>
              <w:tab/>
            </w:r>
            <w:r>
              <w:rPr>
                <w:noProof/>
                <w:webHidden/>
              </w:rPr>
              <w:fldChar w:fldCharType="begin"/>
            </w:r>
            <w:r>
              <w:rPr>
                <w:noProof/>
                <w:webHidden/>
              </w:rPr>
              <w:instrText xml:space="preserve"> PAGEREF _Toc234499935 \h </w:instrText>
            </w:r>
            <w:r>
              <w:rPr>
                <w:noProof/>
                <w:webHidden/>
              </w:rPr>
            </w:r>
            <w:r>
              <w:rPr>
                <w:noProof/>
                <w:webHidden/>
              </w:rPr>
              <w:fldChar w:fldCharType="separate"/>
            </w:r>
            <w:r>
              <w:rPr>
                <w:noProof/>
                <w:webHidden/>
              </w:rPr>
              <w:t>15</w:t>
            </w:r>
            <w:r>
              <w:rPr>
                <w:noProof/>
                <w:webHidden/>
              </w:rPr>
              <w:fldChar w:fldCharType="end"/>
            </w:r>
          </w:hyperlink>
        </w:p>
        <w:p w14:paraId="658DD276" w14:textId="379CB289"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36" w:history="1">
            <w:r w:rsidRPr="00B02710">
              <w:rPr>
                <w:rStyle w:val="Hyperlink"/>
                <w:noProof/>
              </w:rPr>
              <w:t>S-R1.8 MFA and detailed contribution of the flows on the KPIs of the clusters of the pareto</w:t>
            </w:r>
            <w:r>
              <w:rPr>
                <w:noProof/>
                <w:webHidden/>
              </w:rPr>
              <w:tab/>
            </w:r>
            <w:r>
              <w:rPr>
                <w:noProof/>
                <w:webHidden/>
              </w:rPr>
              <w:fldChar w:fldCharType="begin"/>
            </w:r>
            <w:r>
              <w:rPr>
                <w:noProof/>
                <w:webHidden/>
              </w:rPr>
              <w:instrText xml:space="preserve"> PAGEREF _Toc234499936 \h </w:instrText>
            </w:r>
            <w:r>
              <w:rPr>
                <w:noProof/>
                <w:webHidden/>
              </w:rPr>
            </w:r>
            <w:r>
              <w:rPr>
                <w:noProof/>
                <w:webHidden/>
              </w:rPr>
              <w:fldChar w:fldCharType="separate"/>
            </w:r>
            <w:r>
              <w:rPr>
                <w:noProof/>
                <w:webHidden/>
              </w:rPr>
              <w:t>16</w:t>
            </w:r>
            <w:r>
              <w:rPr>
                <w:noProof/>
                <w:webHidden/>
              </w:rPr>
              <w:fldChar w:fldCharType="end"/>
            </w:r>
          </w:hyperlink>
        </w:p>
        <w:p w14:paraId="0CCFD9D4" w14:textId="117578D9" w:rsidR="000232EE" w:rsidRDefault="000232EE">
          <w:pPr>
            <w:pStyle w:val="TOC2"/>
            <w:tabs>
              <w:tab w:val="right" w:leader="dot" w:pos="9016"/>
            </w:tabs>
            <w:rPr>
              <w:rFonts w:eastAsiaTheme="minorEastAsia" w:cstheme="minorBidi"/>
              <w:b w:val="0"/>
              <w:bCs w:val="0"/>
              <w:noProof/>
              <w:sz w:val="24"/>
              <w:szCs w:val="24"/>
              <w:lang w:val="en-CH" w:eastAsia="en-GB"/>
            </w:rPr>
          </w:pPr>
          <w:hyperlink w:anchor="_Toc234499937" w:history="1">
            <w:r w:rsidRPr="00B02710">
              <w:rPr>
                <w:rStyle w:val="Hyperlink"/>
                <w:noProof/>
              </w:rPr>
              <w:t>S-R1.9 Parallel coordinates illustrating the technical configurations and results on KPIS of clusters of the Pareto</w:t>
            </w:r>
            <w:r>
              <w:rPr>
                <w:noProof/>
                <w:webHidden/>
              </w:rPr>
              <w:tab/>
            </w:r>
            <w:r>
              <w:rPr>
                <w:noProof/>
                <w:webHidden/>
              </w:rPr>
              <w:fldChar w:fldCharType="begin"/>
            </w:r>
            <w:r>
              <w:rPr>
                <w:noProof/>
                <w:webHidden/>
              </w:rPr>
              <w:instrText xml:space="preserve"> PAGEREF _Toc234499937 \h </w:instrText>
            </w:r>
            <w:r>
              <w:rPr>
                <w:noProof/>
                <w:webHidden/>
              </w:rPr>
            </w:r>
            <w:r>
              <w:rPr>
                <w:noProof/>
                <w:webHidden/>
              </w:rPr>
              <w:fldChar w:fldCharType="separate"/>
            </w:r>
            <w:r>
              <w:rPr>
                <w:noProof/>
                <w:webHidden/>
              </w:rPr>
              <w:t>17</w:t>
            </w:r>
            <w:r>
              <w:rPr>
                <w:noProof/>
                <w:webHidden/>
              </w:rPr>
              <w:fldChar w:fldCharType="end"/>
            </w:r>
          </w:hyperlink>
        </w:p>
        <w:p w14:paraId="1CE44F24" w14:textId="28EB29E3" w:rsidR="000232EE" w:rsidRDefault="000232EE">
          <w:pPr>
            <w:pStyle w:val="TOC1"/>
            <w:tabs>
              <w:tab w:val="right" w:leader="dot" w:pos="9016"/>
            </w:tabs>
            <w:rPr>
              <w:rFonts w:eastAsiaTheme="minorEastAsia" w:cstheme="minorBidi"/>
              <w:b w:val="0"/>
              <w:bCs w:val="0"/>
              <w:i w:val="0"/>
              <w:iCs w:val="0"/>
              <w:noProof/>
              <w:lang w:val="en-CH" w:eastAsia="en-GB"/>
            </w:rPr>
          </w:pPr>
          <w:hyperlink w:anchor="_Toc234499938" w:history="1">
            <w:r w:rsidRPr="00B02710">
              <w:rPr>
                <w:rStyle w:val="Hyperlink"/>
                <w:noProof/>
              </w:rPr>
              <w:t>References</w:t>
            </w:r>
            <w:r>
              <w:rPr>
                <w:noProof/>
                <w:webHidden/>
              </w:rPr>
              <w:tab/>
            </w:r>
            <w:r>
              <w:rPr>
                <w:noProof/>
                <w:webHidden/>
              </w:rPr>
              <w:fldChar w:fldCharType="begin"/>
            </w:r>
            <w:r>
              <w:rPr>
                <w:noProof/>
                <w:webHidden/>
              </w:rPr>
              <w:instrText xml:space="preserve"> PAGEREF _Toc234499938 \h </w:instrText>
            </w:r>
            <w:r>
              <w:rPr>
                <w:noProof/>
                <w:webHidden/>
              </w:rPr>
            </w:r>
            <w:r>
              <w:rPr>
                <w:noProof/>
                <w:webHidden/>
              </w:rPr>
              <w:fldChar w:fldCharType="separate"/>
            </w:r>
            <w:r>
              <w:rPr>
                <w:noProof/>
                <w:webHidden/>
              </w:rPr>
              <w:t>18</w:t>
            </w:r>
            <w:r>
              <w:rPr>
                <w:noProof/>
                <w:webHidden/>
              </w:rPr>
              <w:fldChar w:fldCharType="end"/>
            </w:r>
          </w:hyperlink>
        </w:p>
        <w:p w14:paraId="50F28D65" w14:textId="7DBCE999" w:rsidR="00BF2837" w:rsidRPr="0055119A" w:rsidRDefault="00CF103F" w:rsidP="00BD1D65">
          <w:pPr>
            <w:jc w:val="both"/>
            <w:rPr>
              <w:noProof/>
            </w:rPr>
          </w:pPr>
          <w:r>
            <w:rPr>
              <w:b/>
              <w:bCs/>
              <w:noProof/>
            </w:rPr>
            <w:fldChar w:fldCharType="end"/>
          </w:r>
        </w:p>
      </w:sdtContent>
    </w:sdt>
    <w:p w14:paraId="516D2E5F" w14:textId="77777777" w:rsidR="00234573" w:rsidRDefault="00234573">
      <w:pPr>
        <w:rPr>
          <w:rFonts w:asciiTheme="majorHAnsi" w:eastAsiaTheme="majorEastAsia" w:hAnsiTheme="majorHAnsi" w:cstheme="majorBidi"/>
          <w:color w:val="2F5496" w:themeColor="accent1" w:themeShade="BF"/>
          <w:kern w:val="2"/>
          <w:sz w:val="40"/>
          <w:szCs w:val="40"/>
          <w:lang w:val="en-GB" w:eastAsia="en-US"/>
          <w14:ligatures w14:val="standardContextual"/>
        </w:rPr>
      </w:pPr>
      <w:bookmarkStart w:id="0" w:name="_Hlk226640804"/>
      <w:r>
        <w:br w:type="page"/>
      </w:r>
    </w:p>
    <w:p w14:paraId="3160BB06" w14:textId="4D79B6F8" w:rsidR="00EF16B9" w:rsidRDefault="004008FC" w:rsidP="00BD1D65">
      <w:pPr>
        <w:pStyle w:val="Heading1"/>
        <w:jc w:val="both"/>
      </w:pPr>
      <w:bookmarkStart w:id="1" w:name="_Toc234499916"/>
      <w:r>
        <w:lastRenderedPageBreak/>
        <w:t>S-M</w:t>
      </w:r>
      <w:r w:rsidR="008B4F76">
        <w:t xml:space="preserve">1. </w:t>
      </w:r>
      <w:r w:rsidR="003D234A">
        <w:t>Methods</w:t>
      </w:r>
      <w:r w:rsidR="002524D8">
        <w:t xml:space="preserve"> – Background data definition</w:t>
      </w:r>
      <w:bookmarkEnd w:id="1"/>
    </w:p>
    <w:p w14:paraId="6F1D5E5F" w14:textId="27D57FC6" w:rsidR="00DF0A7F" w:rsidRPr="00DF0A7F" w:rsidRDefault="004008FC" w:rsidP="00BD1D65">
      <w:pPr>
        <w:pStyle w:val="Heading2"/>
        <w:jc w:val="both"/>
      </w:pPr>
      <w:bookmarkStart w:id="2" w:name="_Toc234499917"/>
      <w:bookmarkEnd w:id="0"/>
      <w:r>
        <w:t>S-M</w:t>
      </w:r>
      <w:r w:rsidR="00F03AF2">
        <w:t>1.1 Nomenclature</w:t>
      </w:r>
      <w:bookmarkEnd w:id="2"/>
    </w:p>
    <w:tbl>
      <w:tblPr>
        <w:tblStyle w:val="TableGridLight"/>
        <w:tblW w:w="8670" w:type="dxa"/>
        <w:tblLook w:val="04A0" w:firstRow="1" w:lastRow="0" w:firstColumn="1" w:lastColumn="0" w:noHBand="0" w:noVBand="1"/>
      </w:tblPr>
      <w:tblGrid>
        <w:gridCol w:w="3681"/>
        <w:gridCol w:w="1777"/>
        <w:gridCol w:w="1568"/>
        <w:gridCol w:w="1644"/>
      </w:tblGrid>
      <w:tr w:rsidR="003054E0" w:rsidRPr="00456207" w14:paraId="52C536CE" w14:textId="02CDA720" w:rsidTr="0009202C">
        <w:trPr>
          <w:trHeight w:val="320"/>
        </w:trPr>
        <w:tc>
          <w:tcPr>
            <w:tcW w:w="3681" w:type="dxa"/>
            <w:noWrap/>
            <w:hideMark/>
          </w:tcPr>
          <w:p w14:paraId="683B04B2" w14:textId="3197548E" w:rsidR="003054E0" w:rsidRPr="00456207" w:rsidRDefault="003054E0" w:rsidP="00BD1D65">
            <w:pPr>
              <w:jc w:val="both"/>
            </w:pPr>
            <w:r w:rsidRPr="00656CD2">
              <w:t>C</w:t>
            </w:r>
            <w:r w:rsidRPr="00456207">
              <w:t>ategory</w:t>
            </w:r>
          </w:p>
        </w:tc>
        <w:tc>
          <w:tcPr>
            <w:tcW w:w="1701" w:type="dxa"/>
            <w:noWrap/>
            <w:hideMark/>
          </w:tcPr>
          <w:p w14:paraId="3B3002F8" w14:textId="76875799" w:rsidR="003054E0" w:rsidRPr="00456207" w:rsidRDefault="003054E0" w:rsidP="00BD1D65">
            <w:pPr>
              <w:jc w:val="both"/>
            </w:pPr>
            <w:r w:rsidRPr="00456207">
              <w:t>N</w:t>
            </w:r>
            <w:r w:rsidRPr="00656CD2">
              <w:t>omenclature</w:t>
            </w:r>
          </w:p>
        </w:tc>
        <w:tc>
          <w:tcPr>
            <w:tcW w:w="1644" w:type="dxa"/>
          </w:tcPr>
          <w:p w14:paraId="051612FC" w14:textId="5328AFDF" w:rsidR="003054E0" w:rsidRDefault="003054E0" w:rsidP="00BD1D65">
            <w:pPr>
              <w:jc w:val="both"/>
            </w:pPr>
            <w:r>
              <w:t>v</w:t>
            </w:r>
            <w:r w:rsidRPr="00456207">
              <w:t xml:space="preserve">PET </w:t>
            </w:r>
            <w:r w:rsidRPr="00656CD2">
              <w:t>Associated</w:t>
            </w:r>
          </w:p>
        </w:tc>
        <w:tc>
          <w:tcPr>
            <w:tcW w:w="1644" w:type="dxa"/>
            <w:noWrap/>
            <w:hideMark/>
          </w:tcPr>
          <w:p w14:paraId="3BEEC9EC" w14:textId="4C4B575C" w:rsidR="003054E0" w:rsidRPr="00456207" w:rsidRDefault="003054E0" w:rsidP="00BD1D65">
            <w:pPr>
              <w:jc w:val="both"/>
            </w:pPr>
            <w:r>
              <w:t>v</w:t>
            </w:r>
            <w:r w:rsidRPr="00456207">
              <w:t xml:space="preserve">PET </w:t>
            </w:r>
            <w:r>
              <w:t>Nomenclature</w:t>
            </w:r>
          </w:p>
        </w:tc>
      </w:tr>
      <w:tr w:rsidR="003054E0" w:rsidRPr="00456207" w14:paraId="3439204C" w14:textId="2B64C979" w:rsidTr="0009202C">
        <w:trPr>
          <w:trHeight w:val="320"/>
        </w:trPr>
        <w:tc>
          <w:tcPr>
            <w:tcW w:w="3681" w:type="dxa"/>
            <w:noWrap/>
            <w:hideMark/>
          </w:tcPr>
          <w:p w14:paraId="72D44F08" w14:textId="77777777" w:rsidR="003054E0" w:rsidRPr="00656CD2" w:rsidRDefault="003054E0" w:rsidP="00BD1D65">
            <w:pPr>
              <w:jc w:val="both"/>
            </w:pPr>
            <w:r w:rsidRPr="00656CD2">
              <w:t xml:space="preserve"> Food bottles </w:t>
            </w:r>
          </w:p>
        </w:tc>
        <w:tc>
          <w:tcPr>
            <w:tcW w:w="1701" w:type="dxa"/>
            <w:noWrap/>
            <w:hideMark/>
          </w:tcPr>
          <w:p w14:paraId="55E8C9B6" w14:textId="77777777" w:rsidR="003054E0" w:rsidRPr="00456207" w:rsidRDefault="003054E0" w:rsidP="00BD1D65">
            <w:pPr>
              <w:jc w:val="both"/>
            </w:pPr>
            <w:r w:rsidRPr="00456207">
              <w:t>PET_FB</w:t>
            </w:r>
          </w:p>
        </w:tc>
        <w:tc>
          <w:tcPr>
            <w:tcW w:w="1644" w:type="dxa"/>
          </w:tcPr>
          <w:p w14:paraId="32F5A5FB" w14:textId="6F34EF72" w:rsidR="003054E0" w:rsidRPr="00456207" w:rsidRDefault="003054E0" w:rsidP="00BD1D65">
            <w:pPr>
              <w:jc w:val="both"/>
            </w:pPr>
            <w:r>
              <w:t>vPET (packagings)</w:t>
            </w:r>
          </w:p>
        </w:tc>
        <w:tc>
          <w:tcPr>
            <w:tcW w:w="1644" w:type="dxa"/>
            <w:noWrap/>
            <w:hideMark/>
          </w:tcPr>
          <w:p w14:paraId="5E8F22DB" w14:textId="59BCA677" w:rsidR="003054E0" w:rsidRPr="00456207" w:rsidRDefault="003054E0" w:rsidP="00BD1D65">
            <w:pPr>
              <w:jc w:val="both"/>
            </w:pPr>
            <w:r w:rsidRPr="00456207">
              <w:t>vPET</w:t>
            </w:r>
          </w:p>
        </w:tc>
      </w:tr>
      <w:tr w:rsidR="003054E0" w:rsidRPr="00456207" w14:paraId="6F5BC670" w14:textId="7DD9BEF0" w:rsidTr="0009202C">
        <w:trPr>
          <w:trHeight w:val="320"/>
        </w:trPr>
        <w:tc>
          <w:tcPr>
            <w:tcW w:w="3681" w:type="dxa"/>
            <w:noWrap/>
            <w:hideMark/>
          </w:tcPr>
          <w:p w14:paraId="0E98DD4D" w14:textId="77777777" w:rsidR="003054E0" w:rsidRPr="00656CD2" w:rsidRDefault="003054E0" w:rsidP="00BD1D65">
            <w:pPr>
              <w:jc w:val="both"/>
            </w:pPr>
            <w:r w:rsidRPr="00656CD2">
              <w:t xml:space="preserve"> Food PTTs </w:t>
            </w:r>
          </w:p>
        </w:tc>
        <w:tc>
          <w:tcPr>
            <w:tcW w:w="1701" w:type="dxa"/>
            <w:noWrap/>
            <w:hideMark/>
          </w:tcPr>
          <w:p w14:paraId="196E96B6" w14:textId="77777777" w:rsidR="003054E0" w:rsidRPr="00456207" w:rsidRDefault="003054E0" w:rsidP="00BD1D65">
            <w:pPr>
              <w:jc w:val="both"/>
            </w:pPr>
            <w:r w:rsidRPr="00456207">
              <w:t>PET_PTTS</w:t>
            </w:r>
          </w:p>
        </w:tc>
        <w:tc>
          <w:tcPr>
            <w:tcW w:w="1644" w:type="dxa"/>
          </w:tcPr>
          <w:p w14:paraId="70A2F808" w14:textId="5CD2DCB4" w:rsidR="003054E0" w:rsidRPr="00456207" w:rsidRDefault="003054E0" w:rsidP="00BD1D65">
            <w:pPr>
              <w:jc w:val="both"/>
            </w:pPr>
            <w:r>
              <w:t>vPET (packagings)</w:t>
            </w:r>
          </w:p>
        </w:tc>
        <w:tc>
          <w:tcPr>
            <w:tcW w:w="1644" w:type="dxa"/>
            <w:noWrap/>
            <w:hideMark/>
          </w:tcPr>
          <w:p w14:paraId="42987F63" w14:textId="19799191" w:rsidR="003054E0" w:rsidRPr="00456207" w:rsidRDefault="003054E0" w:rsidP="00BD1D65">
            <w:pPr>
              <w:jc w:val="both"/>
            </w:pPr>
            <w:r w:rsidRPr="00456207">
              <w:t>vPET</w:t>
            </w:r>
          </w:p>
        </w:tc>
      </w:tr>
      <w:tr w:rsidR="003054E0" w:rsidRPr="00456207" w14:paraId="3577E4E3" w14:textId="1130D515" w:rsidTr="0009202C">
        <w:trPr>
          <w:trHeight w:val="320"/>
        </w:trPr>
        <w:tc>
          <w:tcPr>
            <w:tcW w:w="3681" w:type="dxa"/>
            <w:noWrap/>
            <w:hideMark/>
          </w:tcPr>
          <w:p w14:paraId="2ED8AFD9" w14:textId="77777777" w:rsidR="003054E0" w:rsidRPr="00656CD2" w:rsidRDefault="003054E0" w:rsidP="00BD1D65">
            <w:pPr>
              <w:jc w:val="both"/>
            </w:pPr>
            <w:r w:rsidRPr="00656CD2">
              <w:t xml:space="preserve"> Consumer non-food bottles </w:t>
            </w:r>
          </w:p>
        </w:tc>
        <w:tc>
          <w:tcPr>
            <w:tcW w:w="1701" w:type="dxa"/>
            <w:noWrap/>
            <w:hideMark/>
          </w:tcPr>
          <w:p w14:paraId="49DEE6BB" w14:textId="77777777" w:rsidR="003054E0" w:rsidRPr="00456207" w:rsidRDefault="003054E0" w:rsidP="00BD1D65">
            <w:pPr>
              <w:jc w:val="both"/>
            </w:pPr>
            <w:r w:rsidRPr="00456207">
              <w:t>PET_CN_FB</w:t>
            </w:r>
          </w:p>
        </w:tc>
        <w:tc>
          <w:tcPr>
            <w:tcW w:w="1644" w:type="dxa"/>
          </w:tcPr>
          <w:p w14:paraId="54485DCD" w14:textId="2069BBA3" w:rsidR="003054E0" w:rsidRPr="00456207" w:rsidRDefault="003054E0" w:rsidP="00BD1D65">
            <w:pPr>
              <w:jc w:val="both"/>
            </w:pPr>
            <w:r>
              <w:t>vPET (packagings)</w:t>
            </w:r>
          </w:p>
        </w:tc>
        <w:tc>
          <w:tcPr>
            <w:tcW w:w="1644" w:type="dxa"/>
            <w:noWrap/>
            <w:hideMark/>
          </w:tcPr>
          <w:p w14:paraId="0746780B" w14:textId="01AAC161" w:rsidR="003054E0" w:rsidRPr="00456207" w:rsidRDefault="003054E0" w:rsidP="00BD1D65">
            <w:pPr>
              <w:jc w:val="both"/>
            </w:pPr>
            <w:r w:rsidRPr="00456207">
              <w:t>vPET</w:t>
            </w:r>
          </w:p>
        </w:tc>
      </w:tr>
      <w:tr w:rsidR="003054E0" w:rsidRPr="00456207" w14:paraId="737ACB7D" w14:textId="42280967" w:rsidTr="0009202C">
        <w:trPr>
          <w:trHeight w:val="320"/>
        </w:trPr>
        <w:tc>
          <w:tcPr>
            <w:tcW w:w="3681" w:type="dxa"/>
            <w:noWrap/>
            <w:hideMark/>
          </w:tcPr>
          <w:p w14:paraId="5394965B" w14:textId="77777777" w:rsidR="003054E0" w:rsidRPr="00656CD2" w:rsidRDefault="003054E0" w:rsidP="00BD1D65">
            <w:pPr>
              <w:jc w:val="both"/>
            </w:pPr>
            <w:r w:rsidRPr="00656CD2">
              <w:t xml:space="preserve"> Consumer non-food PTTs </w:t>
            </w:r>
          </w:p>
        </w:tc>
        <w:tc>
          <w:tcPr>
            <w:tcW w:w="1701" w:type="dxa"/>
            <w:noWrap/>
            <w:hideMark/>
          </w:tcPr>
          <w:p w14:paraId="0658FC40" w14:textId="77777777" w:rsidR="003054E0" w:rsidRPr="00456207" w:rsidRDefault="003054E0" w:rsidP="00BD1D65">
            <w:pPr>
              <w:jc w:val="both"/>
            </w:pPr>
            <w:r w:rsidRPr="00456207">
              <w:t>PET_CN_PTTS</w:t>
            </w:r>
          </w:p>
        </w:tc>
        <w:tc>
          <w:tcPr>
            <w:tcW w:w="1644" w:type="dxa"/>
          </w:tcPr>
          <w:p w14:paraId="6CEACB0D" w14:textId="13501251" w:rsidR="003054E0" w:rsidRPr="00456207" w:rsidRDefault="003054E0" w:rsidP="00BD1D65">
            <w:pPr>
              <w:jc w:val="both"/>
            </w:pPr>
            <w:r>
              <w:t>vPET (packagings)</w:t>
            </w:r>
          </w:p>
        </w:tc>
        <w:tc>
          <w:tcPr>
            <w:tcW w:w="1644" w:type="dxa"/>
            <w:noWrap/>
            <w:hideMark/>
          </w:tcPr>
          <w:p w14:paraId="1ED1D8E7" w14:textId="5DF68DFB" w:rsidR="003054E0" w:rsidRPr="00456207" w:rsidRDefault="003054E0" w:rsidP="00BD1D65">
            <w:pPr>
              <w:jc w:val="both"/>
            </w:pPr>
            <w:r w:rsidRPr="00456207">
              <w:t>vPET</w:t>
            </w:r>
          </w:p>
        </w:tc>
      </w:tr>
      <w:tr w:rsidR="003054E0" w:rsidRPr="00456207" w14:paraId="5F51EB7C" w14:textId="5DEE2FA8" w:rsidTr="0009202C">
        <w:trPr>
          <w:trHeight w:val="320"/>
        </w:trPr>
        <w:tc>
          <w:tcPr>
            <w:tcW w:w="3681" w:type="dxa"/>
            <w:noWrap/>
            <w:hideMark/>
          </w:tcPr>
          <w:p w14:paraId="48DD75BE" w14:textId="77777777" w:rsidR="003054E0" w:rsidRPr="00656CD2" w:rsidRDefault="003054E0" w:rsidP="00BD1D65">
            <w:pPr>
              <w:jc w:val="both"/>
            </w:pPr>
            <w:r w:rsidRPr="00656CD2">
              <w:t xml:space="preserve"> Non-consumer packaging C&amp;I - hospitality - bottles </w:t>
            </w:r>
          </w:p>
        </w:tc>
        <w:tc>
          <w:tcPr>
            <w:tcW w:w="1701" w:type="dxa"/>
            <w:noWrap/>
            <w:hideMark/>
          </w:tcPr>
          <w:p w14:paraId="72FAD31C" w14:textId="77777777" w:rsidR="003054E0" w:rsidRPr="00456207" w:rsidRDefault="003054E0" w:rsidP="00BD1D65">
            <w:pPr>
              <w:jc w:val="both"/>
            </w:pPr>
            <w:r w:rsidRPr="00456207">
              <w:t>PET_NCP_HB</w:t>
            </w:r>
          </w:p>
        </w:tc>
        <w:tc>
          <w:tcPr>
            <w:tcW w:w="1644" w:type="dxa"/>
          </w:tcPr>
          <w:p w14:paraId="79131F38" w14:textId="01DB6673" w:rsidR="003054E0" w:rsidRPr="00456207" w:rsidRDefault="003054E0" w:rsidP="00BD1D65">
            <w:pPr>
              <w:jc w:val="both"/>
            </w:pPr>
            <w:r>
              <w:t>vPET (packagings)</w:t>
            </w:r>
          </w:p>
        </w:tc>
        <w:tc>
          <w:tcPr>
            <w:tcW w:w="1644" w:type="dxa"/>
            <w:noWrap/>
            <w:hideMark/>
          </w:tcPr>
          <w:p w14:paraId="1B81D841" w14:textId="7B66F494" w:rsidR="003054E0" w:rsidRPr="00456207" w:rsidRDefault="003054E0" w:rsidP="00BD1D65">
            <w:pPr>
              <w:jc w:val="both"/>
            </w:pPr>
            <w:r w:rsidRPr="00456207">
              <w:t>vPET</w:t>
            </w:r>
          </w:p>
        </w:tc>
      </w:tr>
      <w:tr w:rsidR="003054E0" w:rsidRPr="00456207" w14:paraId="1176C749" w14:textId="486CDC9A" w:rsidTr="0009202C">
        <w:trPr>
          <w:trHeight w:val="320"/>
        </w:trPr>
        <w:tc>
          <w:tcPr>
            <w:tcW w:w="3681" w:type="dxa"/>
            <w:noWrap/>
            <w:hideMark/>
          </w:tcPr>
          <w:p w14:paraId="64C3E4E3" w14:textId="77777777" w:rsidR="003054E0" w:rsidRPr="00656CD2" w:rsidRDefault="003054E0" w:rsidP="00BD1D65">
            <w:pPr>
              <w:jc w:val="both"/>
            </w:pPr>
            <w:r w:rsidRPr="00656CD2">
              <w:t>Apparel</w:t>
            </w:r>
          </w:p>
        </w:tc>
        <w:tc>
          <w:tcPr>
            <w:tcW w:w="1701" w:type="dxa"/>
            <w:noWrap/>
            <w:hideMark/>
          </w:tcPr>
          <w:p w14:paraId="4A30C76F" w14:textId="77777777" w:rsidR="003054E0" w:rsidRPr="00456207" w:rsidRDefault="003054E0" w:rsidP="00BD1D65">
            <w:pPr>
              <w:jc w:val="both"/>
            </w:pPr>
            <w:r w:rsidRPr="00456207">
              <w:t>PET_T_APP</w:t>
            </w:r>
          </w:p>
        </w:tc>
        <w:tc>
          <w:tcPr>
            <w:tcW w:w="1644" w:type="dxa"/>
          </w:tcPr>
          <w:p w14:paraId="6E940CCB" w14:textId="58F60605" w:rsidR="003054E0" w:rsidRPr="00456207" w:rsidRDefault="003054E0" w:rsidP="00BD1D65">
            <w:pPr>
              <w:jc w:val="both"/>
            </w:pPr>
            <w:r>
              <w:t>vPET (textiles)</w:t>
            </w:r>
          </w:p>
        </w:tc>
        <w:tc>
          <w:tcPr>
            <w:tcW w:w="1644" w:type="dxa"/>
            <w:noWrap/>
            <w:hideMark/>
          </w:tcPr>
          <w:p w14:paraId="4C5FC78A" w14:textId="218709EF" w:rsidR="003054E0" w:rsidRPr="00456207" w:rsidRDefault="003054E0" w:rsidP="00BD1D65">
            <w:pPr>
              <w:jc w:val="both"/>
            </w:pPr>
            <w:r w:rsidRPr="00456207">
              <w:t>vPET_T</w:t>
            </w:r>
          </w:p>
        </w:tc>
      </w:tr>
      <w:tr w:rsidR="003054E0" w:rsidRPr="00456207" w14:paraId="5AD57D6B" w14:textId="2F0B0602" w:rsidTr="0009202C">
        <w:trPr>
          <w:trHeight w:val="320"/>
        </w:trPr>
        <w:tc>
          <w:tcPr>
            <w:tcW w:w="3681" w:type="dxa"/>
            <w:noWrap/>
            <w:hideMark/>
          </w:tcPr>
          <w:p w14:paraId="14C8004F" w14:textId="77777777" w:rsidR="003054E0" w:rsidRPr="00656CD2" w:rsidRDefault="003054E0" w:rsidP="00BD1D65">
            <w:pPr>
              <w:jc w:val="both"/>
            </w:pPr>
            <w:r w:rsidRPr="00656CD2">
              <w:t>Household textiles</w:t>
            </w:r>
          </w:p>
        </w:tc>
        <w:tc>
          <w:tcPr>
            <w:tcW w:w="1701" w:type="dxa"/>
            <w:noWrap/>
            <w:hideMark/>
          </w:tcPr>
          <w:p w14:paraId="57C0806F" w14:textId="77777777" w:rsidR="003054E0" w:rsidRPr="00456207" w:rsidRDefault="003054E0" w:rsidP="00BD1D65">
            <w:pPr>
              <w:jc w:val="both"/>
            </w:pPr>
            <w:r w:rsidRPr="00456207">
              <w:t>PET_T_HOUS</w:t>
            </w:r>
          </w:p>
        </w:tc>
        <w:tc>
          <w:tcPr>
            <w:tcW w:w="1644" w:type="dxa"/>
          </w:tcPr>
          <w:p w14:paraId="7F5FC21B" w14:textId="7151C927" w:rsidR="003054E0" w:rsidRPr="00456207" w:rsidRDefault="003054E0" w:rsidP="00BD1D65">
            <w:pPr>
              <w:jc w:val="both"/>
            </w:pPr>
            <w:r>
              <w:t>vPET (textiles)</w:t>
            </w:r>
          </w:p>
        </w:tc>
        <w:tc>
          <w:tcPr>
            <w:tcW w:w="1644" w:type="dxa"/>
            <w:noWrap/>
            <w:hideMark/>
          </w:tcPr>
          <w:p w14:paraId="0F0C02D6" w14:textId="6AB9439E" w:rsidR="003054E0" w:rsidRPr="00456207" w:rsidRDefault="003054E0" w:rsidP="00BD1D65">
            <w:pPr>
              <w:jc w:val="both"/>
            </w:pPr>
            <w:r w:rsidRPr="00456207">
              <w:t>vPET_T</w:t>
            </w:r>
          </w:p>
        </w:tc>
      </w:tr>
      <w:tr w:rsidR="003054E0" w:rsidRPr="00456207" w14:paraId="52BC828F" w14:textId="6DBD4634" w:rsidTr="0009202C">
        <w:trPr>
          <w:trHeight w:val="320"/>
        </w:trPr>
        <w:tc>
          <w:tcPr>
            <w:tcW w:w="3681" w:type="dxa"/>
            <w:noWrap/>
            <w:hideMark/>
          </w:tcPr>
          <w:p w14:paraId="4B395C1E" w14:textId="77777777" w:rsidR="003054E0" w:rsidRPr="00656CD2" w:rsidRDefault="003054E0" w:rsidP="00BD1D65">
            <w:pPr>
              <w:jc w:val="both"/>
            </w:pPr>
            <w:r w:rsidRPr="00656CD2">
              <w:t>Technical textiles - textile flooring</w:t>
            </w:r>
          </w:p>
        </w:tc>
        <w:tc>
          <w:tcPr>
            <w:tcW w:w="1701" w:type="dxa"/>
            <w:noWrap/>
            <w:hideMark/>
          </w:tcPr>
          <w:p w14:paraId="728FDA77" w14:textId="77777777" w:rsidR="003054E0" w:rsidRPr="00456207" w:rsidRDefault="003054E0" w:rsidP="00BD1D65">
            <w:pPr>
              <w:jc w:val="both"/>
            </w:pPr>
            <w:r w:rsidRPr="00456207">
              <w:t>PET_T_FLO</w:t>
            </w:r>
          </w:p>
        </w:tc>
        <w:tc>
          <w:tcPr>
            <w:tcW w:w="1644" w:type="dxa"/>
          </w:tcPr>
          <w:p w14:paraId="6AF14CF1" w14:textId="699EDE1E" w:rsidR="003054E0" w:rsidRPr="00456207" w:rsidRDefault="003054E0" w:rsidP="00BD1D65">
            <w:pPr>
              <w:jc w:val="both"/>
            </w:pPr>
            <w:r>
              <w:t>vPET (textiles)</w:t>
            </w:r>
          </w:p>
        </w:tc>
        <w:tc>
          <w:tcPr>
            <w:tcW w:w="1644" w:type="dxa"/>
            <w:noWrap/>
            <w:hideMark/>
          </w:tcPr>
          <w:p w14:paraId="13BCF2D5" w14:textId="74F51D70" w:rsidR="003054E0" w:rsidRPr="00456207" w:rsidRDefault="003054E0" w:rsidP="00BD1D65">
            <w:pPr>
              <w:jc w:val="both"/>
            </w:pPr>
            <w:r w:rsidRPr="00456207">
              <w:t>vPET_T</w:t>
            </w:r>
          </w:p>
        </w:tc>
      </w:tr>
      <w:tr w:rsidR="003054E0" w:rsidRPr="00456207" w14:paraId="6B697B7E" w14:textId="231C382B" w:rsidTr="0009202C">
        <w:trPr>
          <w:trHeight w:val="320"/>
        </w:trPr>
        <w:tc>
          <w:tcPr>
            <w:tcW w:w="3681" w:type="dxa"/>
            <w:noWrap/>
            <w:hideMark/>
          </w:tcPr>
          <w:p w14:paraId="24E99619" w14:textId="77777777" w:rsidR="003054E0" w:rsidRPr="00656CD2" w:rsidRDefault="003054E0" w:rsidP="00BD1D65">
            <w:pPr>
              <w:jc w:val="both"/>
            </w:pPr>
            <w:r w:rsidRPr="00656CD2">
              <w:t>Technical textiles - textile furniture</w:t>
            </w:r>
          </w:p>
        </w:tc>
        <w:tc>
          <w:tcPr>
            <w:tcW w:w="1701" w:type="dxa"/>
            <w:noWrap/>
            <w:hideMark/>
          </w:tcPr>
          <w:p w14:paraId="302FF102" w14:textId="77777777" w:rsidR="003054E0" w:rsidRPr="00456207" w:rsidRDefault="003054E0" w:rsidP="00BD1D65">
            <w:pPr>
              <w:jc w:val="both"/>
            </w:pPr>
            <w:r w:rsidRPr="00456207">
              <w:t>PET_T_FUR</w:t>
            </w:r>
          </w:p>
        </w:tc>
        <w:tc>
          <w:tcPr>
            <w:tcW w:w="1644" w:type="dxa"/>
          </w:tcPr>
          <w:p w14:paraId="12034AC9" w14:textId="0EBC15F8" w:rsidR="003054E0" w:rsidRPr="00456207" w:rsidRDefault="003054E0" w:rsidP="00BD1D65">
            <w:pPr>
              <w:jc w:val="both"/>
            </w:pPr>
            <w:r>
              <w:t>vPET (textiles)</w:t>
            </w:r>
          </w:p>
        </w:tc>
        <w:tc>
          <w:tcPr>
            <w:tcW w:w="1644" w:type="dxa"/>
            <w:noWrap/>
            <w:hideMark/>
          </w:tcPr>
          <w:p w14:paraId="3A3DAED9" w14:textId="4D14DA71" w:rsidR="003054E0" w:rsidRPr="00456207" w:rsidRDefault="003054E0" w:rsidP="00BD1D65">
            <w:pPr>
              <w:jc w:val="both"/>
            </w:pPr>
            <w:r w:rsidRPr="00456207">
              <w:t>vPET_T</w:t>
            </w:r>
          </w:p>
        </w:tc>
      </w:tr>
      <w:tr w:rsidR="003054E0" w:rsidRPr="00456207" w14:paraId="24BD3724" w14:textId="77DA900D" w:rsidTr="0009202C">
        <w:trPr>
          <w:trHeight w:val="320"/>
        </w:trPr>
        <w:tc>
          <w:tcPr>
            <w:tcW w:w="3681" w:type="dxa"/>
            <w:noWrap/>
            <w:hideMark/>
          </w:tcPr>
          <w:p w14:paraId="48B3879C" w14:textId="77777777" w:rsidR="003054E0" w:rsidRPr="00656CD2" w:rsidRDefault="003054E0" w:rsidP="00BD1D65">
            <w:pPr>
              <w:jc w:val="both"/>
            </w:pPr>
            <w:r w:rsidRPr="00656CD2">
              <w:t>Technical textiles - other technical textiles</w:t>
            </w:r>
          </w:p>
        </w:tc>
        <w:tc>
          <w:tcPr>
            <w:tcW w:w="1701" w:type="dxa"/>
            <w:noWrap/>
            <w:hideMark/>
          </w:tcPr>
          <w:p w14:paraId="2A6648A9" w14:textId="77777777" w:rsidR="003054E0" w:rsidRPr="00456207" w:rsidRDefault="003054E0" w:rsidP="00BD1D65">
            <w:pPr>
              <w:jc w:val="both"/>
            </w:pPr>
            <w:r w:rsidRPr="00456207">
              <w:t>PET_T_OTH</w:t>
            </w:r>
          </w:p>
        </w:tc>
        <w:tc>
          <w:tcPr>
            <w:tcW w:w="1644" w:type="dxa"/>
          </w:tcPr>
          <w:p w14:paraId="1FF3FC93" w14:textId="60A3823D" w:rsidR="003054E0" w:rsidRPr="00456207" w:rsidRDefault="003054E0" w:rsidP="00BD1D65">
            <w:pPr>
              <w:jc w:val="both"/>
            </w:pPr>
            <w:r>
              <w:t>vPET (textiles)</w:t>
            </w:r>
          </w:p>
        </w:tc>
        <w:tc>
          <w:tcPr>
            <w:tcW w:w="1644" w:type="dxa"/>
            <w:noWrap/>
            <w:hideMark/>
          </w:tcPr>
          <w:p w14:paraId="30FE3ED5" w14:textId="715DCA5C" w:rsidR="003054E0" w:rsidRPr="00456207" w:rsidRDefault="003054E0" w:rsidP="00BD1D65">
            <w:pPr>
              <w:jc w:val="both"/>
            </w:pPr>
            <w:r w:rsidRPr="00456207">
              <w:t>vPET_T</w:t>
            </w:r>
          </w:p>
        </w:tc>
      </w:tr>
    </w:tbl>
    <w:p w14:paraId="1E96B51F" w14:textId="77777777" w:rsidR="008411F0" w:rsidRDefault="008411F0" w:rsidP="00BD1D65">
      <w:pPr>
        <w:pStyle w:val="Caption"/>
        <w:rPr>
          <w:b/>
          <w:bCs/>
        </w:rPr>
      </w:pPr>
    </w:p>
    <w:p w14:paraId="237AA076" w14:textId="34006D46" w:rsidR="00F03AF2" w:rsidRDefault="00370245" w:rsidP="00BD1D65">
      <w:pPr>
        <w:pStyle w:val="Caption"/>
      </w:pPr>
      <w:r>
        <w:rPr>
          <w:b/>
          <w:bCs/>
        </w:rPr>
        <w:t xml:space="preserve">Table 1: </w:t>
      </w:r>
      <w:r>
        <w:t xml:space="preserve">Name and nomenclature of the different end-use and PET waste categories considered in this study </w:t>
      </w:r>
      <w:r>
        <w:fldChar w:fldCharType="begin"/>
      </w:r>
      <w:r w:rsidR="002E57F4">
        <w:instrText xml:space="preserve"> ADDIN ZOTERO_ITEM CSL_CITATION {"citationID":"VrH7DmRD","properties":{"formattedCitation":"[1]","plainCitation":"[1]","noteIndex":0},"citationItems":[{"id":13861,"uris":["http://zotero.org/users/12598273/items/HAU5GTLV"],"itemData":{"id":13861,"type":"article-journal","citation-key":"klotzHighresolutionDatasetPlastic2022","container-title":"Data in Brief","DOI":"10.1016/j.dib.2022.108001","ISSN":"23523409","journalAbbreviation":"Data in Brief","language":"en","page":"108001","source":"DOI.org (Crossref)","title":"A high-resolution dataset on the plastic material flows in Switzerland","volume":"41","author":[{"family":"Klotz","given":"Magdalena"},{"family":"Haupt","given":"Melanie"}],"issued":{"date-parts":[["2022",4]]}}}],"schema":"https://github.com/citation-style-language/schema/raw/master/csl-citation.json"} </w:instrText>
      </w:r>
      <w:r>
        <w:fldChar w:fldCharType="separate"/>
      </w:r>
      <w:r>
        <w:rPr>
          <w:noProof/>
        </w:rPr>
        <w:t>[1]</w:t>
      </w:r>
      <w:r>
        <w:fldChar w:fldCharType="end"/>
      </w:r>
      <w:r w:rsidRPr="00ED60E3">
        <w:t>.</w:t>
      </w:r>
      <w:r>
        <w:t xml:space="preserve"> </w:t>
      </w:r>
      <w:r w:rsidR="008411F0">
        <w:t>V-</w:t>
      </w:r>
      <w:r>
        <w:t>PET is for virgin-PET.</w:t>
      </w:r>
    </w:p>
    <w:p w14:paraId="6ADAC3DD" w14:textId="2AAEA4F2" w:rsidR="0034688F" w:rsidRPr="0034688F" w:rsidRDefault="004008FC" w:rsidP="00BD1D65">
      <w:pPr>
        <w:pStyle w:val="Heading2"/>
        <w:jc w:val="both"/>
        <w:rPr>
          <w:lang w:eastAsia="zh-CN"/>
        </w:rPr>
      </w:pPr>
      <w:bookmarkStart w:id="3" w:name="_Toc234499918"/>
      <w:r>
        <w:rPr>
          <w:lang w:eastAsia="zh-CN"/>
        </w:rPr>
        <w:t>S-M</w:t>
      </w:r>
      <w:r w:rsidR="00303D9F">
        <w:rPr>
          <w:lang w:eastAsia="zh-CN"/>
        </w:rPr>
        <w:t>1.2 PET end-use and waste quantities per sector</w:t>
      </w:r>
      <w:bookmarkEnd w:id="3"/>
    </w:p>
    <w:tbl>
      <w:tblPr>
        <w:tblStyle w:val="TableGridLight"/>
        <w:tblW w:w="8931" w:type="dxa"/>
        <w:tblLook w:val="04A0" w:firstRow="1" w:lastRow="0" w:firstColumn="1" w:lastColumn="0" w:noHBand="0" w:noVBand="1"/>
      </w:tblPr>
      <w:tblGrid>
        <w:gridCol w:w="5184"/>
        <w:gridCol w:w="3747"/>
      </w:tblGrid>
      <w:tr w:rsidR="00F2055C" w14:paraId="55CEE6FF" w14:textId="77777777" w:rsidTr="0009202C">
        <w:trPr>
          <w:trHeight w:val="320"/>
        </w:trPr>
        <w:tc>
          <w:tcPr>
            <w:tcW w:w="5184" w:type="dxa"/>
            <w:noWrap/>
            <w:vAlign w:val="bottom"/>
            <w:hideMark/>
          </w:tcPr>
          <w:p w14:paraId="491C0C56" w14:textId="72DCC9FF" w:rsidR="00F2055C" w:rsidRDefault="00A66D37" w:rsidP="00BD1D65">
            <w:pPr>
              <w:jc w:val="both"/>
            </w:pPr>
            <w:r>
              <w:t>C</w:t>
            </w:r>
            <w:r w:rsidR="00F2055C">
              <w:t>ategory</w:t>
            </w:r>
          </w:p>
        </w:tc>
        <w:tc>
          <w:tcPr>
            <w:tcW w:w="3747" w:type="dxa"/>
            <w:noWrap/>
            <w:vAlign w:val="bottom"/>
            <w:hideMark/>
          </w:tcPr>
          <w:p w14:paraId="54121C27" w14:textId="27E505EC" w:rsidR="00F2055C" w:rsidRDefault="00F2055C" w:rsidP="00BD1D65">
            <w:pPr>
              <w:jc w:val="both"/>
            </w:pPr>
            <w:r>
              <w:t>End use and waste PET [kg/pers/yr]</w:t>
            </w:r>
          </w:p>
        </w:tc>
      </w:tr>
      <w:tr w:rsidR="00F2055C" w14:paraId="4014BA0C" w14:textId="77777777" w:rsidTr="0009202C">
        <w:trPr>
          <w:trHeight w:val="320"/>
        </w:trPr>
        <w:tc>
          <w:tcPr>
            <w:tcW w:w="5184" w:type="dxa"/>
            <w:noWrap/>
            <w:vAlign w:val="bottom"/>
            <w:hideMark/>
          </w:tcPr>
          <w:p w14:paraId="7D80B4E0" w14:textId="0270E2AA" w:rsidR="00F2055C" w:rsidRDefault="00F2055C" w:rsidP="00BD1D65">
            <w:pPr>
              <w:jc w:val="both"/>
            </w:pPr>
            <w:r>
              <w:t xml:space="preserve">Food bottles </w:t>
            </w:r>
          </w:p>
        </w:tc>
        <w:tc>
          <w:tcPr>
            <w:tcW w:w="3747" w:type="dxa"/>
            <w:noWrap/>
            <w:vAlign w:val="bottom"/>
            <w:hideMark/>
          </w:tcPr>
          <w:p w14:paraId="4DA7F953" w14:textId="351508FB" w:rsidR="00F2055C" w:rsidRDefault="00F2055C" w:rsidP="00BD1D65">
            <w:pPr>
              <w:jc w:val="both"/>
            </w:pPr>
            <w:r>
              <w:t>4.02</w:t>
            </w:r>
          </w:p>
        </w:tc>
      </w:tr>
      <w:tr w:rsidR="00F2055C" w14:paraId="4578B941" w14:textId="77777777" w:rsidTr="0009202C">
        <w:trPr>
          <w:trHeight w:val="320"/>
        </w:trPr>
        <w:tc>
          <w:tcPr>
            <w:tcW w:w="5184" w:type="dxa"/>
            <w:noWrap/>
            <w:vAlign w:val="bottom"/>
            <w:hideMark/>
          </w:tcPr>
          <w:p w14:paraId="7632307A" w14:textId="69873108" w:rsidR="00F2055C" w:rsidRDefault="00F2055C" w:rsidP="00BD1D65">
            <w:pPr>
              <w:jc w:val="both"/>
            </w:pPr>
            <w:r>
              <w:t xml:space="preserve">Food PTTs </w:t>
            </w:r>
          </w:p>
        </w:tc>
        <w:tc>
          <w:tcPr>
            <w:tcW w:w="3747" w:type="dxa"/>
            <w:noWrap/>
            <w:vAlign w:val="bottom"/>
            <w:hideMark/>
          </w:tcPr>
          <w:p w14:paraId="7E7ABB84" w14:textId="464DBB9E" w:rsidR="00F2055C" w:rsidRDefault="00F2055C" w:rsidP="00BD1D65">
            <w:pPr>
              <w:jc w:val="both"/>
            </w:pPr>
            <w:r>
              <w:t>1.25</w:t>
            </w:r>
          </w:p>
        </w:tc>
      </w:tr>
      <w:tr w:rsidR="00F2055C" w14:paraId="21373EF4" w14:textId="77777777" w:rsidTr="0009202C">
        <w:trPr>
          <w:trHeight w:val="320"/>
        </w:trPr>
        <w:tc>
          <w:tcPr>
            <w:tcW w:w="5184" w:type="dxa"/>
            <w:noWrap/>
            <w:vAlign w:val="bottom"/>
            <w:hideMark/>
          </w:tcPr>
          <w:p w14:paraId="4367C7A8" w14:textId="0EC653BD" w:rsidR="00F2055C" w:rsidRDefault="00F2055C" w:rsidP="00BD1D65">
            <w:pPr>
              <w:jc w:val="both"/>
            </w:pPr>
            <w:r>
              <w:t xml:space="preserve">Consumer non-food bottles </w:t>
            </w:r>
          </w:p>
        </w:tc>
        <w:tc>
          <w:tcPr>
            <w:tcW w:w="3747" w:type="dxa"/>
            <w:noWrap/>
            <w:vAlign w:val="bottom"/>
            <w:hideMark/>
          </w:tcPr>
          <w:p w14:paraId="7F635816" w14:textId="6A013473" w:rsidR="00F2055C" w:rsidRDefault="00F2055C" w:rsidP="00BD1D65">
            <w:pPr>
              <w:jc w:val="both"/>
            </w:pPr>
            <w:r>
              <w:t>2.47</w:t>
            </w:r>
          </w:p>
        </w:tc>
      </w:tr>
      <w:tr w:rsidR="00F2055C" w14:paraId="3E271C46" w14:textId="77777777" w:rsidTr="0009202C">
        <w:trPr>
          <w:trHeight w:val="320"/>
        </w:trPr>
        <w:tc>
          <w:tcPr>
            <w:tcW w:w="5184" w:type="dxa"/>
            <w:noWrap/>
            <w:vAlign w:val="bottom"/>
            <w:hideMark/>
          </w:tcPr>
          <w:p w14:paraId="5F76CCF6" w14:textId="5D61DF74" w:rsidR="00F2055C" w:rsidRDefault="00F2055C" w:rsidP="00BD1D65">
            <w:pPr>
              <w:jc w:val="both"/>
            </w:pPr>
            <w:r>
              <w:t xml:space="preserve">Consumer non-food PTTs </w:t>
            </w:r>
          </w:p>
        </w:tc>
        <w:tc>
          <w:tcPr>
            <w:tcW w:w="3747" w:type="dxa"/>
            <w:noWrap/>
            <w:vAlign w:val="bottom"/>
            <w:hideMark/>
          </w:tcPr>
          <w:p w14:paraId="6BA1EDA7" w14:textId="323BFB94" w:rsidR="00F2055C" w:rsidRDefault="00F2055C" w:rsidP="00BD1D65">
            <w:pPr>
              <w:jc w:val="both"/>
            </w:pPr>
            <w:r>
              <w:t>0.95</w:t>
            </w:r>
          </w:p>
        </w:tc>
      </w:tr>
      <w:tr w:rsidR="00F2055C" w14:paraId="269B731E" w14:textId="77777777" w:rsidTr="0009202C">
        <w:trPr>
          <w:trHeight w:val="320"/>
        </w:trPr>
        <w:tc>
          <w:tcPr>
            <w:tcW w:w="5184" w:type="dxa"/>
            <w:noWrap/>
            <w:vAlign w:val="bottom"/>
            <w:hideMark/>
          </w:tcPr>
          <w:p w14:paraId="7D7485F6" w14:textId="3C713097" w:rsidR="00F2055C" w:rsidRDefault="00F2055C" w:rsidP="00BD1D65">
            <w:pPr>
              <w:jc w:val="both"/>
            </w:pPr>
            <w:r>
              <w:t xml:space="preserve">Non-consumer packaging C&amp;I - hospitality - bottles </w:t>
            </w:r>
          </w:p>
        </w:tc>
        <w:tc>
          <w:tcPr>
            <w:tcW w:w="3747" w:type="dxa"/>
            <w:noWrap/>
            <w:vAlign w:val="bottom"/>
            <w:hideMark/>
          </w:tcPr>
          <w:p w14:paraId="7A443B14" w14:textId="41D58D12" w:rsidR="00F2055C" w:rsidRDefault="00F2055C" w:rsidP="00BD1D65">
            <w:pPr>
              <w:jc w:val="both"/>
            </w:pPr>
            <w:r>
              <w:t>2.17</w:t>
            </w:r>
          </w:p>
        </w:tc>
      </w:tr>
      <w:tr w:rsidR="00F2055C" w14:paraId="6D2DFA67" w14:textId="77777777" w:rsidTr="0009202C">
        <w:trPr>
          <w:trHeight w:val="320"/>
        </w:trPr>
        <w:tc>
          <w:tcPr>
            <w:tcW w:w="5184" w:type="dxa"/>
            <w:noWrap/>
            <w:vAlign w:val="bottom"/>
            <w:hideMark/>
          </w:tcPr>
          <w:p w14:paraId="349BFB53" w14:textId="4A11BA23" w:rsidR="00F2055C" w:rsidRDefault="00F2055C" w:rsidP="00BD1D65">
            <w:pPr>
              <w:jc w:val="both"/>
            </w:pPr>
            <w:r>
              <w:t>Apparel</w:t>
            </w:r>
          </w:p>
        </w:tc>
        <w:tc>
          <w:tcPr>
            <w:tcW w:w="3747" w:type="dxa"/>
            <w:noWrap/>
            <w:vAlign w:val="bottom"/>
            <w:hideMark/>
          </w:tcPr>
          <w:p w14:paraId="5F05662F" w14:textId="23626831" w:rsidR="00F2055C" w:rsidRDefault="00F2055C" w:rsidP="00BD1D65">
            <w:pPr>
              <w:jc w:val="both"/>
            </w:pPr>
            <w:r>
              <w:t>2.12</w:t>
            </w:r>
          </w:p>
        </w:tc>
      </w:tr>
      <w:tr w:rsidR="00F2055C" w14:paraId="56871E72" w14:textId="77777777" w:rsidTr="0009202C">
        <w:trPr>
          <w:trHeight w:val="320"/>
        </w:trPr>
        <w:tc>
          <w:tcPr>
            <w:tcW w:w="5184" w:type="dxa"/>
            <w:noWrap/>
            <w:vAlign w:val="bottom"/>
            <w:hideMark/>
          </w:tcPr>
          <w:p w14:paraId="17EC3FC0" w14:textId="76402C18" w:rsidR="00F2055C" w:rsidRDefault="00F2055C" w:rsidP="00BD1D65">
            <w:pPr>
              <w:jc w:val="both"/>
            </w:pPr>
            <w:r>
              <w:t>Household textiles</w:t>
            </w:r>
          </w:p>
        </w:tc>
        <w:tc>
          <w:tcPr>
            <w:tcW w:w="3747" w:type="dxa"/>
            <w:noWrap/>
            <w:vAlign w:val="bottom"/>
            <w:hideMark/>
          </w:tcPr>
          <w:p w14:paraId="5D5665AA" w14:textId="7291FFE5" w:rsidR="00F2055C" w:rsidRDefault="00F2055C" w:rsidP="00BD1D65">
            <w:pPr>
              <w:jc w:val="both"/>
            </w:pPr>
            <w:r>
              <w:t>0.85</w:t>
            </w:r>
          </w:p>
        </w:tc>
      </w:tr>
      <w:tr w:rsidR="00F2055C" w14:paraId="6A5AF08A" w14:textId="77777777" w:rsidTr="0009202C">
        <w:trPr>
          <w:trHeight w:val="320"/>
        </w:trPr>
        <w:tc>
          <w:tcPr>
            <w:tcW w:w="5184" w:type="dxa"/>
            <w:noWrap/>
            <w:vAlign w:val="bottom"/>
            <w:hideMark/>
          </w:tcPr>
          <w:p w14:paraId="18A7E6A4" w14:textId="7D3CDAA2" w:rsidR="00F2055C" w:rsidRDefault="00F2055C" w:rsidP="00BD1D65">
            <w:pPr>
              <w:jc w:val="both"/>
            </w:pPr>
            <w:r>
              <w:t>Technical textiles - textile flooring</w:t>
            </w:r>
          </w:p>
        </w:tc>
        <w:tc>
          <w:tcPr>
            <w:tcW w:w="3747" w:type="dxa"/>
            <w:noWrap/>
            <w:vAlign w:val="bottom"/>
            <w:hideMark/>
          </w:tcPr>
          <w:p w14:paraId="7C47D247" w14:textId="64BAE3D6" w:rsidR="00F2055C" w:rsidRDefault="00F2055C" w:rsidP="00BD1D65">
            <w:pPr>
              <w:jc w:val="both"/>
            </w:pPr>
            <w:r>
              <w:t>0.69</w:t>
            </w:r>
          </w:p>
        </w:tc>
      </w:tr>
      <w:tr w:rsidR="00F2055C" w14:paraId="6F792A5D" w14:textId="77777777" w:rsidTr="0009202C">
        <w:trPr>
          <w:trHeight w:val="320"/>
        </w:trPr>
        <w:tc>
          <w:tcPr>
            <w:tcW w:w="5184" w:type="dxa"/>
            <w:noWrap/>
            <w:vAlign w:val="bottom"/>
            <w:hideMark/>
          </w:tcPr>
          <w:p w14:paraId="3DCADCFD" w14:textId="182D204E" w:rsidR="00F2055C" w:rsidRDefault="00F2055C" w:rsidP="00BD1D65">
            <w:pPr>
              <w:jc w:val="both"/>
            </w:pPr>
            <w:r>
              <w:t>Technical textiles - textile furniture</w:t>
            </w:r>
          </w:p>
        </w:tc>
        <w:tc>
          <w:tcPr>
            <w:tcW w:w="3747" w:type="dxa"/>
            <w:noWrap/>
            <w:vAlign w:val="bottom"/>
            <w:hideMark/>
          </w:tcPr>
          <w:p w14:paraId="2A8C9D3E" w14:textId="3F3243F1" w:rsidR="00F2055C" w:rsidRDefault="00F2055C" w:rsidP="00BD1D65">
            <w:pPr>
              <w:jc w:val="both"/>
            </w:pPr>
            <w:r>
              <w:t>0.52</w:t>
            </w:r>
          </w:p>
        </w:tc>
      </w:tr>
      <w:tr w:rsidR="00F2055C" w14:paraId="6AB63E4E" w14:textId="77777777" w:rsidTr="0009202C">
        <w:trPr>
          <w:trHeight w:val="320"/>
        </w:trPr>
        <w:tc>
          <w:tcPr>
            <w:tcW w:w="5184" w:type="dxa"/>
            <w:noWrap/>
            <w:vAlign w:val="bottom"/>
            <w:hideMark/>
          </w:tcPr>
          <w:p w14:paraId="165B1FA2" w14:textId="74584835" w:rsidR="00F2055C" w:rsidRDefault="00F2055C" w:rsidP="00BD1D65">
            <w:pPr>
              <w:jc w:val="both"/>
            </w:pPr>
            <w:r>
              <w:t>Technical textiles - other technical textiles</w:t>
            </w:r>
          </w:p>
        </w:tc>
        <w:tc>
          <w:tcPr>
            <w:tcW w:w="3747" w:type="dxa"/>
            <w:noWrap/>
            <w:vAlign w:val="bottom"/>
            <w:hideMark/>
          </w:tcPr>
          <w:p w14:paraId="40D94844" w14:textId="4C5A2ADA" w:rsidR="00F2055C" w:rsidRDefault="00F2055C" w:rsidP="00BD1D65">
            <w:pPr>
              <w:jc w:val="both"/>
            </w:pPr>
            <w:r>
              <w:t>1.64</w:t>
            </w:r>
          </w:p>
        </w:tc>
      </w:tr>
    </w:tbl>
    <w:p w14:paraId="7EFD9BEA" w14:textId="77777777" w:rsidR="0034688F" w:rsidRDefault="0034688F" w:rsidP="00BD1D65">
      <w:pPr>
        <w:pStyle w:val="Caption"/>
        <w:rPr>
          <w:b/>
          <w:bCs/>
        </w:rPr>
      </w:pPr>
    </w:p>
    <w:p w14:paraId="59DA5F4C" w14:textId="3A209DA3" w:rsidR="00584FDD" w:rsidRPr="00E41DC9" w:rsidRDefault="0034688F" w:rsidP="00BD1D65">
      <w:pPr>
        <w:pStyle w:val="Caption"/>
      </w:pPr>
      <w:r>
        <w:rPr>
          <w:b/>
          <w:bCs/>
        </w:rPr>
        <w:t xml:space="preserve">Table 2: </w:t>
      </w:r>
      <w:r>
        <w:t>Quantities of PET used and PET waste per sector, expressed in kg/</w:t>
      </w:r>
      <w:proofErr w:type="spellStart"/>
      <w:r>
        <w:t>pers</w:t>
      </w:r>
      <w:proofErr w:type="spellEnd"/>
      <w:r>
        <w:t>/yr, in Switzerland, in 2026</w:t>
      </w:r>
      <w:r w:rsidR="008E769C">
        <w:t xml:space="preserve"> (d</w:t>
      </w:r>
      <w:r w:rsidR="008E769C" w:rsidRPr="005A76F2">
        <w:t xml:space="preserve">ue to the relatively short lifetime of most PET products </w:t>
      </w:r>
      <w:r w:rsidR="008E769C">
        <w:t xml:space="preserve">- </w:t>
      </w:r>
      <w:r w:rsidR="008E769C" w:rsidRPr="005A76F2">
        <w:t xml:space="preserve">ranging from a few weeks to a few months </w:t>
      </w:r>
      <w:r w:rsidR="008E769C" w:rsidRPr="005A76F2">
        <w:fldChar w:fldCharType="begin"/>
      </w:r>
      <w:r w:rsidR="002E57F4">
        <w:instrText xml:space="preserve"> ADDIN ZOTERO_ITEM CSL_CITATION {"citationID":"tqQU427E","properties":{"formattedCitation":"[2]","plainCitation":"[2]","noteIndex":0},"citationItems":[{"id":13857,"uris":["http://zotero.org/users/12598273/items/EV68489A"],"itemData":{"id":13857,"type":"book","abstract":"In this report, a Material Flow Analysis (MFA) model was developed for the 2022 EU-27 plastic value chain. The MFA boundaries included all the key steps of the value chain from production to end-oflife and recycling, covering 9 sectors and 15 polymers. Specific plastic flows typically less explored in literature were studied, including plastic imports and exports along the value chain, plastic losses into the environment as well as plastic waste mismanagement. Notably, the granular data collected enabled the modelling of bio-based plastic and biodegradable plastics flows, together with the exploration of plastic chemical recycling processes. The variety of collected data at the level of polymers and sectors were combined to generate product-specific results, thoroughly discussing the associated modelling challenges. Further, the interactions with stakeholders, improved and deepened the knowledge of the various interlinkages of the EU plastic value chain and enabled a finer modelling of polymers-specific and sectors-specific flows. Additionally, the MFA was combined with a Life Cycle Assessment (LCA), unveiling the value chain impacts across 16 impact categories, including but not limited to Climate Change. On top, a flexible and replicable methodology combining sectors-specific and polymers-specific estimates to obtain products-specific results was discussed. Such approach could also potentially be applied to other product-specific MFAs even beyond plastics. The LCA followed the Environmental Footprint 3.1 method recommended by the European Commission. Results underlined that the EU-27 plastic production amounted to 57.9 Mt in 2022, with only 1.1% of the total needs being covered by bio-based plastics. The results highlighted the dominance of the Packaging sector, being 33.9% of total plastic consumption. Despite 36.6 Mt of waste being properly collected (86% of waste generated), significant quantities of plastics were either lost or mismanaged along the value chain, accounting to 6.6 Mt (11.4% of the total EU production). The average EU-27 end-of-life recycling rate was 19.6%, mostly due to mechanical recycling activities (and a negligible contribution of chemical recycling). The LCA study revealed that more than 252 MtCO2 eq. were emitted along the life cycle of the 2022 EU plastic value chain1, considering all flows connected to plastic consumption in the EU. The Packaging sector contributed to around 29% of the total impacts, with a striking importance attributable to the production and manufacturing stages (representing 79% of Climate Change impacts). This study represents a key milestone in improving granularity and details of complete overviews of plastic flows in the EU and the findings emphasizes the need for improved data generation, collection, harmonization, and the establishment of proper monitoring frameworks to assess the implementation of EU recycling targets and boost the circularity of the plastic value chain. The developed methodology offers a flexible tool potentially applicable to other value chains, even beyond plastics. This report provides insights for decision-makers, researchers, and other stakeholders to show areas for potential improvement and support the shift towards sustainable plastics.","citation-key":"amadeia.venturellis.andmanfredis.PlasticsMaterialsFlows2025","language":"en","publisher":"Publications Office of the European Union","publisher-place":"LU","source":"DOI.org (CSL JSON)","title":"Plastics materials flows in the EU-27 and their environmental impacts: unveiling the European plastic value chain.","title-short":"Plastics materials flows in the EU-27 and their environmental impacts","URL":"https://data.europa.eu/doi/10.2760/6579757","author":[{"literal":"Amadei, A., Venturelli, S. and Manfredi, S."}],"accessed":{"date-parts":[["2026",1,14]]},"issued":{"date-parts":[["2025"]]}}}],"schema":"https://github.com/citation-style-language/schema/raw/master/csl-citation.json"} </w:instrText>
      </w:r>
      <w:r w:rsidR="008E769C" w:rsidRPr="005A76F2">
        <w:fldChar w:fldCharType="separate"/>
      </w:r>
      <w:r w:rsidR="002E57F4">
        <w:rPr>
          <w:noProof/>
        </w:rPr>
        <w:t>[2]</w:t>
      </w:r>
      <w:r w:rsidR="008E769C" w:rsidRPr="005A76F2">
        <w:fldChar w:fldCharType="end"/>
      </w:r>
      <w:r w:rsidR="008E769C" w:rsidRPr="005A76F2">
        <w:t xml:space="preserve">, </w:t>
      </w:r>
      <w:r w:rsidR="008E769C" w:rsidRPr="005A76F2">
        <w:fldChar w:fldCharType="begin"/>
      </w:r>
      <w:r w:rsidR="002E57F4">
        <w:instrText xml:space="preserve"> ADDIN ZOTERO_ITEM CSL_CITATION {"citationID":"xwNlmTu3","properties":{"formattedCitation":"[3]","plainCitation":"[3]","noteIndex":0},"citationItems":[{"id":13859,"uris":["http://zotero.org/users/12598273/items/JBARSW2A"],"itemData":{"id":13859,"type":"article-journal","abstract":"We present the first ever global account of the production, use, and end-of-life fate of all plastics ever made by humankind.\n          , \n            Plastics have outgrown most man-made materials and have long been under environmental scrutiny. However, robust global information, particularly about their end-of-life fate, is lacking. By identifying and synthesizing dispersed data on production, use, and end-of-life management of polymer resins, synthetic fibers, and additives, we present the first global analysis of all mass-produced plastics ever manufactured. We estimate that 8300 million metric tons (Mt) as of virgin plastics have been produced to date. As of 2015, approximately 6300 Mt of plastic waste had been generated, around 9% of which had been recycled, 12% was incinerated, and 79% was accumulated in landfills or the natural environment. If current production and waste management trends continue, roughly 12,000 Mt of plastic waste will be in landfills or in the natural environment by 2050.","citation-key":"geyerProductionUseFate2017a","container-title":"Science Advances","DOI":"10.1126/sciadv.1700782","ISSN":"2375-2548","issue":"7","journalAbbreviation":"Sci. Adv.","language":"en","page":"e1700782","source":"DOI.org (Crossref)","title":"Production, use, and fate of all plastics ever made","volume":"3","author":[{"family":"Geyer","given":"Roland"},{"family":"Jambeck","given":"Jenna R."},{"family":"Law","given":"Kara Lavender"}],"issued":{"date-parts":[["2017",7,7]]}}}],"schema":"https://github.com/citation-style-language/schema/raw/master/csl-citation.json"} </w:instrText>
      </w:r>
      <w:r w:rsidR="008E769C" w:rsidRPr="005A76F2">
        <w:fldChar w:fldCharType="separate"/>
      </w:r>
      <w:r w:rsidR="002E57F4">
        <w:rPr>
          <w:noProof/>
        </w:rPr>
        <w:t>[3]</w:t>
      </w:r>
      <w:r w:rsidR="008E769C" w:rsidRPr="005A76F2">
        <w:fldChar w:fldCharType="end"/>
      </w:r>
      <w:r w:rsidR="008E769C" w:rsidRPr="005A76F2">
        <w:t xml:space="preserve">, </w:t>
      </w:r>
      <w:r w:rsidR="008E769C" w:rsidRPr="005A76F2">
        <w:fldChar w:fldCharType="begin"/>
      </w:r>
      <w:r w:rsidR="002E57F4">
        <w:instrText xml:space="preserve"> ADDIN ZOTERO_ITEM CSL_CITATION {"citationID":"2t9S5HHh","properties":{"formattedCitation":"[1]","plainCitation":"[1]","noteIndex":0},"citationItems":[{"id":13861,"uris":["http://zotero.org/users/12598273/items/HAU5GTLV"],"itemData":{"id":13861,"type":"article-journal","citation-key":"klotzHighresolutionDatasetPlastic2022","container-title":"Data in Brief","DOI":"10.1016/j.dib.2022.108001","ISSN":"23523409","journalAbbreviation":"Data in Brief","language":"en","page":"108001","source":"DOI.org (Crossref)","title":"A high-resolution dataset on the plastic material flows in Switzerland","volume":"41","author":[{"family":"Klotz","given":"Magdalena"},{"family":"Haupt","given":"Melanie"}],"issued":{"date-parts":[["2022",4]]}}}],"schema":"https://github.com/citation-style-language/schema/raw/master/csl-citation.json"} </w:instrText>
      </w:r>
      <w:r w:rsidR="008E769C" w:rsidRPr="005A76F2">
        <w:fldChar w:fldCharType="separate"/>
      </w:r>
      <w:r w:rsidR="002E57F4">
        <w:rPr>
          <w:noProof/>
        </w:rPr>
        <w:t>[1]</w:t>
      </w:r>
      <w:r w:rsidR="008E769C" w:rsidRPr="005A76F2">
        <w:fldChar w:fldCharType="end"/>
      </w:r>
      <w:r w:rsidR="008E769C" w:rsidRPr="005A76F2">
        <w:t xml:space="preserve">, stock accumulation is considered negligible and therefore not included in the MFA </w:t>
      </w:r>
      <w:r w:rsidR="008E769C" w:rsidRPr="005A76F2">
        <w:fldChar w:fldCharType="begin"/>
      </w:r>
      <w:r w:rsidR="002E57F4">
        <w:instrText xml:space="preserve"> ADDIN ZOTERO_ITEM CSL_CITATION {"citationID":"qpgKDxpV","properties":{"formattedCitation":"[4]","plainCitation":"[4]","noteIndex":0},"citationItems":[{"id":13963,"uris":["http://zotero.org/users/12598273/items/FPWNARC8"],"itemData":{"id":13963,"type":"book","abstract":"chapter 1 Introduction -- chapter 2 Methodology of MFA -- chapter 3 Case Studies -- chapter 4 Outlook: Where to Go?","citation-key":"brunnerPracticalHandbookMaterial2004","collection-number":"1","collection-title":"Advanced methods in resource and waste management","DOI":"10.1201/9780203507209","ISBN":"978-1-56670-604-9","language":"en","number-of-pages":"1","publisher":"CRC/Lewis","publisher-place":"Boca Raton, FL","source":"K10plus ISBN","title":"Practical handbook of material flow analysis","author":[{"family":"Brunner","given":"Paul H."}],"contributor":[{"family":"Rechberger","given":"Helmut"}],"issued":{"date-parts":[["2004"]]}}}],"schema":"https://github.com/citation-style-language/schema/raw/master/csl-citation.json"} </w:instrText>
      </w:r>
      <w:r w:rsidR="008E769C" w:rsidRPr="005A76F2">
        <w:fldChar w:fldCharType="separate"/>
      </w:r>
      <w:r w:rsidR="002E57F4">
        <w:rPr>
          <w:noProof/>
        </w:rPr>
        <w:t>[4]</w:t>
      </w:r>
      <w:r w:rsidR="008E769C" w:rsidRPr="005A76F2">
        <w:fldChar w:fldCharType="end"/>
      </w:r>
      <w:r w:rsidR="008E769C" w:rsidRPr="005A76F2">
        <w:t xml:space="preserve">, </w:t>
      </w:r>
      <w:r w:rsidR="008E769C" w:rsidRPr="005A76F2">
        <w:rPr>
          <w:lang w:eastAsia="pt-BR"/>
        </w:rPr>
        <w:fldChar w:fldCharType="begin"/>
      </w:r>
      <w:r w:rsidR="002E57F4">
        <w:rPr>
          <w:lang w:eastAsia="pt-BR"/>
        </w:rPr>
        <w:instrText xml:space="preserve"> ADDIN ZOTERO_ITEM CSL_CITATION {"citationID":"udQb4wvX","properties":{"formattedCitation":"[5]","plainCitation":"[5]","noteIndex":0},"citationItems":[{"id":13771,"uris":["http://zotero.org/groups/5859689/items/B3CLNCK3"],"itemData":{"id":13771,"type":"article-journal","citation-key":"klotzHighresolutionDatasetPlastic2022","container-title":"Data in Brief","DOI":"10.1016/j.dib.2022.108001","ISSN":"2352-3409","language":"en","license":"https://www.elsevier.com/tdm/userlicense/1.0/","page":"108001","publisher":"Elsevier BV","source":"Crossref","title":"A high-resolution dataset on the plastic material flows in Switzerland","volume":"41","author":[{"family":"Klotz","given":"Magdalena"},{"family":"Haupt","given":"Melanie"}],"issued":{"date-parts":[["2022",4]]}}}],"schema":"https://github.com/citation-style-language/schema/raw/master/csl-citation.json"} </w:instrText>
      </w:r>
      <w:r w:rsidR="008E769C" w:rsidRPr="005A76F2">
        <w:rPr>
          <w:lang w:eastAsia="pt-BR"/>
        </w:rPr>
        <w:fldChar w:fldCharType="separate"/>
      </w:r>
      <w:r w:rsidR="002E57F4">
        <w:rPr>
          <w:noProof/>
          <w:lang w:eastAsia="pt-BR"/>
        </w:rPr>
        <w:t>[5]</w:t>
      </w:r>
      <w:r w:rsidR="008E769C" w:rsidRPr="005A76F2">
        <w:rPr>
          <w:lang w:eastAsia="pt-BR"/>
        </w:rPr>
        <w:fldChar w:fldCharType="end"/>
      </w:r>
      <w:r w:rsidR="008E769C">
        <w:t>)</w:t>
      </w:r>
    </w:p>
    <w:p w14:paraId="31AE8C28" w14:textId="345C2AA2" w:rsidR="00584FDD" w:rsidRDefault="004008FC" w:rsidP="00BD1D65">
      <w:pPr>
        <w:pStyle w:val="Heading2"/>
        <w:jc w:val="both"/>
      </w:pPr>
      <w:bookmarkStart w:id="4" w:name="_Toc234499919"/>
      <w:r>
        <w:lastRenderedPageBreak/>
        <w:t>S-M</w:t>
      </w:r>
      <w:r w:rsidR="00584FDD">
        <w:t>1.</w:t>
      </w:r>
      <w:r w:rsidR="00E41DC9">
        <w:t>3</w:t>
      </w:r>
      <w:r w:rsidR="00584FDD">
        <w:t xml:space="preserve"> Downcycling specificities</w:t>
      </w:r>
      <w:bookmarkEnd w:id="4"/>
    </w:p>
    <w:p w14:paraId="217FEE5C" w14:textId="77777777" w:rsidR="00C277F1" w:rsidRPr="00E50B95" w:rsidRDefault="00C277F1" w:rsidP="00BD1D65">
      <w:pPr>
        <w:jc w:val="both"/>
        <w:rPr>
          <w:lang w:val="en-GB"/>
        </w:rPr>
      </w:pPr>
    </w:p>
    <w:tbl>
      <w:tblPr>
        <w:tblStyle w:val="TableGridLight"/>
        <w:tblW w:w="6669" w:type="dxa"/>
        <w:tblLook w:val="04A0" w:firstRow="1" w:lastRow="0" w:firstColumn="1" w:lastColumn="0" w:noHBand="0" w:noVBand="1"/>
      </w:tblPr>
      <w:tblGrid>
        <w:gridCol w:w="2847"/>
        <w:gridCol w:w="2483"/>
        <w:gridCol w:w="1624"/>
      </w:tblGrid>
      <w:tr w:rsidR="00AA6A6E" w:rsidRPr="00AA6A6E" w14:paraId="5AD35721" w14:textId="77777777" w:rsidTr="0009202C">
        <w:trPr>
          <w:trHeight w:val="320"/>
        </w:trPr>
        <w:tc>
          <w:tcPr>
            <w:tcW w:w="2847" w:type="dxa"/>
            <w:noWrap/>
            <w:hideMark/>
          </w:tcPr>
          <w:p w14:paraId="68930978" w14:textId="1A36A030" w:rsidR="00AA6A6E" w:rsidRPr="00AA6A6E" w:rsidRDefault="00AA6A6E" w:rsidP="00BD1D65">
            <w:pPr>
              <w:jc w:val="both"/>
            </w:pPr>
            <w:r w:rsidRPr="00AA6A6E">
              <w:t>Waste PET in</w:t>
            </w:r>
            <w:r w:rsidR="00DB7E13">
              <w:t xml:space="preserve"> </w:t>
            </w:r>
            <w:r w:rsidRPr="00AA6A6E">
              <w:t>[Category]</w:t>
            </w:r>
          </w:p>
        </w:tc>
        <w:tc>
          <w:tcPr>
            <w:tcW w:w="2198" w:type="dxa"/>
            <w:noWrap/>
            <w:hideMark/>
          </w:tcPr>
          <w:p w14:paraId="6BDF3315" w14:textId="77777777" w:rsidR="00AA6A6E" w:rsidRPr="00AA6A6E" w:rsidRDefault="00AA6A6E" w:rsidP="00BD1D65">
            <w:pPr>
              <w:jc w:val="both"/>
            </w:pPr>
            <w:r w:rsidRPr="00AA6A6E">
              <w:t>rPET out [Category]</w:t>
            </w:r>
          </w:p>
        </w:tc>
        <w:tc>
          <w:tcPr>
            <w:tcW w:w="1624" w:type="dxa"/>
            <w:noWrap/>
            <w:hideMark/>
          </w:tcPr>
          <w:p w14:paraId="6CB79B72" w14:textId="77777777" w:rsidR="00AA6A6E" w:rsidRPr="00AA6A6E" w:rsidRDefault="00AA6A6E" w:rsidP="00BD1D65">
            <w:pPr>
              <w:jc w:val="both"/>
            </w:pPr>
            <w:r w:rsidRPr="00AA6A6E">
              <w:t>Cascade [%]</w:t>
            </w:r>
          </w:p>
        </w:tc>
      </w:tr>
      <w:tr w:rsidR="00AA6A6E" w:rsidRPr="00AA6A6E" w14:paraId="6159E779" w14:textId="77777777" w:rsidTr="0009202C">
        <w:trPr>
          <w:trHeight w:val="320"/>
        </w:trPr>
        <w:tc>
          <w:tcPr>
            <w:tcW w:w="2847" w:type="dxa"/>
            <w:noWrap/>
            <w:hideMark/>
          </w:tcPr>
          <w:p w14:paraId="78C26A6C" w14:textId="77777777" w:rsidR="00AA6A6E" w:rsidRPr="00AA6A6E" w:rsidRDefault="00AA6A6E" w:rsidP="00BD1D65">
            <w:pPr>
              <w:jc w:val="both"/>
            </w:pPr>
            <w:r w:rsidRPr="00AA6A6E">
              <w:t>PET_FB</w:t>
            </w:r>
          </w:p>
        </w:tc>
        <w:tc>
          <w:tcPr>
            <w:tcW w:w="2198" w:type="dxa"/>
            <w:noWrap/>
            <w:hideMark/>
          </w:tcPr>
          <w:p w14:paraId="55799E7B" w14:textId="77777777" w:rsidR="00AA6A6E" w:rsidRPr="00AA6A6E" w:rsidRDefault="00AA6A6E" w:rsidP="00BD1D65">
            <w:pPr>
              <w:jc w:val="both"/>
            </w:pPr>
            <w:r w:rsidRPr="00AA6A6E">
              <w:t>PET_FB</w:t>
            </w:r>
          </w:p>
        </w:tc>
        <w:tc>
          <w:tcPr>
            <w:tcW w:w="1624" w:type="dxa"/>
            <w:noWrap/>
            <w:hideMark/>
          </w:tcPr>
          <w:p w14:paraId="35C1A814" w14:textId="77777777" w:rsidR="00AA6A6E" w:rsidRPr="00AA6A6E" w:rsidRDefault="00AA6A6E" w:rsidP="00BD1D65">
            <w:pPr>
              <w:jc w:val="both"/>
            </w:pPr>
            <w:r w:rsidRPr="00AA6A6E">
              <w:t>72%</w:t>
            </w:r>
          </w:p>
        </w:tc>
      </w:tr>
      <w:tr w:rsidR="00AA6A6E" w:rsidRPr="00AA6A6E" w14:paraId="308E751B" w14:textId="77777777" w:rsidTr="0009202C">
        <w:trPr>
          <w:trHeight w:val="320"/>
        </w:trPr>
        <w:tc>
          <w:tcPr>
            <w:tcW w:w="2847" w:type="dxa"/>
            <w:noWrap/>
            <w:hideMark/>
          </w:tcPr>
          <w:p w14:paraId="5111EF7D" w14:textId="77777777" w:rsidR="00AA6A6E" w:rsidRPr="00AA6A6E" w:rsidRDefault="00AA6A6E" w:rsidP="00BD1D65">
            <w:pPr>
              <w:jc w:val="both"/>
            </w:pPr>
          </w:p>
        </w:tc>
        <w:tc>
          <w:tcPr>
            <w:tcW w:w="2198" w:type="dxa"/>
            <w:noWrap/>
            <w:hideMark/>
          </w:tcPr>
          <w:p w14:paraId="381D62C8" w14:textId="77777777" w:rsidR="00AA6A6E" w:rsidRPr="00AA6A6E" w:rsidRDefault="00AA6A6E" w:rsidP="00BD1D65">
            <w:pPr>
              <w:jc w:val="both"/>
            </w:pPr>
            <w:r w:rsidRPr="00AA6A6E">
              <w:t>PET_PTTS</w:t>
            </w:r>
          </w:p>
        </w:tc>
        <w:tc>
          <w:tcPr>
            <w:tcW w:w="1624" w:type="dxa"/>
            <w:noWrap/>
            <w:hideMark/>
          </w:tcPr>
          <w:p w14:paraId="5A635A5D" w14:textId="77777777" w:rsidR="00AA6A6E" w:rsidRPr="00AA6A6E" w:rsidRDefault="00AA6A6E" w:rsidP="00BD1D65">
            <w:pPr>
              <w:jc w:val="both"/>
            </w:pPr>
            <w:r w:rsidRPr="00AA6A6E">
              <w:t>17%</w:t>
            </w:r>
          </w:p>
        </w:tc>
      </w:tr>
      <w:tr w:rsidR="00AA6A6E" w:rsidRPr="00AA6A6E" w14:paraId="1BBB6B39" w14:textId="77777777" w:rsidTr="0009202C">
        <w:trPr>
          <w:trHeight w:val="320"/>
        </w:trPr>
        <w:tc>
          <w:tcPr>
            <w:tcW w:w="2847" w:type="dxa"/>
            <w:noWrap/>
            <w:hideMark/>
          </w:tcPr>
          <w:p w14:paraId="642F660C" w14:textId="77777777" w:rsidR="00AA6A6E" w:rsidRPr="00AA6A6E" w:rsidRDefault="00AA6A6E" w:rsidP="00BD1D65">
            <w:pPr>
              <w:jc w:val="both"/>
            </w:pPr>
          </w:p>
        </w:tc>
        <w:tc>
          <w:tcPr>
            <w:tcW w:w="2198" w:type="dxa"/>
            <w:noWrap/>
            <w:hideMark/>
          </w:tcPr>
          <w:p w14:paraId="096AC104" w14:textId="77777777" w:rsidR="00AA6A6E" w:rsidRPr="00AA6A6E" w:rsidRDefault="00AA6A6E" w:rsidP="00BD1D65">
            <w:pPr>
              <w:jc w:val="both"/>
            </w:pPr>
            <w:r w:rsidRPr="00AA6A6E">
              <w:t>PET_CN_FB</w:t>
            </w:r>
          </w:p>
        </w:tc>
        <w:tc>
          <w:tcPr>
            <w:tcW w:w="1624" w:type="dxa"/>
            <w:noWrap/>
            <w:hideMark/>
          </w:tcPr>
          <w:p w14:paraId="5F7B6415" w14:textId="77777777" w:rsidR="00AA6A6E" w:rsidRPr="00AA6A6E" w:rsidRDefault="00AA6A6E" w:rsidP="00BD1D65">
            <w:pPr>
              <w:jc w:val="both"/>
            </w:pPr>
            <w:r w:rsidRPr="00AA6A6E">
              <w:t>7%</w:t>
            </w:r>
          </w:p>
        </w:tc>
      </w:tr>
      <w:tr w:rsidR="007912A0" w:rsidRPr="00AA6A6E" w14:paraId="4303794B" w14:textId="77777777" w:rsidTr="0009202C">
        <w:trPr>
          <w:trHeight w:val="320"/>
        </w:trPr>
        <w:tc>
          <w:tcPr>
            <w:tcW w:w="2847" w:type="dxa"/>
            <w:noWrap/>
            <w:hideMark/>
          </w:tcPr>
          <w:p w14:paraId="000D2B46" w14:textId="77777777" w:rsidR="00AA6A6E" w:rsidRPr="00AA6A6E" w:rsidRDefault="00AA6A6E" w:rsidP="00BD1D65">
            <w:pPr>
              <w:jc w:val="both"/>
            </w:pPr>
          </w:p>
        </w:tc>
        <w:tc>
          <w:tcPr>
            <w:tcW w:w="2198" w:type="dxa"/>
            <w:noWrap/>
            <w:hideMark/>
          </w:tcPr>
          <w:p w14:paraId="1441CD70" w14:textId="77777777" w:rsidR="00AA6A6E" w:rsidRPr="00AA6A6E" w:rsidRDefault="00AA6A6E" w:rsidP="00BD1D65">
            <w:pPr>
              <w:jc w:val="both"/>
            </w:pPr>
            <w:r w:rsidRPr="00AA6A6E">
              <w:t>PET_TO_INC/OTHER</w:t>
            </w:r>
          </w:p>
        </w:tc>
        <w:tc>
          <w:tcPr>
            <w:tcW w:w="1624" w:type="dxa"/>
            <w:noWrap/>
            <w:hideMark/>
          </w:tcPr>
          <w:p w14:paraId="3B72ED39" w14:textId="77777777" w:rsidR="00AA6A6E" w:rsidRPr="00AA6A6E" w:rsidRDefault="00AA6A6E" w:rsidP="00BD1D65">
            <w:pPr>
              <w:jc w:val="both"/>
            </w:pPr>
            <w:r w:rsidRPr="00AA6A6E">
              <w:t>4%</w:t>
            </w:r>
          </w:p>
        </w:tc>
      </w:tr>
      <w:tr w:rsidR="007912A0" w:rsidRPr="00AA6A6E" w14:paraId="7C392FB2" w14:textId="77777777" w:rsidTr="0009202C">
        <w:trPr>
          <w:trHeight w:val="320"/>
        </w:trPr>
        <w:tc>
          <w:tcPr>
            <w:tcW w:w="2847" w:type="dxa"/>
            <w:noWrap/>
            <w:hideMark/>
          </w:tcPr>
          <w:p w14:paraId="775114D9" w14:textId="77777777" w:rsidR="00AA6A6E" w:rsidRPr="00AA6A6E" w:rsidRDefault="00AA6A6E" w:rsidP="00BD1D65">
            <w:pPr>
              <w:jc w:val="both"/>
            </w:pPr>
            <w:r w:rsidRPr="00AA6A6E">
              <w:t>PET_PTTS</w:t>
            </w:r>
          </w:p>
        </w:tc>
        <w:tc>
          <w:tcPr>
            <w:tcW w:w="2198" w:type="dxa"/>
            <w:noWrap/>
            <w:hideMark/>
          </w:tcPr>
          <w:p w14:paraId="7C99CA88" w14:textId="77777777" w:rsidR="00AA6A6E" w:rsidRPr="00AA6A6E" w:rsidRDefault="00AA6A6E" w:rsidP="00BD1D65">
            <w:pPr>
              <w:jc w:val="both"/>
            </w:pPr>
            <w:r w:rsidRPr="00AA6A6E">
              <w:t>PET_CN_FB</w:t>
            </w:r>
          </w:p>
        </w:tc>
        <w:tc>
          <w:tcPr>
            <w:tcW w:w="1624" w:type="dxa"/>
            <w:noWrap/>
            <w:hideMark/>
          </w:tcPr>
          <w:p w14:paraId="32FBAD6E" w14:textId="77777777" w:rsidR="00AA6A6E" w:rsidRPr="00AA6A6E" w:rsidRDefault="00AA6A6E" w:rsidP="00BD1D65">
            <w:pPr>
              <w:jc w:val="both"/>
            </w:pPr>
            <w:r w:rsidRPr="00AA6A6E">
              <w:t>8%</w:t>
            </w:r>
          </w:p>
        </w:tc>
      </w:tr>
      <w:tr w:rsidR="00AA6A6E" w:rsidRPr="00AA6A6E" w14:paraId="5482177D" w14:textId="77777777" w:rsidTr="0009202C">
        <w:trPr>
          <w:trHeight w:val="320"/>
        </w:trPr>
        <w:tc>
          <w:tcPr>
            <w:tcW w:w="2847" w:type="dxa"/>
            <w:noWrap/>
            <w:hideMark/>
          </w:tcPr>
          <w:p w14:paraId="38E7BE98" w14:textId="77777777" w:rsidR="00AA6A6E" w:rsidRPr="00AA6A6E" w:rsidRDefault="00AA6A6E" w:rsidP="00BD1D65">
            <w:pPr>
              <w:jc w:val="both"/>
            </w:pPr>
          </w:p>
        </w:tc>
        <w:tc>
          <w:tcPr>
            <w:tcW w:w="2198" w:type="dxa"/>
            <w:noWrap/>
            <w:hideMark/>
          </w:tcPr>
          <w:p w14:paraId="2D879B85" w14:textId="77777777" w:rsidR="00AA6A6E" w:rsidRPr="00AA6A6E" w:rsidRDefault="00AA6A6E" w:rsidP="00BD1D65">
            <w:pPr>
              <w:jc w:val="both"/>
            </w:pPr>
            <w:r w:rsidRPr="00AA6A6E">
              <w:t>PET_CN_PTTS</w:t>
            </w:r>
          </w:p>
        </w:tc>
        <w:tc>
          <w:tcPr>
            <w:tcW w:w="1624" w:type="dxa"/>
            <w:noWrap/>
            <w:hideMark/>
          </w:tcPr>
          <w:p w14:paraId="4666100A" w14:textId="77777777" w:rsidR="00AA6A6E" w:rsidRPr="00AA6A6E" w:rsidRDefault="00AA6A6E" w:rsidP="00BD1D65">
            <w:pPr>
              <w:jc w:val="both"/>
            </w:pPr>
            <w:r w:rsidRPr="00AA6A6E">
              <w:t>16%</w:t>
            </w:r>
          </w:p>
        </w:tc>
      </w:tr>
      <w:tr w:rsidR="00AA6A6E" w:rsidRPr="00AA6A6E" w14:paraId="0A1DF0ED" w14:textId="77777777" w:rsidTr="0009202C">
        <w:trPr>
          <w:trHeight w:val="320"/>
        </w:trPr>
        <w:tc>
          <w:tcPr>
            <w:tcW w:w="2847" w:type="dxa"/>
            <w:noWrap/>
            <w:hideMark/>
          </w:tcPr>
          <w:p w14:paraId="1DCBF7AB" w14:textId="77777777" w:rsidR="00AA6A6E" w:rsidRPr="00AA6A6E" w:rsidRDefault="00AA6A6E" w:rsidP="00BD1D65">
            <w:pPr>
              <w:jc w:val="both"/>
            </w:pPr>
          </w:p>
        </w:tc>
        <w:tc>
          <w:tcPr>
            <w:tcW w:w="2198" w:type="dxa"/>
            <w:noWrap/>
            <w:hideMark/>
          </w:tcPr>
          <w:p w14:paraId="34E92C1F" w14:textId="77777777" w:rsidR="00AA6A6E" w:rsidRPr="00AA6A6E" w:rsidRDefault="00AA6A6E" w:rsidP="00BD1D65">
            <w:pPr>
              <w:jc w:val="both"/>
            </w:pPr>
            <w:r w:rsidRPr="00AA6A6E">
              <w:t>PET_NCP_HB</w:t>
            </w:r>
          </w:p>
        </w:tc>
        <w:tc>
          <w:tcPr>
            <w:tcW w:w="1624" w:type="dxa"/>
            <w:noWrap/>
            <w:hideMark/>
          </w:tcPr>
          <w:p w14:paraId="704E624C" w14:textId="77777777" w:rsidR="00AA6A6E" w:rsidRPr="00AA6A6E" w:rsidRDefault="00AA6A6E" w:rsidP="00BD1D65">
            <w:pPr>
              <w:jc w:val="both"/>
            </w:pPr>
            <w:r w:rsidRPr="00AA6A6E">
              <w:t>10%</w:t>
            </w:r>
          </w:p>
        </w:tc>
      </w:tr>
      <w:tr w:rsidR="00AA6A6E" w:rsidRPr="00AA6A6E" w14:paraId="252AD23F" w14:textId="77777777" w:rsidTr="0009202C">
        <w:trPr>
          <w:trHeight w:val="320"/>
        </w:trPr>
        <w:tc>
          <w:tcPr>
            <w:tcW w:w="2847" w:type="dxa"/>
            <w:noWrap/>
            <w:hideMark/>
          </w:tcPr>
          <w:p w14:paraId="39B07C8E" w14:textId="77777777" w:rsidR="00AA6A6E" w:rsidRPr="00AA6A6E" w:rsidRDefault="00AA6A6E" w:rsidP="00BD1D65">
            <w:pPr>
              <w:jc w:val="both"/>
            </w:pPr>
          </w:p>
        </w:tc>
        <w:tc>
          <w:tcPr>
            <w:tcW w:w="2198" w:type="dxa"/>
            <w:noWrap/>
            <w:hideMark/>
          </w:tcPr>
          <w:p w14:paraId="42A71FDD" w14:textId="77777777" w:rsidR="00AA6A6E" w:rsidRPr="00AA6A6E" w:rsidRDefault="00AA6A6E" w:rsidP="00BD1D65">
            <w:pPr>
              <w:jc w:val="both"/>
            </w:pPr>
            <w:r w:rsidRPr="00AA6A6E">
              <w:t>PET_T_APP</w:t>
            </w:r>
          </w:p>
        </w:tc>
        <w:tc>
          <w:tcPr>
            <w:tcW w:w="1624" w:type="dxa"/>
            <w:noWrap/>
            <w:hideMark/>
          </w:tcPr>
          <w:p w14:paraId="207E37AE" w14:textId="77777777" w:rsidR="00AA6A6E" w:rsidRPr="00AA6A6E" w:rsidRDefault="00AA6A6E" w:rsidP="00BD1D65">
            <w:pPr>
              <w:jc w:val="both"/>
            </w:pPr>
            <w:r w:rsidRPr="00AA6A6E">
              <w:t>26%</w:t>
            </w:r>
          </w:p>
        </w:tc>
      </w:tr>
      <w:tr w:rsidR="00AA6A6E" w:rsidRPr="00AA6A6E" w14:paraId="73042BEE" w14:textId="77777777" w:rsidTr="0009202C">
        <w:trPr>
          <w:trHeight w:val="320"/>
        </w:trPr>
        <w:tc>
          <w:tcPr>
            <w:tcW w:w="2847" w:type="dxa"/>
            <w:noWrap/>
            <w:hideMark/>
          </w:tcPr>
          <w:p w14:paraId="76D09206" w14:textId="77777777" w:rsidR="00AA6A6E" w:rsidRPr="00AA6A6E" w:rsidRDefault="00AA6A6E" w:rsidP="00BD1D65">
            <w:pPr>
              <w:jc w:val="both"/>
            </w:pPr>
          </w:p>
        </w:tc>
        <w:tc>
          <w:tcPr>
            <w:tcW w:w="2198" w:type="dxa"/>
            <w:noWrap/>
            <w:hideMark/>
          </w:tcPr>
          <w:p w14:paraId="3A7EF9E6" w14:textId="77777777" w:rsidR="00AA6A6E" w:rsidRPr="00AA6A6E" w:rsidRDefault="00AA6A6E" w:rsidP="00BD1D65">
            <w:pPr>
              <w:jc w:val="both"/>
            </w:pPr>
            <w:r w:rsidRPr="00AA6A6E">
              <w:t>PET_T_HOUS</w:t>
            </w:r>
          </w:p>
        </w:tc>
        <w:tc>
          <w:tcPr>
            <w:tcW w:w="1624" w:type="dxa"/>
            <w:noWrap/>
            <w:hideMark/>
          </w:tcPr>
          <w:p w14:paraId="3445C0DA" w14:textId="77777777" w:rsidR="00AA6A6E" w:rsidRPr="00AA6A6E" w:rsidRDefault="00AA6A6E" w:rsidP="00BD1D65">
            <w:pPr>
              <w:jc w:val="both"/>
            </w:pPr>
            <w:r w:rsidRPr="00AA6A6E">
              <w:t>6%</w:t>
            </w:r>
          </w:p>
        </w:tc>
      </w:tr>
      <w:tr w:rsidR="00AA6A6E" w:rsidRPr="00AA6A6E" w14:paraId="7E03F652" w14:textId="77777777" w:rsidTr="0009202C">
        <w:trPr>
          <w:trHeight w:val="320"/>
        </w:trPr>
        <w:tc>
          <w:tcPr>
            <w:tcW w:w="2847" w:type="dxa"/>
            <w:noWrap/>
            <w:hideMark/>
          </w:tcPr>
          <w:p w14:paraId="02164745" w14:textId="77777777" w:rsidR="00AA6A6E" w:rsidRPr="00AA6A6E" w:rsidRDefault="00AA6A6E" w:rsidP="00BD1D65">
            <w:pPr>
              <w:jc w:val="both"/>
            </w:pPr>
          </w:p>
        </w:tc>
        <w:tc>
          <w:tcPr>
            <w:tcW w:w="2198" w:type="dxa"/>
            <w:noWrap/>
            <w:hideMark/>
          </w:tcPr>
          <w:p w14:paraId="2BB8D4A5" w14:textId="77777777" w:rsidR="00AA6A6E" w:rsidRPr="00AA6A6E" w:rsidRDefault="00AA6A6E" w:rsidP="00BD1D65">
            <w:pPr>
              <w:jc w:val="both"/>
            </w:pPr>
            <w:r w:rsidRPr="00AA6A6E">
              <w:t>PET_T_FUR</w:t>
            </w:r>
          </w:p>
        </w:tc>
        <w:tc>
          <w:tcPr>
            <w:tcW w:w="1624" w:type="dxa"/>
            <w:noWrap/>
            <w:hideMark/>
          </w:tcPr>
          <w:p w14:paraId="6CC288B8" w14:textId="77777777" w:rsidR="00AA6A6E" w:rsidRPr="00AA6A6E" w:rsidRDefault="00AA6A6E" w:rsidP="00BD1D65">
            <w:pPr>
              <w:jc w:val="both"/>
            </w:pPr>
            <w:r w:rsidRPr="00AA6A6E">
              <w:t>3%</w:t>
            </w:r>
          </w:p>
        </w:tc>
      </w:tr>
      <w:tr w:rsidR="007912A0" w:rsidRPr="00AA6A6E" w14:paraId="6FCA6102" w14:textId="77777777" w:rsidTr="0009202C">
        <w:trPr>
          <w:trHeight w:val="320"/>
        </w:trPr>
        <w:tc>
          <w:tcPr>
            <w:tcW w:w="2847" w:type="dxa"/>
            <w:noWrap/>
            <w:hideMark/>
          </w:tcPr>
          <w:p w14:paraId="790DB52D" w14:textId="77777777" w:rsidR="00AA6A6E" w:rsidRPr="00AA6A6E" w:rsidRDefault="00AA6A6E" w:rsidP="00BD1D65">
            <w:pPr>
              <w:jc w:val="both"/>
            </w:pPr>
          </w:p>
        </w:tc>
        <w:tc>
          <w:tcPr>
            <w:tcW w:w="2198" w:type="dxa"/>
            <w:noWrap/>
            <w:hideMark/>
          </w:tcPr>
          <w:p w14:paraId="1DEC7643" w14:textId="77777777" w:rsidR="00AA6A6E" w:rsidRPr="00AA6A6E" w:rsidRDefault="00AA6A6E" w:rsidP="00BD1D65">
            <w:pPr>
              <w:jc w:val="both"/>
            </w:pPr>
            <w:r w:rsidRPr="00AA6A6E">
              <w:t>PET_TO_INC/OTHER</w:t>
            </w:r>
          </w:p>
        </w:tc>
        <w:tc>
          <w:tcPr>
            <w:tcW w:w="1624" w:type="dxa"/>
            <w:noWrap/>
            <w:hideMark/>
          </w:tcPr>
          <w:p w14:paraId="1381A602" w14:textId="77777777" w:rsidR="00AA6A6E" w:rsidRPr="00AA6A6E" w:rsidRDefault="00AA6A6E" w:rsidP="00BD1D65">
            <w:pPr>
              <w:jc w:val="both"/>
            </w:pPr>
            <w:r w:rsidRPr="00AA6A6E">
              <w:t>31%</w:t>
            </w:r>
          </w:p>
        </w:tc>
      </w:tr>
      <w:tr w:rsidR="007912A0" w:rsidRPr="00AA6A6E" w14:paraId="786EA6A8" w14:textId="77777777" w:rsidTr="0009202C">
        <w:trPr>
          <w:trHeight w:val="320"/>
        </w:trPr>
        <w:tc>
          <w:tcPr>
            <w:tcW w:w="2847" w:type="dxa"/>
            <w:noWrap/>
            <w:hideMark/>
          </w:tcPr>
          <w:p w14:paraId="41F8721A" w14:textId="77777777" w:rsidR="00AA6A6E" w:rsidRPr="00AA6A6E" w:rsidRDefault="00AA6A6E" w:rsidP="00BD1D65">
            <w:pPr>
              <w:jc w:val="both"/>
            </w:pPr>
            <w:r w:rsidRPr="00AA6A6E">
              <w:t>PET_CN_FB</w:t>
            </w:r>
          </w:p>
        </w:tc>
        <w:tc>
          <w:tcPr>
            <w:tcW w:w="2198" w:type="dxa"/>
            <w:noWrap/>
            <w:hideMark/>
          </w:tcPr>
          <w:p w14:paraId="733E2A55" w14:textId="77777777" w:rsidR="00AA6A6E" w:rsidRPr="00AA6A6E" w:rsidRDefault="00AA6A6E" w:rsidP="00BD1D65">
            <w:pPr>
              <w:jc w:val="both"/>
            </w:pPr>
            <w:r w:rsidRPr="00AA6A6E">
              <w:t>PET_PTTS</w:t>
            </w:r>
          </w:p>
        </w:tc>
        <w:tc>
          <w:tcPr>
            <w:tcW w:w="1624" w:type="dxa"/>
            <w:noWrap/>
            <w:hideMark/>
          </w:tcPr>
          <w:p w14:paraId="32EAE562" w14:textId="77777777" w:rsidR="00AA6A6E" w:rsidRPr="00AA6A6E" w:rsidRDefault="00AA6A6E" w:rsidP="00BD1D65">
            <w:pPr>
              <w:jc w:val="both"/>
            </w:pPr>
            <w:r w:rsidRPr="00AA6A6E">
              <w:t>2%</w:t>
            </w:r>
          </w:p>
        </w:tc>
      </w:tr>
      <w:tr w:rsidR="00AA6A6E" w:rsidRPr="00AA6A6E" w14:paraId="487FE289" w14:textId="77777777" w:rsidTr="0009202C">
        <w:trPr>
          <w:trHeight w:val="320"/>
        </w:trPr>
        <w:tc>
          <w:tcPr>
            <w:tcW w:w="2847" w:type="dxa"/>
            <w:noWrap/>
            <w:hideMark/>
          </w:tcPr>
          <w:p w14:paraId="47FC74DD" w14:textId="77777777" w:rsidR="00AA6A6E" w:rsidRPr="00AA6A6E" w:rsidRDefault="00AA6A6E" w:rsidP="00BD1D65">
            <w:pPr>
              <w:jc w:val="both"/>
            </w:pPr>
          </w:p>
        </w:tc>
        <w:tc>
          <w:tcPr>
            <w:tcW w:w="2198" w:type="dxa"/>
            <w:noWrap/>
            <w:hideMark/>
          </w:tcPr>
          <w:p w14:paraId="3B1C2976" w14:textId="77777777" w:rsidR="00AA6A6E" w:rsidRPr="00AA6A6E" w:rsidRDefault="00AA6A6E" w:rsidP="00BD1D65">
            <w:pPr>
              <w:jc w:val="both"/>
            </w:pPr>
            <w:r w:rsidRPr="00AA6A6E">
              <w:t>PET_CN_FB</w:t>
            </w:r>
          </w:p>
        </w:tc>
        <w:tc>
          <w:tcPr>
            <w:tcW w:w="1624" w:type="dxa"/>
            <w:noWrap/>
            <w:hideMark/>
          </w:tcPr>
          <w:p w14:paraId="426F7247" w14:textId="77777777" w:rsidR="00AA6A6E" w:rsidRPr="00AA6A6E" w:rsidRDefault="00AA6A6E" w:rsidP="00BD1D65">
            <w:pPr>
              <w:jc w:val="both"/>
            </w:pPr>
            <w:r w:rsidRPr="00AA6A6E">
              <w:t>55%</w:t>
            </w:r>
          </w:p>
        </w:tc>
      </w:tr>
      <w:tr w:rsidR="00AA6A6E" w:rsidRPr="00AA6A6E" w14:paraId="797C42BB" w14:textId="77777777" w:rsidTr="0009202C">
        <w:trPr>
          <w:trHeight w:val="320"/>
        </w:trPr>
        <w:tc>
          <w:tcPr>
            <w:tcW w:w="2847" w:type="dxa"/>
            <w:noWrap/>
            <w:hideMark/>
          </w:tcPr>
          <w:p w14:paraId="6D228C51" w14:textId="77777777" w:rsidR="00AA6A6E" w:rsidRPr="00AA6A6E" w:rsidRDefault="00AA6A6E" w:rsidP="00BD1D65">
            <w:pPr>
              <w:jc w:val="both"/>
            </w:pPr>
          </w:p>
        </w:tc>
        <w:tc>
          <w:tcPr>
            <w:tcW w:w="2198" w:type="dxa"/>
            <w:noWrap/>
            <w:hideMark/>
          </w:tcPr>
          <w:p w14:paraId="616DE481" w14:textId="77777777" w:rsidR="00AA6A6E" w:rsidRPr="00AA6A6E" w:rsidRDefault="00AA6A6E" w:rsidP="00BD1D65">
            <w:pPr>
              <w:jc w:val="both"/>
            </w:pPr>
            <w:r w:rsidRPr="00AA6A6E">
              <w:t>PET_T_APP</w:t>
            </w:r>
          </w:p>
        </w:tc>
        <w:tc>
          <w:tcPr>
            <w:tcW w:w="1624" w:type="dxa"/>
            <w:noWrap/>
            <w:hideMark/>
          </w:tcPr>
          <w:p w14:paraId="4FE4040D" w14:textId="77777777" w:rsidR="00AA6A6E" w:rsidRPr="00AA6A6E" w:rsidRDefault="00AA6A6E" w:rsidP="00BD1D65">
            <w:pPr>
              <w:jc w:val="both"/>
            </w:pPr>
            <w:r w:rsidRPr="00AA6A6E">
              <w:t>24%</w:t>
            </w:r>
          </w:p>
        </w:tc>
      </w:tr>
      <w:tr w:rsidR="00AA6A6E" w:rsidRPr="00AA6A6E" w14:paraId="553DC3DA" w14:textId="77777777" w:rsidTr="0009202C">
        <w:trPr>
          <w:trHeight w:val="320"/>
        </w:trPr>
        <w:tc>
          <w:tcPr>
            <w:tcW w:w="2847" w:type="dxa"/>
            <w:noWrap/>
            <w:hideMark/>
          </w:tcPr>
          <w:p w14:paraId="2F19023C" w14:textId="77777777" w:rsidR="00AA6A6E" w:rsidRPr="00AA6A6E" w:rsidRDefault="00AA6A6E" w:rsidP="00BD1D65">
            <w:pPr>
              <w:jc w:val="both"/>
            </w:pPr>
          </w:p>
        </w:tc>
        <w:tc>
          <w:tcPr>
            <w:tcW w:w="2198" w:type="dxa"/>
            <w:noWrap/>
            <w:hideMark/>
          </w:tcPr>
          <w:p w14:paraId="6D778CD7" w14:textId="77777777" w:rsidR="00AA6A6E" w:rsidRPr="00AA6A6E" w:rsidRDefault="00AA6A6E" w:rsidP="00BD1D65">
            <w:pPr>
              <w:jc w:val="both"/>
            </w:pPr>
            <w:r w:rsidRPr="00AA6A6E">
              <w:t>PET_T_HOUS</w:t>
            </w:r>
          </w:p>
        </w:tc>
        <w:tc>
          <w:tcPr>
            <w:tcW w:w="1624" w:type="dxa"/>
            <w:noWrap/>
            <w:hideMark/>
          </w:tcPr>
          <w:p w14:paraId="1E62F42A" w14:textId="77777777" w:rsidR="00AA6A6E" w:rsidRPr="00AA6A6E" w:rsidRDefault="00AA6A6E" w:rsidP="00BD1D65">
            <w:pPr>
              <w:jc w:val="both"/>
            </w:pPr>
            <w:r w:rsidRPr="00AA6A6E">
              <w:t>3%</w:t>
            </w:r>
          </w:p>
        </w:tc>
      </w:tr>
      <w:tr w:rsidR="007912A0" w:rsidRPr="00AA6A6E" w14:paraId="4B53A747" w14:textId="77777777" w:rsidTr="0009202C">
        <w:trPr>
          <w:trHeight w:val="320"/>
        </w:trPr>
        <w:tc>
          <w:tcPr>
            <w:tcW w:w="2847" w:type="dxa"/>
            <w:noWrap/>
            <w:hideMark/>
          </w:tcPr>
          <w:p w14:paraId="3D8F5ECF" w14:textId="77777777" w:rsidR="00AA6A6E" w:rsidRPr="00AA6A6E" w:rsidRDefault="00AA6A6E" w:rsidP="00BD1D65">
            <w:pPr>
              <w:jc w:val="both"/>
            </w:pPr>
          </w:p>
        </w:tc>
        <w:tc>
          <w:tcPr>
            <w:tcW w:w="2198" w:type="dxa"/>
            <w:noWrap/>
            <w:hideMark/>
          </w:tcPr>
          <w:p w14:paraId="4034F228" w14:textId="77777777" w:rsidR="00AA6A6E" w:rsidRPr="00AA6A6E" w:rsidRDefault="00AA6A6E" w:rsidP="00BD1D65">
            <w:pPr>
              <w:jc w:val="both"/>
            </w:pPr>
            <w:r w:rsidRPr="00AA6A6E">
              <w:t>PET_TO_INC/OTHER</w:t>
            </w:r>
          </w:p>
        </w:tc>
        <w:tc>
          <w:tcPr>
            <w:tcW w:w="1624" w:type="dxa"/>
            <w:noWrap/>
            <w:hideMark/>
          </w:tcPr>
          <w:p w14:paraId="4A3AC2E5" w14:textId="77777777" w:rsidR="00AA6A6E" w:rsidRPr="00AA6A6E" w:rsidRDefault="00AA6A6E" w:rsidP="00BD1D65">
            <w:pPr>
              <w:jc w:val="both"/>
            </w:pPr>
            <w:r w:rsidRPr="00AA6A6E">
              <w:t>16%</w:t>
            </w:r>
          </w:p>
        </w:tc>
      </w:tr>
      <w:tr w:rsidR="007912A0" w:rsidRPr="00AA6A6E" w14:paraId="72DD7F4C" w14:textId="77777777" w:rsidTr="0009202C">
        <w:trPr>
          <w:trHeight w:val="320"/>
        </w:trPr>
        <w:tc>
          <w:tcPr>
            <w:tcW w:w="2847" w:type="dxa"/>
            <w:noWrap/>
            <w:hideMark/>
          </w:tcPr>
          <w:p w14:paraId="634531B2" w14:textId="77777777" w:rsidR="00AA6A6E" w:rsidRPr="00AA6A6E" w:rsidRDefault="00AA6A6E" w:rsidP="00BD1D65">
            <w:pPr>
              <w:jc w:val="both"/>
            </w:pPr>
            <w:r w:rsidRPr="00AA6A6E">
              <w:t>PET_CN_PTTS</w:t>
            </w:r>
          </w:p>
        </w:tc>
        <w:tc>
          <w:tcPr>
            <w:tcW w:w="2198" w:type="dxa"/>
            <w:noWrap/>
            <w:hideMark/>
          </w:tcPr>
          <w:p w14:paraId="709070DF" w14:textId="77777777" w:rsidR="00AA6A6E" w:rsidRPr="00AA6A6E" w:rsidRDefault="00AA6A6E" w:rsidP="00BD1D65">
            <w:pPr>
              <w:jc w:val="both"/>
            </w:pPr>
            <w:r w:rsidRPr="00AA6A6E">
              <w:t>PET_T_APP</w:t>
            </w:r>
          </w:p>
        </w:tc>
        <w:tc>
          <w:tcPr>
            <w:tcW w:w="1624" w:type="dxa"/>
            <w:noWrap/>
            <w:hideMark/>
          </w:tcPr>
          <w:p w14:paraId="70471AD6" w14:textId="77777777" w:rsidR="00AA6A6E" w:rsidRPr="00AA6A6E" w:rsidRDefault="00AA6A6E" w:rsidP="00BD1D65">
            <w:pPr>
              <w:jc w:val="both"/>
            </w:pPr>
            <w:r w:rsidRPr="00AA6A6E">
              <w:t>59%</w:t>
            </w:r>
          </w:p>
        </w:tc>
      </w:tr>
      <w:tr w:rsidR="007912A0" w:rsidRPr="00AA6A6E" w14:paraId="0521F67D" w14:textId="77777777" w:rsidTr="0009202C">
        <w:trPr>
          <w:trHeight w:val="320"/>
        </w:trPr>
        <w:tc>
          <w:tcPr>
            <w:tcW w:w="2847" w:type="dxa"/>
            <w:noWrap/>
            <w:hideMark/>
          </w:tcPr>
          <w:p w14:paraId="366974AE" w14:textId="77777777" w:rsidR="00AA6A6E" w:rsidRPr="00AA6A6E" w:rsidRDefault="00AA6A6E" w:rsidP="00BD1D65">
            <w:pPr>
              <w:jc w:val="both"/>
            </w:pPr>
          </w:p>
        </w:tc>
        <w:tc>
          <w:tcPr>
            <w:tcW w:w="2198" w:type="dxa"/>
            <w:noWrap/>
            <w:hideMark/>
          </w:tcPr>
          <w:p w14:paraId="06AE0A9C" w14:textId="77777777" w:rsidR="00AA6A6E" w:rsidRPr="00AA6A6E" w:rsidRDefault="00AA6A6E" w:rsidP="00BD1D65">
            <w:pPr>
              <w:jc w:val="both"/>
            </w:pPr>
            <w:r w:rsidRPr="00AA6A6E">
              <w:t>PET_TO_INC/OTHER</w:t>
            </w:r>
          </w:p>
        </w:tc>
        <w:tc>
          <w:tcPr>
            <w:tcW w:w="1624" w:type="dxa"/>
            <w:noWrap/>
            <w:hideMark/>
          </w:tcPr>
          <w:p w14:paraId="5DD9BC84" w14:textId="77777777" w:rsidR="00AA6A6E" w:rsidRPr="00AA6A6E" w:rsidRDefault="00AA6A6E" w:rsidP="00BD1D65">
            <w:pPr>
              <w:jc w:val="both"/>
            </w:pPr>
            <w:r w:rsidRPr="00AA6A6E">
              <w:t>41%</w:t>
            </w:r>
          </w:p>
        </w:tc>
      </w:tr>
      <w:tr w:rsidR="007912A0" w:rsidRPr="00AA6A6E" w14:paraId="1F75CC3D" w14:textId="77777777" w:rsidTr="0009202C">
        <w:trPr>
          <w:trHeight w:val="320"/>
        </w:trPr>
        <w:tc>
          <w:tcPr>
            <w:tcW w:w="2847" w:type="dxa"/>
            <w:noWrap/>
            <w:hideMark/>
          </w:tcPr>
          <w:p w14:paraId="02F9C76C" w14:textId="77777777" w:rsidR="00AA6A6E" w:rsidRPr="00AA6A6E" w:rsidRDefault="00AA6A6E" w:rsidP="00BD1D65">
            <w:pPr>
              <w:jc w:val="both"/>
            </w:pPr>
            <w:r w:rsidRPr="00AA6A6E">
              <w:t>PET_NCP_HB</w:t>
            </w:r>
          </w:p>
        </w:tc>
        <w:tc>
          <w:tcPr>
            <w:tcW w:w="2198" w:type="dxa"/>
            <w:noWrap/>
            <w:hideMark/>
          </w:tcPr>
          <w:p w14:paraId="43641B94" w14:textId="77777777" w:rsidR="00AA6A6E" w:rsidRPr="00AA6A6E" w:rsidRDefault="00AA6A6E" w:rsidP="00BD1D65">
            <w:pPr>
              <w:jc w:val="both"/>
            </w:pPr>
            <w:r w:rsidRPr="00AA6A6E">
              <w:t>PET_FB</w:t>
            </w:r>
          </w:p>
        </w:tc>
        <w:tc>
          <w:tcPr>
            <w:tcW w:w="1624" w:type="dxa"/>
            <w:noWrap/>
            <w:hideMark/>
          </w:tcPr>
          <w:p w14:paraId="7282D016" w14:textId="77777777" w:rsidR="00AA6A6E" w:rsidRPr="00AA6A6E" w:rsidRDefault="00AA6A6E" w:rsidP="00BD1D65">
            <w:pPr>
              <w:jc w:val="both"/>
            </w:pPr>
            <w:r w:rsidRPr="00AA6A6E">
              <w:t>43%</w:t>
            </w:r>
          </w:p>
        </w:tc>
      </w:tr>
      <w:tr w:rsidR="00AA6A6E" w:rsidRPr="00AA6A6E" w14:paraId="0691FFED" w14:textId="77777777" w:rsidTr="0009202C">
        <w:trPr>
          <w:trHeight w:val="320"/>
        </w:trPr>
        <w:tc>
          <w:tcPr>
            <w:tcW w:w="2847" w:type="dxa"/>
            <w:noWrap/>
            <w:hideMark/>
          </w:tcPr>
          <w:p w14:paraId="0528F763" w14:textId="77777777" w:rsidR="00AA6A6E" w:rsidRPr="00AA6A6E" w:rsidRDefault="00AA6A6E" w:rsidP="00BD1D65">
            <w:pPr>
              <w:jc w:val="both"/>
            </w:pPr>
          </w:p>
        </w:tc>
        <w:tc>
          <w:tcPr>
            <w:tcW w:w="2198" w:type="dxa"/>
            <w:noWrap/>
            <w:hideMark/>
          </w:tcPr>
          <w:p w14:paraId="0FA73F6C" w14:textId="77777777" w:rsidR="00AA6A6E" w:rsidRPr="00AA6A6E" w:rsidRDefault="00AA6A6E" w:rsidP="00BD1D65">
            <w:pPr>
              <w:jc w:val="both"/>
            </w:pPr>
            <w:r w:rsidRPr="00AA6A6E">
              <w:t>PET_NCP_HB</w:t>
            </w:r>
          </w:p>
        </w:tc>
        <w:tc>
          <w:tcPr>
            <w:tcW w:w="1624" w:type="dxa"/>
            <w:noWrap/>
            <w:hideMark/>
          </w:tcPr>
          <w:p w14:paraId="1E38DD64" w14:textId="77777777" w:rsidR="00AA6A6E" w:rsidRPr="00AA6A6E" w:rsidRDefault="00AA6A6E" w:rsidP="00BD1D65">
            <w:pPr>
              <w:jc w:val="both"/>
            </w:pPr>
            <w:r w:rsidRPr="00AA6A6E">
              <w:t>21%</w:t>
            </w:r>
          </w:p>
        </w:tc>
      </w:tr>
      <w:tr w:rsidR="00AA6A6E" w:rsidRPr="00AA6A6E" w14:paraId="7F0B3CEE" w14:textId="77777777" w:rsidTr="0009202C">
        <w:trPr>
          <w:trHeight w:val="320"/>
        </w:trPr>
        <w:tc>
          <w:tcPr>
            <w:tcW w:w="2847" w:type="dxa"/>
            <w:noWrap/>
            <w:hideMark/>
          </w:tcPr>
          <w:p w14:paraId="2A13DC39" w14:textId="77777777" w:rsidR="00AA6A6E" w:rsidRPr="00AA6A6E" w:rsidRDefault="00AA6A6E" w:rsidP="00BD1D65">
            <w:pPr>
              <w:jc w:val="both"/>
            </w:pPr>
          </w:p>
        </w:tc>
        <w:tc>
          <w:tcPr>
            <w:tcW w:w="2198" w:type="dxa"/>
            <w:noWrap/>
            <w:hideMark/>
          </w:tcPr>
          <w:p w14:paraId="56F4483A" w14:textId="77777777" w:rsidR="00AA6A6E" w:rsidRPr="00AA6A6E" w:rsidRDefault="00AA6A6E" w:rsidP="00BD1D65">
            <w:pPr>
              <w:jc w:val="both"/>
            </w:pPr>
            <w:r w:rsidRPr="00AA6A6E">
              <w:t>PET_T_APP</w:t>
            </w:r>
          </w:p>
        </w:tc>
        <w:tc>
          <w:tcPr>
            <w:tcW w:w="1624" w:type="dxa"/>
            <w:noWrap/>
            <w:hideMark/>
          </w:tcPr>
          <w:p w14:paraId="7483CAE2" w14:textId="77777777" w:rsidR="00AA6A6E" w:rsidRPr="00AA6A6E" w:rsidRDefault="00AA6A6E" w:rsidP="00BD1D65">
            <w:pPr>
              <w:jc w:val="both"/>
            </w:pPr>
            <w:r w:rsidRPr="00AA6A6E">
              <w:t>14%</w:t>
            </w:r>
          </w:p>
        </w:tc>
      </w:tr>
      <w:tr w:rsidR="00AA6A6E" w:rsidRPr="00AA6A6E" w14:paraId="24269E8A" w14:textId="77777777" w:rsidTr="0009202C">
        <w:trPr>
          <w:trHeight w:val="320"/>
        </w:trPr>
        <w:tc>
          <w:tcPr>
            <w:tcW w:w="2847" w:type="dxa"/>
            <w:noWrap/>
            <w:hideMark/>
          </w:tcPr>
          <w:p w14:paraId="6D2D67D3" w14:textId="77777777" w:rsidR="00AA6A6E" w:rsidRPr="00AA6A6E" w:rsidRDefault="00AA6A6E" w:rsidP="00BD1D65">
            <w:pPr>
              <w:jc w:val="both"/>
            </w:pPr>
          </w:p>
        </w:tc>
        <w:tc>
          <w:tcPr>
            <w:tcW w:w="2198" w:type="dxa"/>
            <w:noWrap/>
            <w:hideMark/>
          </w:tcPr>
          <w:p w14:paraId="01F5031D" w14:textId="77777777" w:rsidR="00AA6A6E" w:rsidRPr="00AA6A6E" w:rsidRDefault="00AA6A6E" w:rsidP="00BD1D65">
            <w:pPr>
              <w:jc w:val="both"/>
            </w:pPr>
            <w:r w:rsidRPr="00AA6A6E">
              <w:t>PET_TO_INC/OTHER</w:t>
            </w:r>
          </w:p>
        </w:tc>
        <w:tc>
          <w:tcPr>
            <w:tcW w:w="1624" w:type="dxa"/>
            <w:noWrap/>
            <w:hideMark/>
          </w:tcPr>
          <w:p w14:paraId="2F8533F2" w14:textId="77777777" w:rsidR="00AA6A6E" w:rsidRPr="00AA6A6E" w:rsidRDefault="00AA6A6E" w:rsidP="00BD1D65">
            <w:pPr>
              <w:jc w:val="both"/>
            </w:pPr>
            <w:r w:rsidRPr="00AA6A6E">
              <w:t>22%</w:t>
            </w:r>
          </w:p>
        </w:tc>
      </w:tr>
    </w:tbl>
    <w:p w14:paraId="1CD25878" w14:textId="77777777" w:rsidR="00ED60E3" w:rsidRDefault="00ED60E3" w:rsidP="00BD1D65">
      <w:pPr>
        <w:pStyle w:val="Caption"/>
        <w:rPr>
          <w:b/>
          <w:bCs/>
        </w:rPr>
      </w:pPr>
    </w:p>
    <w:p w14:paraId="1ECE64A0" w14:textId="56F08BBD" w:rsidR="00ED60E3" w:rsidRDefault="00ED60E3" w:rsidP="00BD1D65">
      <w:pPr>
        <w:pStyle w:val="Caption"/>
      </w:pPr>
      <w:bookmarkStart w:id="5" w:name="_Hlk226638892"/>
      <w:r>
        <w:rPr>
          <w:b/>
          <w:bCs/>
        </w:rPr>
        <w:t xml:space="preserve">Table </w:t>
      </w:r>
      <w:r w:rsidR="007912A0">
        <w:rPr>
          <w:b/>
          <w:bCs/>
        </w:rPr>
        <w:t>3</w:t>
      </w:r>
      <w:r w:rsidRPr="007228AE">
        <w:rPr>
          <w:b/>
          <w:bCs/>
        </w:rPr>
        <w:t>:</w:t>
      </w:r>
      <w:r>
        <w:t xml:space="preserve"> </w:t>
      </w:r>
      <w:r w:rsidRPr="00ED60E3">
        <w:t>Decomposition of the downcycling cascade for the mechanical recycling unit.</w:t>
      </w:r>
    </w:p>
    <w:p w14:paraId="14D190E5" w14:textId="77777777" w:rsidR="00E80B2E" w:rsidRPr="00E50B95" w:rsidRDefault="00E80B2E" w:rsidP="00BD1D65">
      <w:pPr>
        <w:jc w:val="both"/>
        <w:rPr>
          <w:lang w:val="en-GB"/>
        </w:rPr>
      </w:pPr>
      <w:bookmarkStart w:id="6" w:name="_Hlk233900334"/>
      <w:r w:rsidRPr="00AA6A6E">
        <w:rPr>
          <w:lang w:val="en-GB"/>
        </w:rPr>
        <w:t xml:space="preserve">The downcycling cascade was </w:t>
      </w:r>
      <w:r>
        <w:rPr>
          <w:lang w:val="en-GB"/>
        </w:rPr>
        <w:t xml:space="preserve">adapted from the </w:t>
      </w:r>
      <w:r w:rsidRPr="00AA6A6E">
        <w:rPr>
          <w:lang w:val="en-GB"/>
        </w:rPr>
        <w:t xml:space="preserve">work of Klotz et al. </w:t>
      </w:r>
      <w:r>
        <w:rPr>
          <w:lang w:val="fr-CH"/>
        </w:rPr>
        <w:fldChar w:fldCharType="begin"/>
      </w:r>
      <w:r>
        <w:instrText xml:space="preserve"> ADDIN ZOTERO_ITEM CSL_CITATION {"citationID":"s7lzFDjd","properties":{"formattedCitation":"[6]","plainCitation":"[6]","noteIndex":0},"citationItems":[{"id":13456,"uris":["http://zotero.org/users/12598273/items/IZ7YPLFM"],"itemData":{"id":13456,"type":"article-journal","abstract":"Plastics consumption continues to steeply increase worldwide, while resultant waste is currently mostly landfilled, discarded to the environment, or incinerated. This significantly contributes to global warming and causes negative health and ecosystem effects. Increasing the circularity of plastics can reduce these impacts. This study investigated to which extent plastics’ circularity can be increased by mechanical recycling. For this purpose, future scenarios involving increased waste collection, improved product design, and improved waste sorting were assessed. The system studied consists of 11 plastic types in 69 product groups consumed and arising as waste in Switzerland. By means of a material flow analysis, the amounts of consumption, waste, and secondary material utilizable in product manufacturing were quantified for the year 2040. For the waste not mechanically recycled, treatment situations mainly involving energy recovery in waste-to-energy plants and cement kilns were modeled. A life cycle assessment of the complete plastic material flow system was conducted. We found that the mechanical recycling rate calculated based on the utilizable secondary material can be increased to up to 31%. This can lower the plastic carbon footprint by one quarter (1.3% of today’s total Swiss carbon footprint) compared to no recycling. Important barriers to a further increase of the recycling rate were inaccessibility, the large diversity of plastic grades, and contamination. The remaining impact at maximum recycling is mainly caused by polyurethanes, polypropylene, and polystyrene production. In conclusion, the potential of mechanical plastic recycling is limited, but it can, as one of several measures, contribute to combating climate change.","citation-key":"klotzPotentialsLimitsMechanical2023","container-title":"Journal of Industrial Ecology","DOI":"10.1111/jiec.13393","ISSN":"1088-1980, 1530-9290","issue":"4","journalAbbreviation":"J of Industrial Ecology","language":"en","page":"1043-1059","source":"DOI.org (Crossref)","title":"Potentials and limits of mechanical plastic recycling","volume":"27","author":[{"family":"Klotz","given":"Magdalena"},{"family":"Haupt","given":"Melanie"},{"family":"Hellweg","given":"Stefanie"}],"issued":{"date-parts":[["2023",8]]}}}],"schema":"https://github.com/citation-style-language/schema/raw/master/csl-citation.json"} </w:instrText>
      </w:r>
      <w:r>
        <w:rPr>
          <w:lang w:val="fr-CH"/>
        </w:rPr>
        <w:fldChar w:fldCharType="separate"/>
      </w:r>
      <w:r>
        <w:rPr>
          <w:noProof/>
          <w:lang w:val="en-GB"/>
        </w:rPr>
        <w:t>[6]</w:t>
      </w:r>
      <w:r>
        <w:rPr>
          <w:lang w:val="fr-CH"/>
        </w:rPr>
        <w:fldChar w:fldCharType="end"/>
      </w:r>
      <w:r w:rsidRPr="00E50B95">
        <w:rPr>
          <w:lang w:val="en-GB"/>
        </w:rPr>
        <w:t>.</w:t>
      </w:r>
    </w:p>
    <w:bookmarkEnd w:id="6"/>
    <w:p w14:paraId="0C64DF27" w14:textId="77777777" w:rsidR="00E80B2E" w:rsidRPr="00E80B2E" w:rsidRDefault="00E80B2E" w:rsidP="00BD1D65">
      <w:pPr>
        <w:jc w:val="both"/>
        <w:rPr>
          <w:lang w:val="en-GB" w:eastAsia="zh-CN"/>
        </w:rPr>
      </w:pPr>
    </w:p>
    <w:p w14:paraId="4765933D" w14:textId="667707F9" w:rsidR="00ED60E3" w:rsidRDefault="004008FC" w:rsidP="00BD1D65">
      <w:pPr>
        <w:pStyle w:val="Heading2"/>
        <w:jc w:val="both"/>
      </w:pPr>
      <w:bookmarkStart w:id="7" w:name="_Toc234499920"/>
      <w:bookmarkEnd w:id="5"/>
      <w:r>
        <w:t>S-M</w:t>
      </w:r>
      <w:r w:rsidR="0040337C">
        <w:t>1.</w:t>
      </w:r>
      <w:r w:rsidR="001C7CDD">
        <w:t>4</w:t>
      </w:r>
      <w:r w:rsidR="0040337C">
        <w:t xml:space="preserve"> Collection rates</w:t>
      </w:r>
      <w:bookmarkEnd w:id="7"/>
    </w:p>
    <w:p w14:paraId="563C9556" w14:textId="77777777" w:rsidR="00DA6C5A" w:rsidRPr="00DA6C5A" w:rsidRDefault="00DA6C5A" w:rsidP="00BD1D65">
      <w:pPr>
        <w:jc w:val="both"/>
      </w:pPr>
    </w:p>
    <w:tbl>
      <w:tblPr>
        <w:tblStyle w:val="TableGridLight"/>
        <w:tblW w:w="9493" w:type="dxa"/>
        <w:tblLook w:val="04A0" w:firstRow="1" w:lastRow="0" w:firstColumn="1" w:lastColumn="0" w:noHBand="0" w:noVBand="1"/>
      </w:tblPr>
      <w:tblGrid>
        <w:gridCol w:w="3539"/>
        <w:gridCol w:w="2126"/>
        <w:gridCol w:w="3828"/>
      </w:tblGrid>
      <w:tr w:rsidR="00DB7E13" w:rsidRPr="00DB7E13" w14:paraId="3E739901" w14:textId="77777777" w:rsidTr="001C7CDD">
        <w:trPr>
          <w:trHeight w:val="320"/>
        </w:trPr>
        <w:tc>
          <w:tcPr>
            <w:tcW w:w="3539" w:type="dxa"/>
            <w:noWrap/>
            <w:hideMark/>
          </w:tcPr>
          <w:p w14:paraId="52FED7B4" w14:textId="21F74E93" w:rsidR="00DB7E13" w:rsidRPr="00DB7E13" w:rsidRDefault="00DB7E13" w:rsidP="00BD1D65">
            <w:pPr>
              <w:jc w:val="both"/>
            </w:pPr>
            <w:r w:rsidRPr="00DB7E13">
              <w:t>Category</w:t>
            </w:r>
          </w:p>
        </w:tc>
        <w:tc>
          <w:tcPr>
            <w:tcW w:w="2126" w:type="dxa"/>
            <w:noWrap/>
            <w:hideMark/>
          </w:tcPr>
          <w:p w14:paraId="15A6023D" w14:textId="0C20DF81" w:rsidR="00DB7E13" w:rsidRPr="007912A0" w:rsidRDefault="00DB7E13" w:rsidP="00BD1D65">
            <w:pPr>
              <w:jc w:val="both"/>
            </w:pPr>
            <w:r w:rsidRPr="007912A0">
              <w:t>Actual collection rate [%]</w:t>
            </w:r>
          </w:p>
        </w:tc>
        <w:tc>
          <w:tcPr>
            <w:tcW w:w="3828" w:type="dxa"/>
            <w:noWrap/>
            <w:hideMark/>
          </w:tcPr>
          <w:p w14:paraId="1CB09C94" w14:textId="32F4C8F3" w:rsidR="00DB7E13" w:rsidRPr="007912A0" w:rsidRDefault="00DB7E13" w:rsidP="00240458">
            <w:r w:rsidRPr="007912A0">
              <w:t xml:space="preserve">Maximum achievable </w:t>
            </w:r>
            <w:r w:rsidR="001C7CDD">
              <w:t>(</w:t>
            </w:r>
            <w:r w:rsidR="001C7CDD" w:rsidRPr="001C7CDD">
              <w:rPr>
                <w:i/>
                <w:iCs/>
              </w:rPr>
              <w:t>or prospective</w:t>
            </w:r>
            <w:r w:rsidR="001C7CDD">
              <w:t xml:space="preserve">) </w:t>
            </w:r>
            <w:r w:rsidRPr="007912A0">
              <w:t>collection rate [%]</w:t>
            </w:r>
          </w:p>
        </w:tc>
      </w:tr>
      <w:tr w:rsidR="00DB7E13" w:rsidRPr="00DB7E13" w14:paraId="41E2A53F" w14:textId="77777777" w:rsidTr="001C7CDD">
        <w:trPr>
          <w:trHeight w:val="320"/>
        </w:trPr>
        <w:tc>
          <w:tcPr>
            <w:tcW w:w="3539" w:type="dxa"/>
            <w:noWrap/>
            <w:hideMark/>
          </w:tcPr>
          <w:p w14:paraId="73C1A0E3" w14:textId="77777777" w:rsidR="00DB7E13" w:rsidRPr="00DB7E13" w:rsidRDefault="00DB7E13" w:rsidP="001C4B6F">
            <w:r w:rsidRPr="00DB7E13">
              <w:t xml:space="preserve"> Food bottles </w:t>
            </w:r>
          </w:p>
        </w:tc>
        <w:tc>
          <w:tcPr>
            <w:tcW w:w="2126" w:type="dxa"/>
            <w:noWrap/>
            <w:hideMark/>
          </w:tcPr>
          <w:p w14:paraId="66462963" w14:textId="77777777" w:rsidR="00DB7E13" w:rsidRPr="00DB7E13" w:rsidRDefault="00DB7E13" w:rsidP="00BD1D65">
            <w:pPr>
              <w:jc w:val="both"/>
            </w:pPr>
            <w:r w:rsidRPr="00DB7E13">
              <w:t>82%</w:t>
            </w:r>
          </w:p>
        </w:tc>
        <w:tc>
          <w:tcPr>
            <w:tcW w:w="3828" w:type="dxa"/>
            <w:noWrap/>
            <w:hideMark/>
          </w:tcPr>
          <w:p w14:paraId="2CAE9DA6" w14:textId="77777777" w:rsidR="00DB7E13" w:rsidRPr="00DB7E13" w:rsidRDefault="00DB7E13" w:rsidP="00BD1D65">
            <w:pPr>
              <w:jc w:val="both"/>
            </w:pPr>
            <w:r w:rsidRPr="00DB7E13">
              <w:t>98%</w:t>
            </w:r>
          </w:p>
        </w:tc>
      </w:tr>
      <w:tr w:rsidR="00DB7E13" w:rsidRPr="00DB7E13" w14:paraId="4169D6C0" w14:textId="77777777" w:rsidTr="001C7CDD">
        <w:trPr>
          <w:trHeight w:val="320"/>
        </w:trPr>
        <w:tc>
          <w:tcPr>
            <w:tcW w:w="3539" w:type="dxa"/>
            <w:noWrap/>
            <w:hideMark/>
          </w:tcPr>
          <w:p w14:paraId="2EEA47B7" w14:textId="77777777" w:rsidR="00DB7E13" w:rsidRPr="00DB7E13" w:rsidRDefault="00DB7E13" w:rsidP="001C4B6F">
            <w:r w:rsidRPr="00DB7E13">
              <w:t xml:space="preserve"> Food PTTs </w:t>
            </w:r>
          </w:p>
        </w:tc>
        <w:tc>
          <w:tcPr>
            <w:tcW w:w="2126" w:type="dxa"/>
            <w:noWrap/>
            <w:hideMark/>
          </w:tcPr>
          <w:p w14:paraId="6CCE0B8C" w14:textId="77777777" w:rsidR="00DB7E13" w:rsidRPr="00DB7E13" w:rsidRDefault="00DB7E13" w:rsidP="00BD1D65">
            <w:pPr>
              <w:jc w:val="both"/>
            </w:pPr>
            <w:r w:rsidRPr="00DB7E13">
              <w:t>15%</w:t>
            </w:r>
          </w:p>
        </w:tc>
        <w:tc>
          <w:tcPr>
            <w:tcW w:w="3828" w:type="dxa"/>
            <w:noWrap/>
            <w:hideMark/>
          </w:tcPr>
          <w:p w14:paraId="379DF26B" w14:textId="77777777" w:rsidR="00DB7E13" w:rsidRPr="00DB7E13" w:rsidRDefault="00DB7E13" w:rsidP="00BD1D65">
            <w:pPr>
              <w:jc w:val="both"/>
            </w:pPr>
            <w:r w:rsidRPr="00DB7E13">
              <w:t>89%</w:t>
            </w:r>
          </w:p>
        </w:tc>
      </w:tr>
      <w:tr w:rsidR="00DB7E13" w:rsidRPr="00DB7E13" w14:paraId="130264BB" w14:textId="77777777" w:rsidTr="001C7CDD">
        <w:trPr>
          <w:trHeight w:val="320"/>
        </w:trPr>
        <w:tc>
          <w:tcPr>
            <w:tcW w:w="3539" w:type="dxa"/>
            <w:noWrap/>
            <w:hideMark/>
          </w:tcPr>
          <w:p w14:paraId="14606276" w14:textId="77777777" w:rsidR="00DB7E13" w:rsidRPr="00DB7E13" w:rsidRDefault="00DB7E13" w:rsidP="001C4B6F">
            <w:r w:rsidRPr="00DB7E13">
              <w:t xml:space="preserve"> Consumer non-food bottles </w:t>
            </w:r>
          </w:p>
        </w:tc>
        <w:tc>
          <w:tcPr>
            <w:tcW w:w="2126" w:type="dxa"/>
            <w:noWrap/>
            <w:hideMark/>
          </w:tcPr>
          <w:p w14:paraId="50AE131F" w14:textId="77777777" w:rsidR="00DB7E13" w:rsidRPr="00DB7E13" w:rsidRDefault="00DB7E13" w:rsidP="00BD1D65">
            <w:pPr>
              <w:jc w:val="both"/>
            </w:pPr>
            <w:r w:rsidRPr="00DB7E13">
              <w:t>6%</w:t>
            </w:r>
          </w:p>
        </w:tc>
        <w:tc>
          <w:tcPr>
            <w:tcW w:w="3828" w:type="dxa"/>
            <w:noWrap/>
            <w:hideMark/>
          </w:tcPr>
          <w:p w14:paraId="41206653" w14:textId="77777777" w:rsidR="00DB7E13" w:rsidRPr="00DB7E13" w:rsidRDefault="00DB7E13" w:rsidP="00BD1D65">
            <w:pPr>
              <w:jc w:val="both"/>
            </w:pPr>
            <w:r w:rsidRPr="00DB7E13">
              <w:t>57%</w:t>
            </w:r>
          </w:p>
        </w:tc>
      </w:tr>
      <w:tr w:rsidR="00DB7E13" w:rsidRPr="00DB7E13" w14:paraId="4C345BCB" w14:textId="77777777" w:rsidTr="001C7CDD">
        <w:trPr>
          <w:trHeight w:val="320"/>
        </w:trPr>
        <w:tc>
          <w:tcPr>
            <w:tcW w:w="3539" w:type="dxa"/>
            <w:noWrap/>
            <w:hideMark/>
          </w:tcPr>
          <w:p w14:paraId="5DDF26F5" w14:textId="77777777" w:rsidR="00DB7E13" w:rsidRPr="00DB7E13" w:rsidRDefault="00DB7E13" w:rsidP="001C4B6F">
            <w:r w:rsidRPr="00DB7E13">
              <w:t xml:space="preserve"> Consumer non-food PTTs </w:t>
            </w:r>
          </w:p>
        </w:tc>
        <w:tc>
          <w:tcPr>
            <w:tcW w:w="2126" w:type="dxa"/>
            <w:noWrap/>
            <w:hideMark/>
          </w:tcPr>
          <w:p w14:paraId="54E67AB7" w14:textId="77777777" w:rsidR="00DB7E13" w:rsidRPr="00DB7E13" w:rsidRDefault="00DB7E13" w:rsidP="00BD1D65">
            <w:pPr>
              <w:jc w:val="both"/>
            </w:pPr>
            <w:r w:rsidRPr="00DB7E13">
              <w:t>7%</w:t>
            </w:r>
          </w:p>
        </w:tc>
        <w:tc>
          <w:tcPr>
            <w:tcW w:w="3828" w:type="dxa"/>
            <w:noWrap/>
            <w:hideMark/>
          </w:tcPr>
          <w:p w14:paraId="28FEA608" w14:textId="77777777" w:rsidR="00DB7E13" w:rsidRPr="00DB7E13" w:rsidRDefault="00DB7E13" w:rsidP="00BD1D65">
            <w:pPr>
              <w:jc w:val="both"/>
            </w:pPr>
            <w:r w:rsidRPr="00DB7E13">
              <w:t>81%</w:t>
            </w:r>
          </w:p>
        </w:tc>
      </w:tr>
      <w:tr w:rsidR="00DB7E13" w:rsidRPr="00DB7E13" w14:paraId="63C104CC" w14:textId="77777777" w:rsidTr="001C7CDD">
        <w:trPr>
          <w:trHeight w:val="320"/>
        </w:trPr>
        <w:tc>
          <w:tcPr>
            <w:tcW w:w="3539" w:type="dxa"/>
            <w:noWrap/>
            <w:hideMark/>
          </w:tcPr>
          <w:p w14:paraId="0FB26140" w14:textId="77777777" w:rsidR="00DB7E13" w:rsidRPr="00DB7E13" w:rsidRDefault="00DB7E13" w:rsidP="001C4B6F">
            <w:r w:rsidRPr="00DB7E13">
              <w:t xml:space="preserve"> Non-consumer packaging C&amp;I - hospitality - bottles </w:t>
            </w:r>
          </w:p>
        </w:tc>
        <w:tc>
          <w:tcPr>
            <w:tcW w:w="2126" w:type="dxa"/>
            <w:noWrap/>
            <w:hideMark/>
          </w:tcPr>
          <w:p w14:paraId="49499A4F" w14:textId="77777777" w:rsidR="00DB7E13" w:rsidRPr="00DB7E13" w:rsidRDefault="00DB7E13" w:rsidP="00BD1D65">
            <w:pPr>
              <w:jc w:val="both"/>
            </w:pPr>
            <w:r w:rsidRPr="00DB7E13">
              <w:t>88%</w:t>
            </w:r>
          </w:p>
        </w:tc>
        <w:tc>
          <w:tcPr>
            <w:tcW w:w="3828" w:type="dxa"/>
            <w:noWrap/>
            <w:hideMark/>
          </w:tcPr>
          <w:p w14:paraId="27B19C2C" w14:textId="77777777" w:rsidR="00DB7E13" w:rsidRPr="00DB7E13" w:rsidRDefault="00DB7E13" w:rsidP="00BD1D65">
            <w:pPr>
              <w:jc w:val="both"/>
            </w:pPr>
            <w:r w:rsidRPr="00DB7E13">
              <w:t>89%</w:t>
            </w:r>
          </w:p>
        </w:tc>
      </w:tr>
      <w:tr w:rsidR="00DB7E13" w:rsidRPr="00DB7E13" w14:paraId="0A076F97" w14:textId="77777777" w:rsidTr="001C7CDD">
        <w:trPr>
          <w:trHeight w:val="320"/>
        </w:trPr>
        <w:tc>
          <w:tcPr>
            <w:tcW w:w="3539" w:type="dxa"/>
            <w:noWrap/>
            <w:hideMark/>
          </w:tcPr>
          <w:p w14:paraId="7EE1E484" w14:textId="77777777" w:rsidR="00DB7E13" w:rsidRPr="00DB7E13" w:rsidRDefault="00DB7E13" w:rsidP="001C4B6F">
            <w:r w:rsidRPr="00DB7E13">
              <w:t>Apparel</w:t>
            </w:r>
          </w:p>
        </w:tc>
        <w:tc>
          <w:tcPr>
            <w:tcW w:w="2126" w:type="dxa"/>
            <w:noWrap/>
            <w:hideMark/>
          </w:tcPr>
          <w:p w14:paraId="3B089710" w14:textId="77777777" w:rsidR="00DB7E13" w:rsidRPr="00DB7E13" w:rsidRDefault="00DB7E13" w:rsidP="00BD1D65">
            <w:pPr>
              <w:jc w:val="both"/>
            </w:pPr>
            <w:r w:rsidRPr="00DB7E13">
              <w:t>34%</w:t>
            </w:r>
          </w:p>
        </w:tc>
        <w:tc>
          <w:tcPr>
            <w:tcW w:w="3828" w:type="dxa"/>
            <w:noWrap/>
            <w:hideMark/>
          </w:tcPr>
          <w:p w14:paraId="53980512" w14:textId="77777777" w:rsidR="00DB7E13" w:rsidRPr="00DB7E13" w:rsidRDefault="00DB7E13" w:rsidP="00BD1D65">
            <w:pPr>
              <w:jc w:val="both"/>
            </w:pPr>
            <w:r w:rsidRPr="00DB7E13">
              <w:t>89%</w:t>
            </w:r>
          </w:p>
        </w:tc>
      </w:tr>
      <w:tr w:rsidR="00DB7E13" w:rsidRPr="00DB7E13" w14:paraId="0636008F" w14:textId="77777777" w:rsidTr="001C7CDD">
        <w:trPr>
          <w:trHeight w:val="320"/>
        </w:trPr>
        <w:tc>
          <w:tcPr>
            <w:tcW w:w="3539" w:type="dxa"/>
            <w:noWrap/>
            <w:hideMark/>
          </w:tcPr>
          <w:p w14:paraId="5A50A47C" w14:textId="77777777" w:rsidR="00DB7E13" w:rsidRPr="00DB7E13" w:rsidRDefault="00DB7E13" w:rsidP="001C4B6F">
            <w:r w:rsidRPr="00DB7E13">
              <w:t>Household textiles</w:t>
            </w:r>
          </w:p>
        </w:tc>
        <w:tc>
          <w:tcPr>
            <w:tcW w:w="2126" w:type="dxa"/>
            <w:noWrap/>
            <w:hideMark/>
          </w:tcPr>
          <w:p w14:paraId="62C2FE77" w14:textId="77777777" w:rsidR="00DB7E13" w:rsidRPr="00DB7E13" w:rsidRDefault="00DB7E13" w:rsidP="00BD1D65">
            <w:pPr>
              <w:jc w:val="both"/>
            </w:pPr>
            <w:r w:rsidRPr="00DB7E13">
              <w:t>34%</w:t>
            </w:r>
          </w:p>
        </w:tc>
        <w:tc>
          <w:tcPr>
            <w:tcW w:w="3828" w:type="dxa"/>
            <w:noWrap/>
            <w:hideMark/>
          </w:tcPr>
          <w:p w14:paraId="6DA8F7C4" w14:textId="77777777" w:rsidR="00DB7E13" w:rsidRPr="00DB7E13" w:rsidRDefault="00DB7E13" w:rsidP="00BD1D65">
            <w:pPr>
              <w:jc w:val="both"/>
            </w:pPr>
            <w:r w:rsidRPr="00DB7E13">
              <w:t>89%</w:t>
            </w:r>
          </w:p>
        </w:tc>
      </w:tr>
      <w:tr w:rsidR="00DB7E13" w:rsidRPr="00DB7E13" w14:paraId="495D774D" w14:textId="77777777" w:rsidTr="001C7CDD">
        <w:trPr>
          <w:trHeight w:val="320"/>
        </w:trPr>
        <w:tc>
          <w:tcPr>
            <w:tcW w:w="3539" w:type="dxa"/>
            <w:noWrap/>
            <w:hideMark/>
          </w:tcPr>
          <w:p w14:paraId="60C02612" w14:textId="77777777" w:rsidR="00DB7E13" w:rsidRPr="00DB7E13" w:rsidRDefault="00DB7E13" w:rsidP="001C4B6F">
            <w:r w:rsidRPr="00DB7E13">
              <w:lastRenderedPageBreak/>
              <w:t>Technical textiles - textile flooring</w:t>
            </w:r>
          </w:p>
        </w:tc>
        <w:tc>
          <w:tcPr>
            <w:tcW w:w="2126" w:type="dxa"/>
            <w:noWrap/>
            <w:hideMark/>
          </w:tcPr>
          <w:p w14:paraId="46815C40" w14:textId="77777777" w:rsidR="00DB7E13" w:rsidRPr="00DB7E13" w:rsidRDefault="00DB7E13" w:rsidP="00BD1D65">
            <w:pPr>
              <w:jc w:val="both"/>
            </w:pPr>
            <w:r w:rsidRPr="00DB7E13">
              <w:t>50%</w:t>
            </w:r>
          </w:p>
        </w:tc>
        <w:tc>
          <w:tcPr>
            <w:tcW w:w="3828" w:type="dxa"/>
            <w:noWrap/>
            <w:hideMark/>
          </w:tcPr>
          <w:p w14:paraId="6BBCE9AD" w14:textId="77777777" w:rsidR="00DB7E13" w:rsidRPr="00DB7E13" w:rsidRDefault="00DB7E13" w:rsidP="00BD1D65">
            <w:pPr>
              <w:jc w:val="both"/>
            </w:pPr>
            <w:r w:rsidRPr="00DB7E13">
              <w:t>89%</w:t>
            </w:r>
          </w:p>
        </w:tc>
      </w:tr>
      <w:tr w:rsidR="00DB7E13" w:rsidRPr="00DB7E13" w14:paraId="6D4F6FA7" w14:textId="77777777" w:rsidTr="001C7CDD">
        <w:trPr>
          <w:trHeight w:val="320"/>
        </w:trPr>
        <w:tc>
          <w:tcPr>
            <w:tcW w:w="3539" w:type="dxa"/>
            <w:noWrap/>
            <w:hideMark/>
          </w:tcPr>
          <w:p w14:paraId="21B69C91" w14:textId="77777777" w:rsidR="00DB7E13" w:rsidRPr="00DB7E13" w:rsidRDefault="00DB7E13" w:rsidP="001C4B6F">
            <w:r w:rsidRPr="00DB7E13">
              <w:t>Technical textiles - textile furniture</w:t>
            </w:r>
          </w:p>
        </w:tc>
        <w:tc>
          <w:tcPr>
            <w:tcW w:w="2126" w:type="dxa"/>
            <w:noWrap/>
            <w:hideMark/>
          </w:tcPr>
          <w:p w14:paraId="75A1271C" w14:textId="77777777" w:rsidR="00DB7E13" w:rsidRPr="00DB7E13" w:rsidRDefault="00DB7E13" w:rsidP="00BD1D65">
            <w:pPr>
              <w:jc w:val="both"/>
            </w:pPr>
            <w:r w:rsidRPr="00DB7E13">
              <w:t>50%</w:t>
            </w:r>
          </w:p>
        </w:tc>
        <w:tc>
          <w:tcPr>
            <w:tcW w:w="3828" w:type="dxa"/>
            <w:noWrap/>
            <w:hideMark/>
          </w:tcPr>
          <w:p w14:paraId="42666577" w14:textId="77777777" w:rsidR="00DB7E13" w:rsidRPr="00DB7E13" w:rsidRDefault="00DB7E13" w:rsidP="00BD1D65">
            <w:pPr>
              <w:jc w:val="both"/>
            </w:pPr>
            <w:r w:rsidRPr="00DB7E13">
              <w:t>89%</w:t>
            </w:r>
          </w:p>
        </w:tc>
      </w:tr>
      <w:tr w:rsidR="00DB7E13" w:rsidRPr="00DB7E13" w14:paraId="6BB7F824" w14:textId="77777777" w:rsidTr="001C7CDD">
        <w:trPr>
          <w:trHeight w:val="320"/>
        </w:trPr>
        <w:tc>
          <w:tcPr>
            <w:tcW w:w="3539" w:type="dxa"/>
            <w:noWrap/>
            <w:hideMark/>
          </w:tcPr>
          <w:p w14:paraId="1B7B4950" w14:textId="77777777" w:rsidR="00DB7E13" w:rsidRPr="00DB7E13" w:rsidRDefault="00DB7E13" w:rsidP="001C4B6F">
            <w:r w:rsidRPr="00DB7E13">
              <w:t>Technical textiles - other technical textiles</w:t>
            </w:r>
          </w:p>
        </w:tc>
        <w:tc>
          <w:tcPr>
            <w:tcW w:w="2126" w:type="dxa"/>
            <w:noWrap/>
            <w:hideMark/>
          </w:tcPr>
          <w:p w14:paraId="63B84E43" w14:textId="77777777" w:rsidR="00DB7E13" w:rsidRPr="00DB7E13" w:rsidRDefault="00DB7E13" w:rsidP="00BD1D65">
            <w:pPr>
              <w:jc w:val="both"/>
            </w:pPr>
            <w:r w:rsidRPr="00DB7E13">
              <w:t>0%</w:t>
            </w:r>
          </w:p>
        </w:tc>
        <w:tc>
          <w:tcPr>
            <w:tcW w:w="3828" w:type="dxa"/>
            <w:noWrap/>
            <w:hideMark/>
          </w:tcPr>
          <w:p w14:paraId="309F5621" w14:textId="77777777" w:rsidR="00DB7E13" w:rsidRPr="00DB7E13" w:rsidRDefault="00DB7E13" w:rsidP="00BD1D65">
            <w:pPr>
              <w:jc w:val="both"/>
            </w:pPr>
            <w:r w:rsidRPr="00DB7E13">
              <w:t>89%</w:t>
            </w:r>
          </w:p>
        </w:tc>
      </w:tr>
    </w:tbl>
    <w:p w14:paraId="1BE88C35" w14:textId="77777777" w:rsidR="00AA6A6E" w:rsidRPr="00C277F1" w:rsidRDefault="00AA6A6E" w:rsidP="00BD1D65">
      <w:pPr>
        <w:jc w:val="both"/>
        <w:rPr>
          <w:lang w:val="en-GB"/>
        </w:rPr>
      </w:pPr>
    </w:p>
    <w:p w14:paraId="6D39E486" w14:textId="7882912B" w:rsidR="00DA6C5A" w:rsidRDefault="00DA6C5A" w:rsidP="00BD1D65">
      <w:pPr>
        <w:pStyle w:val="Caption"/>
      </w:pPr>
      <w:r>
        <w:rPr>
          <w:b/>
          <w:bCs/>
        </w:rPr>
        <w:t xml:space="preserve">Table </w:t>
      </w:r>
      <w:r w:rsidR="007912A0">
        <w:rPr>
          <w:b/>
          <w:bCs/>
        </w:rPr>
        <w:t>4</w:t>
      </w:r>
      <w:r w:rsidRPr="007228AE">
        <w:rPr>
          <w:b/>
          <w:bCs/>
        </w:rPr>
        <w:t>:</w:t>
      </w:r>
      <w:r>
        <w:t xml:space="preserve"> </w:t>
      </w:r>
      <w:r w:rsidRPr="00ED60E3">
        <w:t>Decomposition of the downcycling cascade for the mechanical recycling unit.</w:t>
      </w:r>
    </w:p>
    <w:p w14:paraId="56F68F5F" w14:textId="1207C97C" w:rsidR="002D7C14" w:rsidRDefault="002D7C14" w:rsidP="00BD1D65">
      <w:pPr>
        <w:jc w:val="both"/>
        <w:rPr>
          <w:lang w:val="en-GB"/>
        </w:rPr>
      </w:pPr>
      <w:r w:rsidRPr="00AA6A6E">
        <w:rPr>
          <w:lang w:val="en-GB"/>
        </w:rPr>
        <w:t xml:space="preserve">The </w:t>
      </w:r>
      <w:r>
        <w:rPr>
          <w:lang w:val="en-GB"/>
        </w:rPr>
        <w:t>prospective collection rates</w:t>
      </w:r>
      <w:r w:rsidRPr="00AA6A6E">
        <w:rPr>
          <w:lang w:val="en-GB"/>
        </w:rPr>
        <w:t xml:space="preserve"> w</w:t>
      </w:r>
      <w:r>
        <w:rPr>
          <w:lang w:val="en-GB"/>
        </w:rPr>
        <w:t>ere</w:t>
      </w:r>
      <w:r w:rsidRPr="00AA6A6E">
        <w:rPr>
          <w:lang w:val="en-GB"/>
        </w:rPr>
        <w:t xml:space="preserve"> </w:t>
      </w:r>
      <w:r>
        <w:rPr>
          <w:lang w:val="en-GB"/>
        </w:rPr>
        <w:t xml:space="preserve">adapted from the </w:t>
      </w:r>
      <w:r w:rsidRPr="00AA6A6E">
        <w:rPr>
          <w:lang w:val="en-GB"/>
        </w:rPr>
        <w:t>Klotz et al.</w:t>
      </w:r>
      <w:r w:rsidR="00444956" w:rsidRPr="00444956">
        <w:rPr>
          <w:lang w:val="en-GB"/>
        </w:rPr>
        <w:t xml:space="preserve"> </w:t>
      </w:r>
      <w:r w:rsidR="00444956">
        <w:rPr>
          <w:lang w:val="en-GB"/>
        </w:rPr>
        <w:fldChar w:fldCharType="begin"/>
      </w:r>
      <w:r w:rsidR="002E57F4">
        <w:rPr>
          <w:lang w:val="en-GB"/>
        </w:rPr>
        <w:instrText xml:space="preserve"> ADDIN ZOTERO_ITEM CSL_CITATION {"citationID":"Nwn0HwBq","properties":{"unsorted":false,"formattedCitation":"[6]","plainCitation":"[6]","noteIndex":0},"citationItems":[{"id":13456,"uris":["http://zotero.org/users/12598273/items/IZ7YPLFM"],"itemData":{"id":13456,"type":"article-journal","abstract":"Plastics consumption continues to steeply increase worldwide, while resultant waste is currently mostly landfilled, discarded to the environment, or incinerated. This significantly contributes to global warming and causes negative health and ecosystem effects. Increasing the circularity of plastics can reduce these impacts. This study investigated to which extent plastics’ circularity can be increased by mechanical recycling. For this purpose, future scenarios involving increased waste collection, improved product design, and improved waste sorting were assessed. The system studied consists of 11 plastic types in 69 product groups consumed and arising as waste in Switzerland. By means of a material flow analysis, the amounts of consumption, waste, and secondary material utilizable in product manufacturing were quantified for the year 2040. For the waste not mechanically recycled, treatment situations mainly involving energy recovery in waste-to-energy plants and cement kilns were modeled. A life cycle assessment of the complete plastic material flow system was conducted. We found that the mechanical recycling rate calculated based on the utilizable secondary material can be increased to up to 31%. This can lower the plastic carbon footprint by one quarter (1.3% of today’s total Swiss carbon footprint) compared to no recycling. Important barriers to a further increase of the recycling rate were inaccessibility, the large diversity of plastic grades, and contamination. The remaining impact at maximum recycling is mainly caused by polyurethanes, polypropylene, and polystyrene production. In conclusion, the potential of mechanical plastic recycling is limited, but it can, as one of several measures, contribute to combating climate change.","citation-key":"klotzPotentialsLimitsMechanical2023","container-title":"Journal of Industrial Ecology","DOI":"10.1111/jiec.13393","ISSN":"1088-1980, 1530-9290","issue":"4","journalAbbreviation":"J of Industrial Ecology","language":"en","page":"1043-1059","source":"DOI.org (Crossref)","title":"Potentials and limits of mechanical plastic recycling","volume":"27","author":[{"family":"Klotz","given":"Magdalena"},{"family":"Haupt","given":"Melanie"},{"family":"Hellweg","given":"Stefanie"}],"issued":{"date-parts":[["2023",8]]}}}],"schema":"https://github.com/citation-style-language/schema/raw/master/csl-citation.json"} </w:instrText>
      </w:r>
      <w:r w:rsidR="00444956">
        <w:rPr>
          <w:lang w:val="en-GB"/>
        </w:rPr>
        <w:fldChar w:fldCharType="separate"/>
      </w:r>
      <w:r w:rsidR="002E57F4">
        <w:rPr>
          <w:noProof/>
          <w:lang w:val="en-GB"/>
        </w:rPr>
        <w:t>[6]</w:t>
      </w:r>
      <w:r w:rsidR="00444956">
        <w:rPr>
          <w:lang w:val="en-GB"/>
        </w:rPr>
        <w:fldChar w:fldCharType="end"/>
      </w:r>
      <w:r w:rsidRPr="00E50B95">
        <w:rPr>
          <w:lang w:val="en-GB"/>
        </w:rPr>
        <w:t>.</w:t>
      </w:r>
    </w:p>
    <w:p w14:paraId="33837D24" w14:textId="77777777" w:rsidR="008A0CF9" w:rsidRPr="002D7C14" w:rsidRDefault="008A0CF9" w:rsidP="00BD1D65">
      <w:pPr>
        <w:jc w:val="both"/>
        <w:rPr>
          <w:lang w:val="en-GB"/>
        </w:rPr>
      </w:pPr>
    </w:p>
    <w:p w14:paraId="4ACF7325" w14:textId="73EF36F7" w:rsidR="00A35BBF" w:rsidRDefault="004008FC" w:rsidP="00BD1D65">
      <w:pPr>
        <w:pStyle w:val="Heading2"/>
        <w:jc w:val="both"/>
      </w:pPr>
      <w:bookmarkStart w:id="8" w:name="_Toc234499921"/>
      <w:r>
        <w:t>S-M1.</w:t>
      </w:r>
      <w:r w:rsidR="00E80B2E">
        <w:t>5</w:t>
      </w:r>
      <w:r>
        <w:t xml:space="preserve"> D</w:t>
      </w:r>
      <w:r w:rsidRPr="00BC31F7">
        <w:t>istribution of material flows among the various technologies</w:t>
      </w:r>
      <w:bookmarkEnd w:id="8"/>
    </w:p>
    <w:p w14:paraId="03D71F8F" w14:textId="06769F11" w:rsidR="00E129D3" w:rsidRDefault="000851FB" w:rsidP="00BD1D65">
      <w:pPr>
        <w:jc w:val="both"/>
      </w:pPr>
      <w:r>
        <w:t xml:space="preserve">The collected material flows can be distributed among various technologies or treatment pathways, depending on the characteristics of the waste stream. The routing of material flows by sector is presented in Table </w:t>
      </w:r>
      <w:r w:rsidR="002E7BB6">
        <w:t>5</w:t>
      </w:r>
      <w:r>
        <w:t xml:space="preserve"> . A value of 1 indicates that the waste can be treated via the given pathway, whereas 0 indicates otherwise.</w:t>
      </w:r>
    </w:p>
    <w:p w14:paraId="49AE3E18" w14:textId="77777777" w:rsidR="002E7BB6" w:rsidRDefault="002E7BB6" w:rsidP="00BD1D65">
      <w:pPr>
        <w:jc w:val="both"/>
      </w:pPr>
    </w:p>
    <w:tbl>
      <w:tblPr>
        <w:tblStyle w:val="TableGridLight"/>
        <w:tblpPr w:leftFromText="180" w:rightFromText="180" w:vertAnchor="text" w:horzAnchor="margin" w:tblpY="128"/>
        <w:tblW w:w="9351" w:type="dxa"/>
        <w:tblLook w:val="04A0" w:firstRow="1" w:lastRow="0" w:firstColumn="1" w:lastColumn="0" w:noHBand="0" w:noVBand="1"/>
      </w:tblPr>
      <w:tblGrid>
        <w:gridCol w:w="1995"/>
        <w:gridCol w:w="1392"/>
        <w:gridCol w:w="1336"/>
        <w:gridCol w:w="1522"/>
        <w:gridCol w:w="1243"/>
        <w:gridCol w:w="870"/>
        <w:gridCol w:w="1243"/>
      </w:tblGrid>
      <w:tr w:rsidR="00FC1E0C" w14:paraId="3B87CA50" w14:textId="77777777" w:rsidTr="002E7BB6">
        <w:trPr>
          <w:trHeight w:val="318"/>
        </w:trPr>
        <w:tc>
          <w:tcPr>
            <w:tcW w:w="1995" w:type="dxa"/>
            <w:noWrap/>
            <w:hideMark/>
          </w:tcPr>
          <w:p w14:paraId="39D81417" w14:textId="53A560CE" w:rsidR="00FC1E0C" w:rsidRDefault="00C54785" w:rsidP="00BD1D65">
            <w:pPr>
              <w:jc w:val="both"/>
            </w:pPr>
            <w:r>
              <w:t>C</w:t>
            </w:r>
            <w:r w:rsidR="00FC1E0C">
              <w:t>ategory</w:t>
            </w:r>
          </w:p>
        </w:tc>
        <w:tc>
          <w:tcPr>
            <w:tcW w:w="1392" w:type="dxa"/>
            <w:noWrap/>
            <w:hideMark/>
          </w:tcPr>
          <w:p w14:paraId="3187778B" w14:textId="6A92F729" w:rsidR="00FC1E0C" w:rsidRDefault="00FC1E0C" w:rsidP="00306D76">
            <w:r>
              <w:t>Incineration</w:t>
            </w:r>
            <w:r w:rsidR="002B57EB">
              <w:t xml:space="preserve"> (with or without CCS)</w:t>
            </w:r>
          </w:p>
        </w:tc>
        <w:tc>
          <w:tcPr>
            <w:tcW w:w="1336" w:type="dxa"/>
            <w:noWrap/>
            <w:hideMark/>
          </w:tcPr>
          <w:p w14:paraId="3501EA63" w14:textId="77777777" w:rsidR="00FC1E0C" w:rsidRDefault="00FC1E0C" w:rsidP="00BD1D65">
            <w:pPr>
              <w:jc w:val="both"/>
            </w:pPr>
            <w:r>
              <w:t>Mechanical Recycling</w:t>
            </w:r>
          </w:p>
        </w:tc>
        <w:tc>
          <w:tcPr>
            <w:tcW w:w="1522" w:type="dxa"/>
            <w:noWrap/>
            <w:hideMark/>
          </w:tcPr>
          <w:p w14:paraId="2589981B" w14:textId="77777777" w:rsidR="00FC1E0C" w:rsidRDefault="00FC1E0C" w:rsidP="00BD1D65">
            <w:pPr>
              <w:jc w:val="both"/>
            </w:pPr>
            <w:r>
              <w:t>Methanolysis</w:t>
            </w:r>
          </w:p>
        </w:tc>
        <w:tc>
          <w:tcPr>
            <w:tcW w:w="1166" w:type="dxa"/>
            <w:noWrap/>
            <w:hideMark/>
          </w:tcPr>
          <w:p w14:paraId="2A9D09DE" w14:textId="77777777" w:rsidR="00FC1E0C" w:rsidRDefault="00FC1E0C" w:rsidP="00BD1D65">
            <w:pPr>
              <w:jc w:val="both"/>
            </w:pPr>
            <w:r>
              <w:t>Glycolysis</w:t>
            </w:r>
          </w:p>
        </w:tc>
        <w:tc>
          <w:tcPr>
            <w:tcW w:w="854" w:type="dxa"/>
            <w:noWrap/>
            <w:hideMark/>
          </w:tcPr>
          <w:p w14:paraId="65905D1E" w14:textId="1DFFE4FE" w:rsidR="00FC1E0C" w:rsidRDefault="00FC1E0C" w:rsidP="00BD1D65">
            <w:pPr>
              <w:jc w:val="both"/>
            </w:pPr>
            <w:r>
              <w:t>Export</w:t>
            </w:r>
          </w:p>
        </w:tc>
        <w:tc>
          <w:tcPr>
            <w:tcW w:w="1086" w:type="dxa"/>
            <w:noWrap/>
            <w:hideMark/>
          </w:tcPr>
          <w:p w14:paraId="6E512F12" w14:textId="13BFFECF" w:rsidR="00FC1E0C" w:rsidRDefault="00FC1E0C" w:rsidP="00BD1D65">
            <w:pPr>
              <w:jc w:val="both"/>
            </w:pPr>
            <w:r>
              <w:t>Enzymatic hydrolysis</w:t>
            </w:r>
          </w:p>
        </w:tc>
      </w:tr>
      <w:tr w:rsidR="00FC1E0C" w14:paraId="7C773295" w14:textId="77777777" w:rsidTr="002E7BB6">
        <w:trPr>
          <w:trHeight w:val="318"/>
        </w:trPr>
        <w:tc>
          <w:tcPr>
            <w:tcW w:w="1995" w:type="dxa"/>
            <w:noWrap/>
            <w:hideMark/>
          </w:tcPr>
          <w:p w14:paraId="636933CE" w14:textId="77777777" w:rsidR="00FC1E0C" w:rsidRDefault="00FC1E0C" w:rsidP="00BD1D65">
            <w:pPr>
              <w:jc w:val="both"/>
            </w:pPr>
            <w:r>
              <w:t xml:space="preserve"> Food bottles </w:t>
            </w:r>
          </w:p>
        </w:tc>
        <w:tc>
          <w:tcPr>
            <w:tcW w:w="1392" w:type="dxa"/>
            <w:noWrap/>
            <w:hideMark/>
          </w:tcPr>
          <w:p w14:paraId="55F55062" w14:textId="77777777" w:rsidR="00FC1E0C" w:rsidRDefault="00FC1E0C" w:rsidP="00BD1D65">
            <w:pPr>
              <w:jc w:val="both"/>
            </w:pPr>
            <w:r>
              <w:t>1</w:t>
            </w:r>
          </w:p>
        </w:tc>
        <w:tc>
          <w:tcPr>
            <w:tcW w:w="1336" w:type="dxa"/>
            <w:noWrap/>
            <w:hideMark/>
          </w:tcPr>
          <w:p w14:paraId="3F19A4AE" w14:textId="77777777" w:rsidR="00FC1E0C" w:rsidRDefault="00FC1E0C" w:rsidP="00BD1D65">
            <w:pPr>
              <w:jc w:val="both"/>
            </w:pPr>
            <w:r>
              <w:t>1</w:t>
            </w:r>
          </w:p>
        </w:tc>
        <w:tc>
          <w:tcPr>
            <w:tcW w:w="1522" w:type="dxa"/>
            <w:noWrap/>
            <w:hideMark/>
          </w:tcPr>
          <w:p w14:paraId="55CF8253" w14:textId="77777777" w:rsidR="00FC1E0C" w:rsidRDefault="00FC1E0C" w:rsidP="00BD1D65">
            <w:pPr>
              <w:jc w:val="both"/>
            </w:pPr>
            <w:r>
              <w:t>1</w:t>
            </w:r>
          </w:p>
        </w:tc>
        <w:tc>
          <w:tcPr>
            <w:tcW w:w="1166" w:type="dxa"/>
            <w:noWrap/>
            <w:hideMark/>
          </w:tcPr>
          <w:p w14:paraId="14C77F33" w14:textId="77777777" w:rsidR="00FC1E0C" w:rsidRDefault="00FC1E0C" w:rsidP="00BD1D65">
            <w:pPr>
              <w:jc w:val="both"/>
            </w:pPr>
            <w:r>
              <w:t>1</w:t>
            </w:r>
          </w:p>
        </w:tc>
        <w:tc>
          <w:tcPr>
            <w:tcW w:w="854" w:type="dxa"/>
            <w:noWrap/>
            <w:hideMark/>
          </w:tcPr>
          <w:p w14:paraId="44678139" w14:textId="77777777" w:rsidR="00FC1E0C" w:rsidRDefault="00FC1E0C" w:rsidP="00BD1D65">
            <w:pPr>
              <w:jc w:val="both"/>
            </w:pPr>
            <w:r>
              <w:t>0</w:t>
            </w:r>
          </w:p>
        </w:tc>
        <w:tc>
          <w:tcPr>
            <w:tcW w:w="1086" w:type="dxa"/>
            <w:noWrap/>
            <w:hideMark/>
          </w:tcPr>
          <w:p w14:paraId="51D53C4D" w14:textId="77777777" w:rsidR="00FC1E0C" w:rsidRDefault="00FC1E0C" w:rsidP="00BD1D65">
            <w:pPr>
              <w:jc w:val="both"/>
            </w:pPr>
            <w:r>
              <w:t>1</w:t>
            </w:r>
          </w:p>
        </w:tc>
      </w:tr>
      <w:tr w:rsidR="00FC1E0C" w14:paraId="15294CEA" w14:textId="77777777" w:rsidTr="002E7BB6">
        <w:trPr>
          <w:trHeight w:val="318"/>
        </w:trPr>
        <w:tc>
          <w:tcPr>
            <w:tcW w:w="1995" w:type="dxa"/>
            <w:noWrap/>
            <w:hideMark/>
          </w:tcPr>
          <w:p w14:paraId="03DC6B74" w14:textId="77777777" w:rsidR="00FC1E0C" w:rsidRDefault="00FC1E0C" w:rsidP="00BD1D65">
            <w:pPr>
              <w:jc w:val="both"/>
            </w:pPr>
            <w:r>
              <w:t xml:space="preserve"> Food PTTs </w:t>
            </w:r>
          </w:p>
        </w:tc>
        <w:tc>
          <w:tcPr>
            <w:tcW w:w="1392" w:type="dxa"/>
            <w:noWrap/>
            <w:hideMark/>
          </w:tcPr>
          <w:p w14:paraId="3A12F537" w14:textId="77777777" w:rsidR="00FC1E0C" w:rsidRDefault="00FC1E0C" w:rsidP="00BD1D65">
            <w:pPr>
              <w:jc w:val="both"/>
            </w:pPr>
            <w:r>
              <w:t>1</w:t>
            </w:r>
          </w:p>
        </w:tc>
        <w:tc>
          <w:tcPr>
            <w:tcW w:w="1336" w:type="dxa"/>
            <w:noWrap/>
            <w:hideMark/>
          </w:tcPr>
          <w:p w14:paraId="0456220A" w14:textId="77777777" w:rsidR="00FC1E0C" w:rsidRDefault="00FC1E0C" w:rsidP="00BD1D65">
            <w:pPr>
              <w:jc w:val="both"/>
            </w:pPr>
            <w:r>
              <w:t>1</w:t>
            </w:r>
          </w:p>
        </w:tc>
        <w:tc>
          <w:tcPr>
            <w:tcW w:w="1522" w:type="dxa"/>
            <w:noWrap/>
            <w:hideMark/>
          </w:tcPr>
          <w:p w14:paraId="7764920D" w14:textId="77777777" w:rsidR="00FC1E0C" w:rsidRDefault="00FC1E0C" w:rsidP="00BD1D65">
            <w:pPr>
              <w:jc w:val="both"/>
            </w:pPr>
            <w:r>
              <w:t>1</w:t>
            </w:r>
          </w:p>
        </w:tc>
        <w:tc>
          <w:tcPr>
            <w:tcW w:w="1166" w:type="dxa"/>
            <w:noWrap/>
            <w:hideMark/>
          </w:tcPr>
          <w:p w14:paraId="6843F44E" w14:textId="77777777" w:rsidR="00FC1E0C" w:rsidRDefault="00FC1E0C" w:rsidP="00BD1D65">
            <w:pPr>
              <w:jc w:val="both"/>
            </w:pPr>
            <w:r>
              <w:t>1</w:t>
            </w:r>
          </w:p>
        </w:tc>
        <w:tc>
          <w:tcPr>
            <w:tcW w:w="854" w:type="dxa"/>
            <w:noWrap/>
            <w:hideMark/>
          </w:tcPr>
          <w:p w14:paraId="120050A5" w14:textId="77777777" w:rsidR="00FC1E0C" w:rsidRDefault="00FC1E0C" w:rsidP="00BD1D65">
            <w:pPr>
              <w:jc w:val="both"/>
            </w:pPr>
            <w:r>
              <w:t>0</w:t>
            </w:r>
          </w:p>
        </w:tc>
        <w:tc>
          <w:tcPr>
            <w:tcW w:w="1086" w:type="dxa"/>
            <w:noWrap/>
            <w:hideMark/>
          </w:tcPr>
          <w:p w14:paraId="31228A88" w14:textId="77777777" w:rsidR="00FC1E0C" w:rsidRDefault="00FC1E0C" w:rsidP="00BD1D65">
            <w:pPr>
              <w:jc w:val="both"/>
            </w:pPr>
            <w:r>
              <w:t>1</w:t>
            </w:r>
          </w:p>
        </w:tc>
      </w:tr>
      <w:tr w:rsidR="00FC1E0C" w14:paraId="38ED2407" w14:textId="77777777" w:rsidTr="002E7BB6">
        <w:trPr>
          <w:trHeight w:val="318"/>
        </w:trPr>
        <w:tc>
          <w:tcPr>
            <w:tcW w:w="1995" w:type="dxa"/>
            <w:noWrap/>
            <w:hideMark/>
          </w:tcPr>
          <w:p w14:paraId="6C7867C0" w14:textId="77777777" w:rsidR="00FC1E0C" w:rsidRDefault="00FC1E0C" w:rsidP="00BD1D65">
            <w:pPr>
              <w:jc w:val="both"/>
            </w:pPr>
            <w:r>
              <w:t xml:space="preserve"> Consumer non-food bottles </w:t>
            </w:r>
          </w:p>
        </w:tc>
        <w:tc>
          <w:tcPr>
            <w:tcW w:w="1392" w:type="dxa"/>
            <w:noWrap/>
            <w:hideMark/>
          </w:tcPr>
          <w:p w14:paraId="62311A2C" w14:textId="77777777" w:rsidR="00FC1E0C" w:rsidRDefault="00FC1E0C" w:rsidP="00BD1D65">
            <w:pPr>
              <w:jc w:val="both"/>
            </w:pPr>
            <w:r>
              <w:t>1</w:t>
            </w:r>
          </w:p>
        </w:tc>
        <w:tc>
          <w:tcPr>
            <w:tcW w:w="1336" w:type="dxa"/>
            <w:noWrap/>
            <w:hideMark/>
          </w:tcPr>
          <w:p w14:paraId="10C5F9B5" w14:textId="77777777" w:rsidR="00FC1E0C" w:rsidRDefault="00FC1E0C" w:rsidP="00BD1D65">
            <w:pPr>
              <w:jc w:val="both"/>
            </w:pPr>
            <w:r>
              <w:t>1</w:t>
            </w:r>
          </w:p>
        </w:tc>
        <w:tc>
          <w:tcPr>
            <w:tcW w:w="1522" w:type="dxa"/>
            <w:noWrap/>
            <w:hideMark/>
          </w:tcPr>
          <w:p w14:paraId="16094190" w14:textId="77777777" w:rsidR="00FC1E0C" w:rsidRDefault="00FC1E0C" w:rsidP="00BD1D65">
            <w:pPr>
              <w:jc w:val="both"/>
            </w:pPr>
            <w:r>
              <w:t>1</w:t>
            </w:r>
          </w:p>
        </w:tc>
        <w:tc>
          <w:tcPr>
            <w:tcW w:w="1166" w:type="dxa"/>
            <w:noWrap/>
            <w:hideMark/>
          </w:tcPr>
          <w:p w14:paraId="7C24FC9D" w14:textId="77777777" w:rsidR="00FC1E0C" w:rsidRDefault="00FC1E0C" w:rsidP="00BD1D65">
            <w:pPr>
              <w:jc w:val="both"/>
            </w:pPr>
            <w:r>
              <w:t>1</w:t>
            </w:r>
          </w:p>
        </w:tc>
        <w:tc>
          <w:tcPr>
            <w:tcW w:w="854" w:type="dxa"/>
            <w:noWrap/>
            <w:hideMark/>
          </w:tcPr>
          <w:p w14:paraId="31FC01EE" w14:textId="77777777" w:rsidR="00FC1E0C" w:rsidRDefault="00FC1E0C" w:rsidP="00BD1D65">
            <w:pPr>
              <w:jc w:val="both"/>
            </w:pPr>
            <w:r>
              <w:t>0</w:t>
            </w:r>
          </w:p>
        </w:tc>
        <w:tc>
          <w:tcPr>
            <w:tcW w:w="1086" w:type="dxa"/>
            <w:noWrap/>
            <w:hideMark/>
          </w:tcPr>
          <w:p w14:paraId="2BE2DAB5" w14:textId="77777777" w:rsidR="00FC1E0C" w:rsidRDefault="00FC1E0C" w:rsidP="00BD1D65">
            <w:pPr>
              <w:jc w:val="both"/>
            </w:pPr>
            <w:r>
              <w:t>1</w:t>
            </w:r>
          </w:p>
        </w:tc>
      </w:tr>
      <w:tr w:rsidR="00FC1E0C" w14:paraId="4B2CC570" w14:textId="77777777" w:rsidTr="002E7BB6">
        <w:trPr>
          <w:trHeight w:val="318"/>
        </w:trPr>
        <w:tc>
          <w:tcPr>
            <w:tcW w:w="1995" w:type="dxa"/>
            <w:noWrap/>
            <w:hideMark/>
          </w:tcPr>
          <w:p w14:paraId="7C8BE4F3" w14:textId="77777777" w:rsidR="00FC1E0C" w:rsidRDefault="00FC1E0C" w:rsidP="00BD1D65">
            <w:pPr>
              <w:jc w:val="both"/>
            </w:pPr>
            <w:r>
              <w:t xml:space="preserve"> Consumer non-food PTTs </w:t>
            </w:r>
          </w:p>
        </w:tc>
        <w:tc>
          <w:tcPr>
            <w:tcW w:w="1392" w:type="dxa"/>
            <w:noWrap/>
            <w:hideMark/>
          </w:tcPr>
          <w:p w14:paraId="1DDB3843" w14:textId="77777777" w:rsidR="00FC1E0C" w:rsidRDefault="00FC1E0C" w:rsidP="00BD1D65">
            <w:pPr>
              <w:jc w:val="both"/>
            </w:pPr>
            <w:r>
              <w:t>1</w:t>
            </w:r>
          </w:p>
        </w:tc>
        <w:tc>
          <w:tcPr>
            <w:tcW w:w="1336" w:type="dxa"/>
            <w:noWrap/>
            <w:hideMark/>
          </w:tcPr>
          <w:p w14:paraId="7E0A3116" w14:textId="77777777" w:rsidR="00FC1E0C" w:rsidRDefault="00FC1E0C" w:rsidP="00BD1D65">
            <w:pPr>
              <w:jc w:val="both"/>
            </w:pPr>
            <w:r>
              <w:t>1</w:t>
            </w:r>
          </w:p>
        </w:tc>
        <w:tc>
          <w:tcPr>
            <w:tcW w:w="1522" w:type="dxa"/>
            <w:noWrap/>
            <w:hideMark/>
          </w:tcPr>
          <w:p w14:paraId="680A1585" w14:textId="77777777" w:rsidR="00FC1E0C" w:rsidRDefault="00FC1E0C" w:rsidP="00BD1D65">
            <w:pPr>
              <w:jc w:val="both"/>
            </w:pPr>
            <w:r>
              <w:t>1</w:t>
            </w:r>
          </w:p>
        </w:tc>
        <w:tc>
          <w:tcPr>
            <w:tcW w:w="1166" w:type="dxa"/>
            <w:noWrap/>
            <w:hideMark/>
          </w:tcPr>
          <w:p w14:paraId="65E88B2C" w14:textId="77777777" w:rsidR="00FC1E0C" w:rsidRDefault="00FC1E0C" w:rsidP="00BD1D65">
            <w:pPr>
              <w:jc w:val="both"/>
            </w:pPr>
            <w:r>
              <w:t>1</w:t>
            </w:r>
          </w:p>
        </w:tc>
        <w:tc>
          <w:tcPr>
            <w:tcW w:w="854" w:type="dxa"/>
            <w:noWrap/>
            <w:hideMark/>
          </w:tcPr>
          <w:p w14:paraId="252FFA7E" w14:textId="77777777" w:rsidR="00FC1E0C" w:rsidRDefault="00FC1E0C" w:rsidP="00BD1D65">
            <w:pPr>
              <w:jc w:val="both"/>
            </w:pPr>
            <w:r>
              <w:t>0</w:t>
            </w:r>
          </w:p>
        </w:tc>
        <w:tc>
          <w:tcPr>
            <w:tcW w:w="1086" w:type="dxa"/>
            <w:noWrap/>
            <w:hideMark/>
          </w:tcPr>
          <w:p w14:paraId="3CA96FA4" w14:textId="77777777" w:rsidR="00FC1E0C" w:rsidRDefault="00FC1E0C" w:rsidP="00BD1D65">
            <w:pPr>
              <w:jc w:val="both"/>
            </w:pPr>
            <w:r>
              <w:t>1</w:t>
            </w:r>
          </w:p>
        </w:tc>
      </w:tr>
      <w:tr w:rsidR="00FC1E0C" w14:paraId="320D342C" w14:textId="77777777" w:rsidTr="002E7BB6">
        <w:trPr>
          <w:trHeight w:val="318"/>
        </w:trPr>
        <w:tc>
          <w:tcPr>
            <w:tcW w:w="1995" w:type="dxa"/>
            <w:noWrap/>
            <w:hideMark/>
          </w:tcPr>
          <w:p w14:paraId="0F9F31E2" w14:textId="77777777" w:rsidR="00FC1E0C" w:rsidRDefault="00FC1E0C" w:rsidP="00BD1D65">
            <w:pPr>
              <w:jc w:val="both"/>
            </w:pPr>
            <w:r>
              <w:t xml:space="preserve"> Non-consumer packaging C&amp;I - hospitality - bottles </w:t>
            </w:r>
          </w:p>
        </w:tc>
        <w:tc>
          <w:tcPr>
            <w:tcW w:w="1392" w:type="dxa"/>
            <w:noWrap/>
            <w:hideMark/>
          </w:tcPr>
          <w:p w14:paraId="6949568F" w14:textId="77777777" w:rsidR="00FC1E0C" w:rsidRDefault="00FC1E0C" w:rsidP="00BD1D65">
            <w:pPr>
              <w:jc w:val="both"/>
            </w:pPr>
            <w:r>
              <w:t>1</w:t>
            </w:r>
          </w:p>
        </w:tc>
        <w:tc>
          <w:tcPr>
            <w:tcW w:w="1336" w:type="dxa"/>
            <w:noWrap/>
            <w:hideMark/>
          </w:tcPr>
          <w:p w14:paraId="3D8A9347" w14:textId="77777777" w:rsidR="00FC1E0C" w:rsidRDefault="00FC1E0C" w:rsidP="00BD1D65">
            <w:pPr>
              <w:jc w:val="both"/>
            </w:pPr>
            <w:r>
              <w:t>1</w:t>
            </w:r>
          </w:p>
        </w:tc>
        <w:tc>
          <w:tcPr>
            <w:tcW w:w="1522" w:type="dxa"/>
            <w:noWrap/>
            <w:hideMark/>
          </w:tcPr>
          <w:p w14:paraId="0840D0C8" w14:textId="77777777" w:rsidR="00FC1E0C" w:rsidRDefault="00FC1E0C" w:rsidP="00BD1D65">
            <w:pPr>
              <w:jc w:val="both"/>
            </w:pPr>
            <w:r>
              <w:t>1</w:t>
            </w:r>
          </w:p>
        </w:tc>
        <w:tc>
          <w:tcPr>
            <w:tcW w:w="1166" w:type="dxa"/>
            <w:noWrap/>
            <w:hideMark/>
          </w:tcPr>
          <w:p w14:paraId="39962ECC" w14:textId="77777777" w:rsidR="00FC1E0C" w:rsidRDefault="00FC1E0C" w:rsidP="00BD1D65">
            <w:pPr>
              <w:jc w:val="both"/>
            </w:pPr>
            <w:r>
              <w:t>1</w:t>
            </w:r>
          </w:p>
        </w:tc>
        <w:tc>
          <w:tcPr>
            <w:tcW w:w="854" w:type="dxa"/>
            <w:noWrap/>
            <w:hideMark/>
          </w:tcPr>
          <w:p w14:paraId="518E0D0B" w14:textId="77777777" w:rsidR="00FC1E0C" w:rsidRDefault="00FC1E0C" w:rsidP="00BD1D65">
            <w:pPr>
              <w:jc w:val="both"/>
            </w:pPr>
            <w:r>
              <w:t>0</w:t>
            </w:r>
          </w:p>
        </w:tc>
        <w:tc>
          <w:tcPr>
            <w:tcW w:w="1086" w:type="dxa"/>
            <w:noWrap/>
            <w:hideMark/>
          </w:tcPr>
          <w:p w14:paraId="51973D08" w14:textId="77777777" w:rsidR="00FC1E0C" w:rsidRDefault="00FC1E0C" w:rsidP="00BD1D65">
            <w:pPr>
              <w:jc w:val="both"/>
            </w:pPr>
            <w:r>
              <w:t>1</w:t>
            </w:r>
          </w:p>
        </w:tc>
      </w:tr>
      <w:tr w:rsidR="00FC1E0C" w14:paraId="5E7ADFCA" w14:textId="77777777" w:rsidTr="002E7BB6">
        <w:trPr>
          <w:trHeight w:val="318"/>
        </w:trPr>
        <w:tc>
          <w:tcPr>
            <w:tcW w:w="1995" w:type="dxa"/>
            <w:noWrap/>
            <w:hideMark/>
          </w:tcPr>
          <w:p w14:paraId="3F9754C6" w14:textId="77777777" w:rsidR="00FC1E0C" w:rsidRDefault="00FC1E0C" w:rsidP="00BD1D65">
            <w:pPr>
              <w:jc w:val="both"/>
            </w:pPr>
            <w:r>
              <w:t>Apparel</w:t>
            </w:r>
          </w:p>
        </w:tc>
        <w:tc>
          <w:tcPr>
            <w:tcW w:w="1392" w:type="dxa"/>
            <w:noWrap/>
            <w:hideMark/>
          </w:tcPr>
          <w:p w14:paraId="2B9C1323" w14:textId="77777777" w:rsidR="00FC1E0C" w:rsidRDefault="00FC1E0C" w:rsidP="00BD1D65">
            <w:pPr>
              <w:jc w:val="both"/>
            </w:pPr>
            <w:r>
              <w:t>1</w:t>
            </w:r>
          </w:p>
        </w:tc>
        <w:tc>
          <w:tcPr>
            <w:tcW w:w="1336" w:type="dxa"/>
            <w:noWrap/>
            <w:hideMark/>
          </w:tcPr>
          <w:p w14:paraId="1D96EC13" w14:textId="77777777" w:rsidR="00FC1E0C" w:rsidRDefault="00FC1E0C" w:rsidP="00BD1D65">
            <w:pPr>
              <w:jc w:val="both"/>
            </w:pPr>
            <w:r>
              <w:t>0</w:t>
            </w:r>
          </w:p>
        </w:tc>
        <w:tc>
          <w:tcPr>
            <w:tcW w:w="1522" w:type="dxa"/>
            <w:noWrap/>
            <w:hideMark/>
          </w:tcPr>
          <w:p w14:paraId="41EB5DE2" w14:textId="77777777" w:rsidR="00FC1E0C" w:rsidRDefault="00FC1E0C" w:rsidP="00BD1D65">
            <w:pPr>
              <w:jc w:val="both"/>
            </w:pPr>
            <w:r>
              <w:t>1</w:t>
            </w:r>
          </w:p>
        </w:tc>
        <w:tc>
          <w:tcPr>
            <w:tcW w:w="1166" w:type="dxa"/>
            <w:noWrap/>
            <w:hideMark/>
          </w:tcPr>
          <w:p w14:paraId="7D7D7DCA" w14:textId="77777777" w:rsidR="00FC1E0C" w:rsidRDefault="00FC1E0C" w:rsidP="00BD1D65">
            <w:pPr>
              <w:jc w:val="both"/>
            </w:pPr>
            <w:r>
              <w:t>1</w:t>
            </w:r>
          </w:p>
        </w:tc>
        <w:tc>
          <w:tcPr>
            <w:tcW w:w="854" w:type="dxa"/>
            <w:noWrap/>
            <w:hideMark/>
          </w:tcPr>
          <w:p w14:paraId="524FB4A7" w14:textId="77777777" w:rsidR="00FC1E0C" w:rsidRDefault="00FC1E0C" w:rsidP="00BD1D65">
            <w:pPr>
              <w:jc w:val="both"/>
            </w:pPr>
            <w:r>
              <w:t>1</w:t>
            </w:r>
          </w:p>
        </w:tc>
        <w:tc>
          <w:tcPr>
            <w:tcW w:w="1086" w:type="dxa"/>
            <w:noWrap/>
            <w:hideMark/>
          </w:tcPr>
          <w:p w14:paraId="56D257B0" w14:textId="77777777" w:rsidR="00FC1E0C" w:rsidRDefault="00FC1E0C" w:rsidP="00BD1D65">
            <w:pPr>
              <w:jc w:val="both"/>
            </w:pPr>
            <w:r>
              <w:t>1</w:t>
            </w:r>
          </w:p>
        </w:tc>
      </w:tr>
      <w:tr w:rsidR="00FC1E0C" w14:paraId="0C5971F0" w14:textId="77777777" w:rsidTr="002E7BB6">
        <w:trPr>
          <w:trHeight w:val="318"/>
        </w:trPr>
        <w:tc>
          <w:tcPr>
            <w:tcW w:w="1995" w:type="dxa"/>
            <w:noWrap/>
            <w:hideMark/>
          </w:tcPr>
          <w:p w14:paraId="2AE834F5" w14:textId="77777777" w:rsidR="00FC1E0C" w:rsidRDefault="00FC1E0C" w:rsidP="00BD1D65">
            <w:pPr>
              <w:jc w:val="both"/>
            </w:pPr>
            <w:r>
              <w:t>Household textiles</w:t>
            </w:r>
          </w:p>
        </w:tc>
        <w:tc>
          <w:tcPr>
            <w:tcW w:w="1392" w:type="dxa"/>
            <w:noWrap/>
            <w:hideMark/>
          </w:tcPr>
          <w:p w14:paraId="2944560D" w14:textId="77777777" w:rsidR="00FC1E0C" w:rsidRDefault="00FC1E0C" w:rsidP="00BD1D65">
            <w:pPr>
              <w:jc w:val="both"/>
            </w:pPr>
            <w:r>
              <w:t>1</w:t>
            </w:r>
          </w:p>
        </w:tc>
        <w:tc>
          <w:tcPr>
            <w:tcW w:w="1336" w:type="dxa"/>
            <w:noWrap/>
            <w:hideMark/>
          </w:tcPr>
          <w:p w14:paraId="3DA5E94B" w14:textId="77777777" w:rsidR="00FC1E0C" w:rsidRDefault="00FC1E0C" w:rsidP="00BD1D65">
            <w:pPr>
              <w:jc w:val="both"/>
            </w:pPr>
            <w:r>
              <w:t>0</w:t>
            </w:r>
          </w:p>
        </w:tc>
        <w:tc>
          <w:tcPr>
            <w:tcW w:w="1522" w:type="dxa"/>
            <w:noWrap/>
            <w:hideMark/>
          </w:tcPr>
          <w:p w14:paraId="20F3C168" w14:textId="77777777" w:rsidR="00FC1E0C" w:rsidRDefault="00FC1E0C" w:rsidP="00BD1D65">
            <w:pPr>
              <w:jc w:val="both"/>
            </w:pPr>
            <w:r>
              <w:t>1</w:t>
            </w:r>
          </w:p>
        </w:tc>
        <w:tc>
          <w:tcPr>
            <w:tcW w:w="1166" w:type="dxa"/>
            <w:noWrap/>
            <w:hideMark/>
          </w:tcPr>
          <w:p w14:paraId="424F807B" w14:textId="77777777" w:rsidR="00FC1E0C" w:rsidRDefault="00FC1E0C" w:rsidP="00BD1D65">
            <w:pPr>
              <w:jc w:val="both"/>
            </w:pPr>
            <w:r>
              <w:t>1</w:t>
            </w:r>
          </w:p>
        </w:tc>
        <w:tc>
          <w:tcPr>
            <w:tcW w:w="854" w:type="dxa"/>
            <w:noWrap/>
            <w:hideMark/>
          </w:tcPr>
          <w:p w14:paraId="7F00D661" w14:textId="77777777" w:rsidR="00FC1E0C" w:rsidRDefault="00FC1E0C" w:rsidP="00BD1D65">
            <w:pPr>
              <w:jc w:val="both"/>
            </w:pPr>
            <w:r>
              <w:t>1</w:t>
            </w:r>
          </w:p>
        </w:tc>
        <w:tc>
          <w:tcPr>
            <w:tcW w:w="1086" w:type="dxa"/>
            <w:noWrap/>
            <w:hideMark/>
          </w:tcPr>
          <w:p w14:paraId="5E2D566D" w14:textId="77777777" w:rsidR="00FC1E0C" w:rsidRDefault="00FC1E0C" w:rsidP="00BD1D65">
            <w:pPr>
              <w:jc w:val="both"/>
            </w:pPr>
            <w:r>
              <w:t>1</w:t>
            </w:r>
          </w:p>
        </w:tc>
      </w:tr>
      <w:tr w:rsidR="00FC1E0C" w14:paraId="7854F3BA" w14:textId="77777777" w:rsidTr="002E7BB6">
        <w:trPr>
          <w:trHeight w:val="318"/>
        </w:trPr>
        <w:tc>
          <w:tcPr>
            <w:tcW w:w="1995" w:type="dxa"/>
            <w:noWrap/>
            <w:hideMark/>
          </w:tcPr>
          <w:p w14:paraId="5E74AB99" w14:textId="77777777" w:rsidR="00FC1E0C" w:rsidRDefault="00FC1E0C" w:rsidP="00BD1D65">
            <w:pPr>
              <w:jc w:val="both"/>
            </w:pPr>
            <w:r>
              <w:t>Technical textiles - textile flooring</w:t>
            </w:r>
          </w:p>
        </w:tc>
        <w:tc>
          <w:tcPr>
            <w:tcW w:w="1392" w:type="dxa"/>
            <w:noWrap/>
            <w:hideMark/>
          </w:tcPr>
          <w:p w14:paraId="3CE7FB40" w14:textId="77777777" w:rsidR="00FC1E0C" w:rsidRDefault="00FC1E0C" w:rsidP="00BD1D65">
            <w:pPr>
              <w:jc w:val="both"/>
            </w:pPr>
            <w:r>
              <w:t>1</w:t>
            </w:r>
          </w:p>
        </w:tc>
        <w:tc>
          <w:tcPr>
            <w:tcW w:w="1336" w:type="dxa"/>
            <w:noWrap/>
            <w:hideMark/>
          </w:tcPr>
          <w:p w14:paraId="2A9EAAF5" w14:textId="77777777" w:rsidR="00FC1E0C" w:rsidRDefault="00FC1E0C" w:rsidP="00BD1D65">
            <w:pPr>
              <w:jc w:val="both"/>
            </w:pPr>
            <w:r>
              <w:t>0</w:t>
            </w:r>
          </w:p>
        </w:tc>
        <w:tc>
          <w:tcPr>
            <w:tcW w:w="1522" w:type="dxa"/>
            <w:noWrap/>
            <w:hideMark/>
          </w:tcPr>
          <w:p w14:paraId="24113147" w14:textId="77777777" w:rsidR="00FC1E0C" w:rsidRDefault="00FC1E0C" w:rsidP="00BD1D65">
            <w:pPr>
              <w:jc w:val="both"/>
            </w:pPr>
            <w:r>
              <w:t>1</w:t>
            </w:r>
          </w:p>
        </w:tc>
        <w:tc>
          <w:tcPr>
            <w:tcW w:w="1166" w:type="dxa"/>
            <w:noWrap/>
            <w:hideMark/>
          </w:tcPr>
          <w:p w14:paraId="429C3414" w14:textId="77777777" w:rsidR="00FC1E0C" w:rsidRDefault="00FC1E0C" w:rsidP="00BD1D65">
            <w:pPr>
              <w:jc w:val="both"/>
            </w:pPr>
            <w:r>
              <w:t>1</w:t>
            </w:r>
          </w:p>
        </w:tc>
        <w:tc>
          <w:tcPr>
            <w:tcW w:w="854" w:type="dxa"/>
            <w:noWrap/>
            <w:hideMark/>
          </w:tcPr>
          <w:p w14:paraId="7D86C172" w14:textId="77777777" w:rsidR="00FC1E0C" w:rsidRDefault="00FC1E0C" w:rsidP="00BD1D65">
            <w:pPr>
              <w:jc w:val="both"/>
            </w:pPr>
            <w:r>
              <w:t>0</w:t>
            </w:r>
          </w:p>
        </w:tc>
        <w:tc>
          <w:tcPr>
            <w:tcW w:w="1086" w:type="dxa"/>
            <w:noWrap/>
            <w:hideMark/>
          </w:tcPr>
          <w:p w14:paraId="35B83EFB" w14:textId="77777777" w:rsidR="00FC1E0C" w:rsidRDefault="00FC1E0C" w:rsidP="00BD1D65">
            <w:pPr>
              <w:jc w:val="both"/>
            </w:pPr>
            <w:r>
              <w:t>1</w:t>
            </w:r>
          </w:p>
        </w:tc>
      </w:tr>
      <w:tr w:rsidR="00FC1E0C" w14:paraId="7D77E92C" w14:textId="77777777" w:rsidTr="002E7BB6">
        <w:trPr>
          <w:trHeight w:val="318"/>
        </w:trPr>
        <w:tc>
          <w:tcPr>
            <w:tcW w:w="1995" w:type="dxa"/>
            <w:noWrap/>
            <w:hideMark/>
          </w:tcPr>
          <w:p w14:paraId="6E1730E3" w14:textId="77777777" w:rsidR="00FC1E0C" w:rsidRDefault="00FC1E0C" w:rsidP="00BD1D65">
            <w:pPr>
              <w:jc w:val="both"/>
            </w:pPr>
            <w:r>
              <w:t>Technical textiles - textile furniture</w:t>
            </w:r>
          </w:p>
        </w:tc>
        <w:tc>
          <w:tcPr>
            <w:tcW w:w="1392" w:type="dxa"/>
            <w:noWrap/>
            <w:hideMark/>
          </w:tcPr>
          <w:p w14:paraId="0ABB5A25" w14:textId="77777777" w:rsidR="00FC1E0C" w:rsidRDefault="00FC1E0C" w:rsidP="00BD1D65">
            <w:pPr>
              <w:jc w:val="both"/>
            </w:pPr>
            <w:r>
              <w:t>1</w:t>
            </w:r>
          </w:p>
        </w:tc>
        <w:tc>
          <w:tcPr>
            <w:tcW w:w="1336" w:type="dxa"/>
            <w:noWrap/>
            <w:hideMark/>
          </w:tcPr>
          <w:p w14:paraId="507E03A6" w14:textId="77777777" w:rsidR="00FC1E0C" w:rsidRDefault="00FC1E0C" w:rsidP="00BD1D65">
            <w:pPr>
              <w:jc w:val="both"/>
            </w:pPr>
            <w:r>
              <w:t>0</w:t>
            </w:r>
          </w:p>
        </w:tc>
        <w:tc>
          <w:tcPr>
            <w:tcW w:w="1522" w:type="dxa"/>
            <w:noWrap/>
            <w:hideMark/>
          </w:tcPr>
          <w:p w14:paraId="0D5ED8B7" w14:textId="77777777" w:rsidR="00FC1E0C" w:rsidRDefault="00FC1E0C" w:rsidP="00BD1D65">
            <w:pPr>
              <w:jc w:val="both"/>
            </w:pPr>
            <w:r>
              <w:t>1</w:t>
            </w:r>
          </w:p>
        </w:tc>
        <w:tc>
          <w:tcPr>
            <w:tcW w:w="1166" w:type="dxa"/>
            <w:noWrap/>
            <w:hideMark/>
          </w:tcPr>
          <w:p w14:paraId="0AAC9D0E" w14:textId="77777777" w:rsidR="00FC1E0C" w:rsidRDefault="00FC1E0C" w:rsidP="00BD1D65">
            <w:pPr>
              <w:jc w:val="both"/>
            </w:pPr>
            <w:r>
              <w:t>1</w:t>
            </w:r>
          </w:p>
        </w:tc>
        <w:tc>
          <w:tcPr>
            <w:tcW w:w="854" w:type="dxa"/>
            <w:noWrap/>
            <w:hideMark/>
          </w:tcPr>
          <w:p w14:paraId="1B11DAE2" w14:textId="77777777" w:rsidR="00FC1E0C" w:rsidRDefault="00FC1E0C" w:rsidP="00BD1D65">
            <w:pPr>
              <w:jc w:val="both"/>
            </w:pPr>
            <w:r>
              <w:t>0</w:t>
            </w:r>
          </w:p>
        </w:tc>
        <w:tc>
          <w:tcPr>
            <w:tcW w:w="1086" w:type="dxa"/>
            <w:noWrap/>
            <w:hideMark/>
          </w:tcPr>
          <w:p w14:paraId="1706DDCE" w14:textId="77777777" w:rsidR="00FC1E0C" w:rsidRDefault="00FC1E0C" w:rsidP="00BD1D65">
            <w:pPr>
              <w:jc w:val="both"/>
            </w:pPr>
            <w:r>
              <w:t>1</w:t>
            </w:r>
          </w:p>
        </w:tc>
      </w:tr>
      <w:tr w:rsidR="00FC1E0C" w14:paraId="44E44579" w14:textId="77777777" w:rsidTr="002E7BB6">
        <w:trPr>
          <w:trHeight w:val="318"/>
        </w:trPr>
        <w:tc>
          <w:tcPr>
            <w:tcW w:w="1995" w:type="dxa"/>
            <w:noWrap/>
            <w:hideMark/>
          </w:tcPr>
          <w:p w14:paraId="7C3925CE" w14:textId="77777777" w:rsidR="00FC1E0C" w:rsidRDefault="00FC1E0C" w:rsidP="00BD1D65">
            <w:pPr>
              <w:jc w:val="both"/>
            </w:pPr>
            <w:r>
              <w:t>Technical textiles - other technical textiles</w:t>
            </w:r>
          </w:p>
        </w:tc>
        <w:tc>
          <w:tcPr>
            <w:tcW w:w="1392" w:type="dxa"/>
            <w:noWrap/>
            <w:hideMark/>
          </w:tcPr>
          <w:p w14:paraId="376C5489" w14:textId="77777777" w:rsidR="00FC1E0C" w:rsidRDefault="00FC1E0C" w:rsidP="00BD1D65">
            <w:pPr>
              <w:jc w:val="both"/>
            </w:pPr>
            <w:r>
              <w:t>1</w:t>
            </w:r>
          </w:p>
        </w:tc>
        <w:tc>
          <w:tcPr>
            <w:tcW w:w="1336" w:type="dxa"/>
            <w:noWrap/>
            <w:hideMark/>
          </w:tcPr>
          <w:p w14:paraId="51F3D99F" w14:textId="77777777" w:rsidR="00FC1E0C" w:rsidRDefault="00FC1E0C" w:rsidP="00BD1D65">
            <w:pPr>
              <w:jc w:val="both"/>
            </w:pPr>
            <w:r>
              <w:t>0</w:t>
            </w:r>
          </w:p>
        </w:tc>
        <w:tc>
          <w:tcPr>
            <w:tcW w:w="1522" w:type="dxa"/>
            <w:noWrap/>
            <w:hideMark/>
          </w:tcPr>
          <w:p w14:paraId="12F0780A" w14:textId="77777777" w:rsidR="00FC1E0C" w:rsidRDefault="00FC1E0C" w:rsidP="00BD1D65">
            <w:pPr>
              <w:jc w:val="both"/>
            </w:pPr>
            <w:r>
              <w:t>1</w:t>
            </w:r>
          </w:p>
        </w:tc>
        <w:tc>
          <w:tcPr>
            <w:tcW w:w="1166" w:type="dxa"/>
            <w:noWrap/>
            <w:hideMark/>
          </w:tcPr>
          <w:p w14:paraId="2E39D1DA" w14:textId="77777777" w:rsidR="00FC1E0C" w:rsidRDefault="00FC1E0C" w:rsidP="00BD1D65">
            <w:pPr>
              <w:jc w:val="both"/>
            </w:pPr>
            <w:r>
              <w:t>1</w:t>
            </w:r>
          </w:p>
        </w:tc>
        <w:tc>
          <w:tcPr>
            <w:tcW w:w="854" w:type="dxa"/>
            <w:noWrap/>
            <w:hideMark/>
          </w:tcPr>
          <w:p w14:paraId="7B347733" w14:textId="77777777" w:rsidR="00FC1E0C" w:rsidRDefault="00FC1E0C" w:rsidP="00BD1D65">
            <w:pPr>
              <w:jc w:val="both"/>
            </w:pPr>
            <w:r>
              <w:t>0</w:t>
            </w:r>
          </w:p>
        </w:tc>
        <w:tc>
          <w:tcPr>
            <w:tcW w:w="1086" w:type="dxa"/>
            <w:noWrap/>
            <w:hideMark/>
          </w:tcPr>
          <w:p w14:paraId="26CDEC05" w14:textId="77777777" w:rsidR="00FC1E0C" w:rsidRDefault="00FC1E0C" w:rsidP="00BD1D65">
            <w:pPr>
              <w:jc w:val="both"/>
            </w:pPr>
            <w:r>
              <w:t>1</w:t>
            </w:r>
          </w:p>
        </w:tc>
      </w:tr>
    </w:tbl>
    <w:p w14:paraId="0BDA7798" w14:textId="77777777" w:rsidR="000851FB" w:rsidRDefault="000851FB" w:rsidP="00BD1D65">
      <w:pPr>
        <w:jc w:val="both"/>
      </w:pPr>
    </w:p>
    <w:p w14:paraId="37CAD83F" w14:textId="6AF985B1" w:rsidR="00FC483D" w:rsidRDefault="00FC483D" w:rsidP="00BD1D65">
      <w:pPr>
        <w:pStyle w:val="Caption"/>
        <w:rPr>
          <w:sz w:val="20"/>
          <w:szCs w:val="20"/>
        </w:rPr>
      </w:pPr>
      <w:r>
        <w:rPr>
          <w:b/>
          <w:bCs/>
        </w:rPr>
        <w:t>Table 5</w:t>
      </w:r>
      <w:r w:rsidRPr="007228AE">
        <w:rPr>
          <w:b/>
          <w:bCs/>
        </w:rPr>
        <w:t>:</w:t>
      </w:r>
      <w:r>
        <w:t xml:space="preserve"> Routing of material flows by sector among the considered waste treatment pathways</w:t>
      </w:r>
      <w:r w:rsidRPr="00ED60E3">
        <w:t>.</w:t>
      </w:r>
    </w:p>
    <w:p w14:paraId="1B97CA34" w14:textId="77777777" w:rsidR="000851FB" w:rsidRDefault="000851FB" w:rsidP="00BD1D65">
      <w:pPr>
        <w:jc w:val="both"/>
        <w:rPr>
          <w:rFonts w:eastAsiaTheme="majorEastAsia"/>
          <w:lang w:val="en-GB" w:eastAsia="en-US"/>
        </w:rPr>
      </w:pPr>
    </w:p>
    <w:p w14:paraId="7B3CA99F" w14:textId="443E6918" w:rsidR="00731A0C" w:rsidRDefault="00731A0C" w:rsidP="00BD1D65">
      <w:pPr>
        <w:jc w:val="both"/>
        <w:rPr>
          <w:rFonts w:asciiTheme="majorHAnsi" w:eastAsiaTheme="majorEastAsia" w:hAnsiTheme="majorHAnsi" w:cstheme="majorBidi"/>
          <w:color w:val="2F5496" w:themeColor="accent1" w:themeShade="BF"/>
          <w:sz w:val="40"/>
          <w:szCs w:val="40"/>
        </w:rPr>
      </w:pPr>
    </w:p>
    <w:p w14:paraId="7A8176AF" w14:textId="77777777" w:rsidR="00E72859" w:rsidRDefault="00E72859" w:rsidP="00BD1D65">
      <w:pPr>
        <w:jc w:val="both"/>
        <w:rPr>
          <w:rFonts w:asciiTheme="majorHAnsi" w:eastAsiaTheme="majorEastAsia" w:hAnsiTheme="majorHAnsi" w:cstheme="majorBidi"/>
          <w:color w:val="2F5496" w:themeColor="accent1" w:themeShade="BF"/>
          <w:kern w:val="2"/>
          <w:sz w:val="40"/>
          <w:szCs w:val="40"/>
          <w:lang w:val="en-GB" w:eastAsia="en-US"/>
          <w14:ligatures w14:val="standardContextual"/>
        </w:rPr>
      </w:pPr>
      <w:r>
        <w:br w:type="page"/>
      </w:r>
    </w:p>
    <w:p w14:paraId="57AA51F7" w14:textId="5C91AFE6" w:rsidR="002457DD" w:rsidRDefault="00E72859" w:rsidP="00BD1D65">
      <w:pPr>
        <w:pStyle w:val="Heading1"/>
        <w:jc w:val="both"/>
      </w:pPr>
      <w:bookmarkStart w:id="9" w:name="_Toc234499922"/>
      <w:r>
        <w:lastRenderedPageBreak/>
        <w:t xml:space="preserve">S-M2. </w:t>
      </w:r>
      <w:r w:rsidR="002457DD">
        <w:t>LCA</w:t>
      </w:r>
      <w:r w:rsidR="00D40750">
        <w:t xml:space="preserve"> and </w:t>
      </w:r>
      <w:r w:rsidR="0091184D">
        <w:t>TEA</w:t>
      </w:r>
      <w:r w:rsidR="00D40750">
        <w:t xml:space="preserve"> methodologies</w:t>
      </w:r>
      <w:bookmarkEnd w:id="9"/>
    </w:p>
    <w:p w14:paraId="3A27618F" w14:textId="5D01F5A5" w:rsidR="00E72859" w:rsidRDefault="002457DD" w:rsidP="00BD1D65">
      <w:pPr>
        <w:pStyle w:val="Heading2"/>
        <w:jc w:val="both"/>
      </w:pPr>
      <w:bookmarkStart w:id="10" w:name="_Toc234499923"/>
      <w:r>
        <w:t xml:space="preserve">S-M2.1 </w:t>
      </w:r>
      <w:r w:rsidR="005D6AD7">
        <w:t>Functional Unit and system boundaries</w:t>
      </w:r>
      <w:bookmarkEnd w:id="10"/>
    </w:p>
    <w:p w14:paraId="6E09037B" w14:textId="77777777" w:rsidR="00FF366A" w:rsidRDefault="00FF366A" w:rsidP="00FF366A">
      <w:pPr>
        <w:rPr>
          <w:lang w:val="en-GB" w:eastAsia="en-US"/>
        </w:rPr>
      </w:pPr>
    </w:p>
    <w:p w14:paraId="61D7DE21" w14:textId="7E3738E3" w:rsidR="00FF366A" w:rsidRPr="005C5D2E" w:rsidRDefault="005C5D2E" w:rsidP="00FF366A">
      <w:pPr>
        <w:jc w:val="both"/>
        <w:rPr>
          <w:lang w:val="en-GB"/>
        </w:rPr>
      </w:pPr>
      <w:r>
        <w:rPr>
          <w:noProof/>
        </w:rPr>
        <w:drawing>
          <wp:anchor distT="0" distB="0" distL="114300" distR="114300" simplePos="0" relativeHeight="251658240" behindDoc="0" locked="0" layoutInCell="1" allowOverlap="1" wp14:anchorId="51301324" wp14:editId="021D827C">
            <wp:simplePos x="0" y="0"/>
            <wp:positionH relativeFrom="column">
              <wp:posOffset>-155643</wp:posOffset>
            </wp:positionH>
            <wp:positionV relativeFrom="paragraph">
              <wp:posOffset>579417</wp:posOffset>
            </wp:positionV>
            <wp:extent cx="5983977" cy="6614809"/>
            <wp:effectExtent l="0" t="0" r="0" b="1905"/>
            <wp:wrapTopAndBottom/>
            <wp:docPr id="2134719330"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45811" name="Picture 2" descr="A diagram of a company&#10;&#10;AI-generated content may be incorrec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643" t="764" r="5444" b="51473"/>
                    <a:stretch>
                      <a:fillRect/>
                    </a:stretch>
                  </pic:blipFill>
                  <pic:spPr bwMode="auto">
                    <a:xfrm>
                      <a:off x="0" y="0"/>
                      <a:ext cx="5983977" cy="66148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366A">
        <w:t xml:space="preserve">The processes trees </w:t>
      </w:r>
      <w:r w:rsidR="00FF366A" w:rsidRPr="005A76F2">
        <w:rPr>
          <w:lang w:val="en-GB"/>
        </w:rPr>
        <w:t>corresponding to each</w:t>
      </w:r>
      <w:r w:rsidR="00FF366A">
        <w:rPr>
          <w:lang w:val="en-GB"/>
        </w:rPr>
        <w:t xml:space="preserve"> waste</w:t>
      </w:r>
      <w:r w:rsidR="00FF366A" w:rsidRPr="005A76F2">
        <w:rPr>
          <w:lang w:val="en-GB"/>
        </w:rPr>
        <w:t xml:space="preserve"> </w:t>
      </w:r>
      <w:r w:rsidR="00FF366A">
        <w:rPr>
          <w:lang w:val="en-GB"/>
        </w:rPr>
        <w:t>treatment pathway considered</w:t>
      </w:r>
      <w:r w:rsidR="00FF366A" w:rsidRPr="005A76F2">
        <w:rPr>
          <w:lang w:val="en-GB"/>
        </w:rPr>
        <w:t xml:space="preserve"> </w:t>
      </w:r>
      <w:r w:rsidR="00FF366A">
        <w:rPr>
          <w:lang w:val="en-GB"/>
        </w:rPr>
        <w:t xml:space="preserve">using FU1, </w:t>
      </w:r>
      <w:r w:rsidR="00FF366A" w:rsidRPr="005A76F2">
        <w:rPr>
          <w:i/>
          <w:iCs/>
          <w:lang w:val="en-GB"/>
        </w:rPr>
        <w:t>treating 1t of post-consumer PET,</w:t>
      </w:r>
      <w:r w:rsidR="00FF366A" w:rsidRPr="005A76F2">
        <w:rPr>
          <w:lang w:val="en-GB"/>
        </w:rPr>
        <w:t xml:space="preserve"> </w:t>
      </w:r>
      <w:r w:rsidR="00FF366A" w:rsidRPr="005A76F2">
        <w:rPr>
          <w:i/>
          <w:iCs/>
          <w:lang w:val="en-GB"/>
        </w:rPr>
        <w:t>in Switzerland in 2026</w:t>
      </w:r>
      <w:r w:rsidR="00FF366A">
        <w:rPr>
          <w:i/>
          <w:iCs/>
          <w:lang w:val="en-GB"/>
        </w:rPr>
        <w:t xml:space="preserve">, </w:t>
      </w:r>
      <w:r w:rsidR="00FF366A">
        <w:rPr>
          <w:lang w:val="en-GB"/>
        </w:rPr>
        <w:t>is displayed in Figure 1</w:t>
      </w:r>
      <w:r w:rsidR="00FF366A">
        <w:rPr>
          <w:i/>
          <w:iCs/>
          <w:color w:val="000000"/>
          <w:lang w:val="en-GB"/>
        </w:rPr>
        <w:t>.</w:t>
      </w:r>
    </w:p>
    <w:p w14:paraId="2EEEAEA7" w14:textId="5F1BF2CB" w:rsidR="005800BD" w:rsidRDefault="005C5D2E" w:rsidP="00705A94">
      <w:pPr>
        <w:jc w:val="both"/>
      </w:pPr>
      <w:r>
        <w:rPr>
          <w:noProof/>
        </w:rPr>
        <w:lastRenderedPageBreak/>
        <w:drawing>
          <wp:inline distT="0" distB="0" distL="0" distR="0" wp14:anchorId="78EA8DFB" wp14:editId="18713F7E">
            <wp:extent cx="6173802" cy="7084220"/>
            <wp:effectExtent l="0" t="0" r="0" b="2540"/>
            <wp:docPr id="1742145811"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45811" name="Picture 2" descr="A diagram of a company&#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1" t="48779" r="3706" b="1639"/>
                    <a:stretch>
                      <a:fillRect/>
                    </a:stretch>
                  </pic:blipFill>
                  <pic:spPr bwMode="auto">
                    <a:xfrm>
                      <a:off x="0" y="0"/>
                      <a:ext cx="6226659" cy="7144872"/>
                    </a:xfrm>
                    <a:prstGeom prst="rect">
                      <a:avLst/>
                    </a:prstGeom>
                    <a:noFill/>
                    <a:ln>
                      <a:noFill/>
                    </a:ln>
                    <a:extLst>
                      <a:ext uri="{53640926-AAD7-44D8-BBD7-CCE9431645EC}">
                        <a14:shadowObscured xmlns:a14="http://schemas.microsoft.com/office/drawing/2010/main"/>
                      </a:ext>
                    </a:extLst>
                  </pic:spPr>
                </pic:pic>
              </a:graphicData>
            </a:graphic>
          </wp:inline>
        </w:drawing>
      </w:r>
    </w:p>
    <w:p w14:paraId="672B15F1" w14:textId="51187309" w:rsidR="00FF366A" w:rsidRPr="00FF366A" w:rsidRDefault="00FF366A" w:rsidP="00FF366A">
      <w:pPr>
        <w:pStyle w:val="Caption"/>
        <w:rPr>
          <w:color w:val="404040" w:themeColor="text1" w:themeTint="BF"/>
        </w:rPr>
      </w:pPr>
      <w:r w:rsidRPr="00DA0FB0">
        <w:rPr>
          <w:rStyle w:val="SubtleEmphasis"/>
          <w:b/>
          <w:bCs/>
          <w:i/>
          <w:iCs/>
        </w:rPr>
        <w:t xml:space="preserve">Figure </w:t>
      </w:r>
      <w:r>
        <w:rPr>
          <w:rStyle w:val="SubtleEmphasis"/>
          <w:b/>
          <w:bCs/>
          <w:i/>
          <w:iCs/>
        </w:rPr>
        <w:t>1</w:t>
      </w:r>
      <w:r w:rsidRPr="00DA0FB0">
        <w:rPr>
          <w:rStyle w:val="SubtleEmphasis"/>
          <w:i/>
          <w:iCs/>
        </w:rPr>
        <w:t>: System boundaries of the LCA – FU</w:t>
      </w:r>
      <w:r>
        <w:rPr>
          <w:rStyle w:val="SubtleEmphasis"/>
          <w:i/>
          <w:iCs/>
        </w:rPr>
        <w:t>1 for each treatment pathway considered.</w:t>
      </w:r>
    </w:p>
    <w:p w14:paraId="64ECD370" w14:textId="77777777" w:rsidR="00242100" w:rsidRDefault="00242100" w:rsidP="00FF366A">
      <w:pPr>
        <w:jc w:val="both"/>
        <w:rPr>
          <w:i/>
          <w:iCs/>
          <w:color w:val="000000"/>
          <w:lang w:val="en-GB"/>
        </w:rPr>
      </w:pPr>
      <w:r>
        <w:t>The functional unit (FU2) for the system considered</w:t>
      </w:r>
      <w:r w:rsidRPr="005D6AD7">
        <w:t xml:space="preserve"> is </w:t>
      </w:r>
      <w:r>
        <w:t xml:space="preserve">the </w:t>
      </w:r>
      <w:r w:rsidRPr="005A76F2">
        <w:rPr>
          <w:i/>
          <w:iCs/>
          <w:color w:val="000000"/>
          <w:lang w:val="en-GB"/>
        </w:rPr>
        <w:t>annual per capita consumption of PET across the packaging and textile sectors in Switzerland in 2026, including the management of the resulting waste streams</w:t>
      </w:r>
      <w:r>
        <w:rPr>
          <w:i/>
          <w:iCs/>
          <w:color w:val="000000"/>
          <w:lang w:val="en-GB"/>
        </w:rPr>
        <w:t xml:space="preserve">. </w:t>
      </w:r>
    </w:p>
    <w:p w14:paraId="623E5CF3" w14:textId="77777777" w:rsidR="00242100" w:rsidRDefault="00242100" w:rsidP="00FF366A">
      <w:pPr>
        <w:jc w:val="both"/>
        <w:rPr>
          <w:i/>
          <w:iCs/>
          <w:color w:val="000000"/>
          <w:lang w:val="en-GB"/>
        </w:rPr>
      </w:pPr>
    </w:p>
    <w:p w14:paraId="1E4B86E0" w14:textId="6C786818" w:rsidR="00FF366A" w:rsidRPr="00242100" w:rsidRDefault="00FF366A" w:rsidP="00FF366A">
      <w:pPr>
        <w:jc w:val="both"/>
        <w:rPr>
          <w:i/>
          <w:iCs/>
          <w:color w:val="000000"/>
          <w:lang w:val="en-GB"/>
        </w:rPr>
      </w:pPr>
      <w:r w:rsidRPr="005D6AD7">
        <w:t>The system boundary is defined from cradle to grave,</w:t>
      </w:r>
      <w:r>
        <w:t xml:space="preserve"> as diplayed in Figure 2,</w:t>
      </w:r>
      <w:r w:rsidRPr="005D6AD7">
        <w:t xml:space="preserve"> encompassing PET production, product use, and end-of-life management with downcycling mechanisms</w:t>
      </w:r>
      <w:r>
        <w:t>.</w:t>
      </w:r>
    </w:p>
    <w:p w14:paraId="65D9CE02" w14:textId="77777777" w:rsidR="00FF366A" w:rsidRPr="00FF366A" w:rsidRDefault="00FF366A" w:rsidP="00FF366A">
      <w:pPr>
        <w:rPr>
          <w:lang w:eastAsia="en-US"/>
        </w:rPr>
      </w:pPr>
    </w:p>
    <w:p w14:paraId="3563CE94" w14:textId="60438538" w:rsidR="00DA0FB0" w:rsidRDefault="00A00B0D" w:rsidP="00BD1D65">
      <w:pPr>
        <w:pStyle w:val="Caption"/>
        <w:rPr>
          <w:b/>
          <w:bCs/>
        </w:rPr>
      </w:pPr>
      <w:r>
        <w:rPr>
          <w:noProof/>
        </w:rPr>
        <w:lastRenderedPageBreak/>
        <w:drawing>
          <wp:inline distT="0" distB="0" distL="0" distR="0" wp14:anchorId="2581F809" wp14:editId="1B74B751">
            <wp:extent cx="5688466" cy="1359408"/>
            <wp:effectExtent l="0" t="0" r="0" b="0"/>
            <wp:docPr id="1818484549" name="Picture 3" descr="A close-up of a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84549" name="Picture 3" descr="A close-up of a label&#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1028" cy="1398257"/>
                    </a:xfrm>
                    <a:prstGeom prst="rect">
                      <a:avLst/>
                    </a:prstGeom>
                    <a:noFill/>
                    <a:ln>
                      <a:noFill/>
                    </a:ln>
                  </pic:spPr>
                </pic:pic>
              </a:graphicData>
            </a:graphic>
          </wp:inline>
        </w:drawing>
      </w:r>
    </w:p>
    <w:p w14:paraId="3F2268EE" w14:textId="02437B44" w:rsidR="00612B46" w:rsidRPr="00BD2B37" w:rsidRDefault="00DA0FB0" w:rsidP="00BD2B37">
      <w:pPr>
        <w:pStyle w:val="Caption"/>
        <w:rPr>
          <w:sz w:val="20"/>
          <w:szCs w:val="20"/>
        </w:rPr>
      </w:pPr>
      <w:r w:rsidRPr="007228AE">
        <w:rPr>
          <w:b/>
          <w:bCs/>
        </w:rPr>
        <w:t xml:space="preserve">Figure </w:t>
      </w:r>
      <w:r w:rsidR="00FF366A">
        <w:rPr>
          <w:b/>
          <w:bCs/>
        </w:rPr>
        <w:t>2</w:t>
      </w:r>
      <w:r w:rsidRPr="007228AE">
        <w:rPr>
          <w:b/>
          <w:bCs/>
        </w:rPr>
        <w:t>:</w:t>
      </w:r>
      <w:r>
        <w:t xml:space="preserve"> System boundaries of the LCA – FU2</w:t>
      </w:r>
      <w:r w:rsidR="00BD2B37">
        <w:t>.</w:t>
      </w:r>
    </w:p>
    <w:p w14:paraId="50CC87DC" w14:textId="2D11FA1F" w:rsidR="0037188D" w:rsidRPr="001D3ABE" w:rsidRDefault="0037188D" w:rsidP="00BD1D65">
      <w:pPr>
        <w:pStyle w:val="Heading2"/>
        <w:jc w:val="both"/>
      </w:pPr>
      <w:bookmarkStart w:id="11" w:name="_Toc234499924"/>
      <w:r>
        <w:t>S-M2.2 CAPEX, OPEX, and TOTEX calculation method</w:t>
      </w:r>
      <w:bookmarkEnd w:id="11"/>
    </w:p>
    <w:p w14:paraId="512AD140" w14:textId="0D2AC062" w:rsidR="00A43CAC" w:rsidRDefault="00A43CAC" w:rsidP="00BD1D65">
      <w:pPr>
        <w:pStyle w:val="NormalWeb"/>
        <w:jc w:val="both"/>
      </w:pPr>
      <w:r w:rsidRPr="00204EFD">
        <w:t xml:space="preserve">The total costs, or TOTEX (in €/year), are defined as the sum of the capital expenditure (CAPEX) and operational expenditure (OPEX), as presented </w:t>
      </w:r>
      <w:r w:rsidRPr="001E705B">
        <w:t>i</w:t>
      </w:r>
      <w:r w:rsidRPr="00037A25">
        <w:t>n Equations (</w:t>
      </w:r>
      <w:r w:rsidR="00D507F6">
        <w:t>1</w:t>
      </w:r>
      <w:r w:rsidRPr="00037A25">
        <w:t xml:space="preserve"> to </w:t>
      </w:r>
      <w:r w:rsidR="00D507F6">
        <w:t>3</w:t>
      </w:r>
      <w:r>
        <w:t>)</w:t>
      </w:r>
      <w:r w:rsidRPr="001E705B">
        <w:t>.</w:t>
      </w:r>
      <w:r w:rsidRPr="00204EFD">
        <w:t xml:space="preserve"> </w:t>
      </w:r>
      <w:r>
        <w:t xml:space="preserve">The economic assessment methodology is based on Turton et al. </w:t>
      </w:r>
      <w:r>
        <w:fldChar w:fldCharType="begin"/>
      </w:r>
      <w:r w:rsidR="002E57F4">
        <w:instrText xml:space="preserve"> ADDIN ZOTERO_ITEM CSL_CITATION {"citationID":"EPkoYCkA","properties":{"formattedCitation":"[7]","plainCitation":"[7]","noteIndex":0},"citationItems":[{"id":13621,"uris":["http://zotero.org/users/12598273/items/LH6UP8LG"],"itemData":{"id":13621,"type":"book","abstract":"The Leading Integrated Chemical Process Design Guide: Now with New Problems, New Projects, and More  More than ever, effective design is the focal point of sound chemical engineering.  Analysis, Synthesis, and Design of Chemical Processes, Third Edition,  presents design as a creative process that integrates both the big picture and the small details–and knows which to stress when, and why. Realistic from start to finish, this book moves readers beyond classroom exercises into open-ended, real-world process problem solving. The authors introduce integrated techniques for every facet of the discipline, from finance to operations, new plant design to existing process optimization. This fully updated Third Edition presents entirely new problems at the end of every chapter. It also adds extensive coverage of batch process design, including realistic examples of equipment sizing for batch sequencing; batch scheduling for multi-product plants; improving production via intermediate storage and parallel equipment; and new optimization techniques specifically for batch processes. Coverage includes  Conceptualizing and analyzing chemical processes: flow diagrams, tracing, process conditions, and more Chemical process economics: analyzing capital and manufacturing costs, and predicting or assessing profitability Synthesizing and optimizing chemical processing: experience-based principles, BFD/PFD, simulations, and more Analyzing process performance via I/O models, performance curves, and other tools Process troubleshooting and “debottlenecking” Chemical engineering design and society: ethics, professionalism, health, safety, and new “green engineering” techniques Participating successfully in chemical engineering design teams   Analysis, Synthesis, and Design of Chemical Processes, Third Edition, draws on nearly 35 years of innovative chemical engineering instruction at West Virginia University. It includes suggested curricula for both single-semester and year-long design courses; case studies and design projects with practical applications; and appendixes with current equipment cost data and preliminary design information for eleven chemical processes–including seven brand new to this edition.","citation-key":"turtonAnalysisSynthesisDesign2008","ISBN":"978-0-13-245918-1","language":"en","note":"Google-Books-ID: kWXyhVXztZ8C","number-of-pages":"1562","publisher":"Pearson Education","source":"Google Books","title":"Analysis, Synthesis and Design of Chemical Processes","author":[{"family":"Turton","given":"Richard"},{"family":"Bailie","given":"Richard C."},{"family":"Whiting","given":"Wallace B."},{"family":"Shaeiwitz","given":"Joseph A."}],"issued":{"date-parts":[["2008",12,24]]}}}],"schema":"https://github.com/citation-style-language/schema/raw/master/csl-citation.json"} </w:instrText>
      </w:r>
      <w:r>
        <w:fldChar w:fldCharType="separate"/>
      </w:r>
      <w:r w:rsidR="002E57F4">
        <w:rPr>
          <w:noProof/>
        </w:rPr>
        <w:t>[7]</w:t>
      </w:r>
      <w:r>
        <w:fldChar w:fldCharType="end"/>
      </w:r>
      <w:r w:rsidR="004232F2">
        <w:t xml:space="preserve"> and Sinnot et al. </w:t>
      </w:r>
      <w:r w:rsidR="004232F2">
        <w:fldChar w:fldCharType="begin"/>
      </w:r>
      <w:r w:rsidR="002E57F4">
        <w:instrText xml:space="preserve"> ADDIN ZOTERO_ITEM CSL_CITATION {"citationID":"odH5LDnU","properties":{"formattedCitation":"[8]","plainCitation":"[8]","noteIndex":0},"citationItems":[{"id":416,"uris":["http://zotero.org/groups/278069/items/B2WSA4DW"],"itemData":{"id":416,"type":"book","citation-key":"towlerPrinciplesPracticeEconomics2012a","ISBN":"978-0-7506-8423-1","note":"ZSCC: 0000002","title":"Principles, practice and economics of plant and process design","volume":"2nd ed. Butterworth-Heinemann","author":[{"family":"Towler","given":"Gavin P."},{"family":"Sinnott","given":"Ray"}],"issued":{"date-parts":[["2012"]]}}}],"schema":"https://github.com/citation-style-language/schema/raw/master/csl-citation.json"} </w:instrText>
      </w:r>
      <w:r w:rsidR="004232F2">
        <w:fldChar w:fldCharType="separate"/>
      </w:r>
      <w:r w:rsidR="002E57F4">
        <w:rPr>
          <w:noProof/>
        </w:rPr>
        <w:t>[8]</w:t>
      </w:r>
      <w:r w:rsidR="004232F2">
        <w:fldChar w:fldCharType="end"/>
      </w:r>
      <w:r>
        <w:t xml:space="preserve">. </w:t>
      </w:r>
    </w:p>
    <w:p w14:paraId="72AA53AC" w14:textId="5B4A10BC" w:rsidR="00A43CAC" w:rsidRPr="00204EFD" w:rsidRDefault="00A43CAC" w:rsidP="00BD1D65">
      <w:pPr>
        <w:pStyle w:val="NormalWeb"/>
        <w:jc w:val="both"/>
      </w:pPr>
      <m:oMathPara>
        <m:oMath>
          <m:r>
            <w:rPr>
              <w:rFonts w:ascii="Cambria Math" w:hAnsi="Cambria Math"/>
            </w:rPr>
            <m:t>CAPEX = </m:t>
          </m:r>
          <m:nary>
            <m:naryPr>
              <m:chr m:val="∑"/>
              <m:supHide m:val="1"/>
              <m:ctrlPr>
                <w:rPr>
                  <w:rFonts w:ascii="Cambria Math" w:hAnsi="Cambria Math"/>
                </w:rPr>
              </m:ctrlPr>
            </m:naryPr>
            <m:sub>
              <m:r>
                <w:rPr>
                  <w:rFonts w:ascii="Cambria Math" w:hAnsi="Cambria Math"/>
                </w:rPr>
                <m:t>u </m:t>
              </m:r>
              <m:r>
                <m:rPr>
                  <m:sty m:val="p"/>
                </m:rPr>
                <w:rPr>
                  <w:rFonts w:ascii="Cambria Math" w:hAnsi="Cambria Math"/>
                </w:rPr>
                <m:t>∈</m:t>
              </m:r>
              <m:r>
                <w:rPr>
                  <w:rFonts w:ascii="Cambria Math" w:hAnsi="Cambria Math"/>
                </w:rPr>
                <m:t> U</m:t>
              </m:r>
              <m:ctrlPr>
                <w:rPr>
                  <w:rFonts w:ascii="Cambria Math" w:hAnsi="Cambria Math"/>
                  <w:i/>
                </w:rPr>
              </m:ctrlPr>
            </m:sub>
            <m:sup>
              <m:ctrlPr>
                <w:rPr>
                  <w:rFonts w:ascii="Cambria Math" w:hAnsi="Cambria Math"/>
                  <w:i/>
                </w:rPr>
              </m:ctrlPr>
            </m:sup>
            <m:e>
              <m:r>
                <w:rPr>
                  <w:rFonts w:ascii="Cambria Math" w:hAnsi="Cambria Math"/>
                </w:rPr>
                <m:t xml:space="preserve"> </m:t>
              </m:r>
              <m:ctrlPr>
                <w:rPr>
                  <w:rFonts w:ascii="Cambria Math" w:hAnsi="Cambria Math"/>
                  <w:i/>
                </w:rPr>
              </m:ctrlPr>
            </m:e>
          </m:nary>
          <m:r>
            <w:rPr>
              <w:rFonts w:ascii="Cambria Math" w:hAnsi="Cambria Math"/>
            </w:rPr>
            <m:t> </m:t>
          </m:r>
          <m:f>
            <m:fPr>
              <m:ctrlPr>
                <w:rPr>
                  <w:rFonts w:ascii="Cambria Math" w:hAnsi="Cambria Math"/>
                </w:rPr>
              </m:ctrlPr>
            </m:fPr>
            <m:num>
              <m:r>
                <w:rPr>
                  <w:rFonts w:ascii="Cambria Math" w:hAnsi="Cambria Math"/>
                </w:rPr>
                <m:t>i </m:t>
              </m:r>
              <m:sSup>
                <m:sSupPr>
                  <m:ctrlPr>
                    <w:rPr>
                      <w:rFonts w:ascii="Cambria Math" w:hAnsi="Cambria Math"/>
                      <w:i/>
                    </w:rPr>
                  </m:ctrlPr>
                </m:sSupPr>
                <m:e>
                  <m:d>
                    <m:dPr>
                      <m:ctrlPr>
                        <w:rPr>
                          <w:rFonts w:ascii="Cambria Math" w:hAnsi="Cambria Math"/>
                          <w:i/>
                        </w:rPr>
                      </m:ctrlPr>
                    </m:dPr>
                    <m:e>
                      <m:r>
                        <w:rPr>
                          <w:rFonts w:ascii="Cambria Math" w:hAnsi="Cambria Math"/>
                        </w:rPr>
                        <m:t>1 + i</m:t>
                      </m:r>
                    </m:e>
                  </m:d>
                </m:e>
                <m:sup>
                  <m:r>
                    <w:rPr>
                      <w:rFonts w:ascii="Cambria Math" w:hAnsi="Cambria Math"/>
                    </w:rPr>
                    <m:t>N</m:t>
                  </m:r>
                </m:sup>
              </m:sSup>
              <m:ctrlPr>
                <w:rPr>
                  <w:rFonts w:ascii="Cambria Math" w:hAnsi="Cambria Math"/>
                  <w:i/>
                </w:rPr>
              </m:ctrlPr>
            </m:num>
            <m:den>
              <m:sSup>
                <m:sSupPr>
                  <m:ctrlPr>
                    <w:rPr>
                      <w:rFonts w:ascii="Cambria Math" w:hAnsi="Cambria Math"/>
                      <w:i/>
                    </w:rPr>
                  </m:ctrlPr>
                </m:sSupPr>
                <m:e>
                  <m:d>
                    <m:dPr>
                      <m:ctrlPr>
                        <w:rPr>
                          <w:rFonts w:ascii="Cambria Math" w:hAnsi="Cambria Math"/>
                          <w:i/>
                        </w:rPr>
                      </m:ctrlPr>
                    </m:dPr>
                    <m:e>
                      <m:r>
                        <w:rPr>
                          <w:rFonts w:ascii="Cambria Math" w:hAnsi="Cambria Math"/>
                        </w:rPr>
                        <m:t>1 + i</m:t>
                      </m:r>
                    </m:e>
                  </m:d>
                </m:e>
                <m:sup>
                  <m:r>
                    <w:rPr>
                      <w:rFonts w:ascii="Cambria Math" w:hAnsi="Cambria Math"/>
                    </w:rPr>
                    <m:t>N</m:t>
                  </m:r>
                </m:sup>
              </m:sSup>
              <m:r>
                <w:rPr>
                  <w:rFonts w:ascii="Cambria Math" w:hAnsi="Cambria Math"/>
                </w:rPr>
                <m:t> - 1</m:t>
              </m:r>
              <m:ctrlPr>
                <w:rPr>
                  <w:rFonts w:ascii="Cambria Math" w:hAnsi="Cambria Math"/>
                  <w:i/>
                </w:rPr>
              </m:ctrlPr>
            </m:den>
          </m:f>
          <m:r>
            <w:rPr>
              <w:rFonts w:ascii="Cambria Math" w:hAnsi="Cambria Math"/>
            </w:rPr>
            <m:t> </m:t>
          </m:r>
          <m:d>
            <m:dPr>
              <m:ctrlPr>
                <w:rPr>
                  <w:rFonts w:ascii="Cambria Math" w:hAnsi="Cambria Math"/>
                </w:rPr>
              </m:ctrlPr>
            </m:dPr>
            <m:e>
              <m:r>
                <w:rPr>
                  <w:rFonts w:ascii="Cambria Math" w:hAnsi="Cambria Math"/>
                </w:rPr>
                <m:t>  </m:t>
              </m:r>
              <m:sSubSup>
                <m:sSubSupPr>
                  <m:ctrlPr>
                    <w:rPr>
                      <w:rFonts w:ascii="Cambria Math" w:hAnsi="Cambria Math"/>
                      <w:i/>
                    </w:rPr>
                  </m:ctrlPr>
                </m:sSubSupPr>
                <m:e>
                  <m:r>
                    <w:rPr>
                      <w:rFonts w:ascii="Cambria Math" w:hAnsi="Cambria Math"/>
                    </w:rPr>
                    <m:t>c</m:t>
                  </m:r>
                </m:e>
                <m:sub>
                  <m:r>
                    <w:rPr>
                      <w:rFonts w:ascii="Cambria Math" w:hAnsi="Cambria Math"/>
                    </w:rPr>
                    <m:t>u</m:t>
                  </m:r>
                </m:sub>
                <m:sup>
                  <m:r>
                    <m:rPr>
                      <m:nor/>
                    </m:rPr>
                    <w:rPr>
                      <w:rFonts w:ascii="Cambria Math" w:hAnsi="Cambria Math"/>
                    </w:rPr>
                    <m:t>inv</m:t>
                  </m:r>
                </m:sup>
              </m:sSubSup>
              <m:r>
                <w:rPr>
                  <w:rFonts w:ascii="Cambria Math" w:hAnsi="Cambria Math"/>
                </w:rPr>
                <m:t> </m:t>
              </m:r>
              <m:sSub>
                <m:sSubPr>
                  <m:ctrlPr>
                    <w:rPr>
                      <w:rFonts w:ascii="Cambria Math" w:hAnsi="Cambria Math"/>
                      <w:i/>
                    </w:rPr>
                  </m:ctrlPr>
                </m:sSubPr>
                <m:e>
                  <m:r>
                    <w:rPr>
                      <w:rFonts w:ascii="Cambria Math" w:hAnsi="Cambria Math"/>
                    </w:rPr>
                    <m:t>f</m:t>
                  </m:r>
                </m:e>
                <m:sub>
                  <m:r>
                    <w:rPr>
                      <w:rFonts w:ascii="Cambria Math" w:hAnsi="Cambria Math"/>
                    </w:rPr>
                    <m:t>u</m:t>
                  </m:r>
                </m:sub>
              </m:sSub>
              <m:r>
                <w:rPr>
                  <w:rFonts w:ascii="Cambria Math" w:hAnsi="Cambria Math"/>
                </w:rPr>
                <m:t> </m:t>
              </m:r>
              <m:ctrlPr>
                <w:rPr>
                  <w:rFonts w:ascii="Cambria Math" w:hAnsi="Cambria Math"/>
                  <w:i/>
                </w:rPr>
              </m:ctrlPr>
            </m:e>
          </m:d>
          <m:r>
            <w:rPr>
              <w:rFonts w:ascii="Cambria Math" w:hAnsi="Cambria Math"/>
            </w:rPr>
            <m:t> </m:t>
          </m:r>
          <m:r>
            <m:rPr>
              <m:sty m:val="p"/>
            </m:rPr>
            <w:rPr>
              <w:rFonts w:ascii="Cambria Math" w:hAnsi="Cambria Math"/>
            </w:rPr>
            <m:t> </m:t>
          </m:r>
          <m:r>
            <m:rPr>
              <m:sty m:val="p"/>
            </m:rPr>
            <w:rPr>
              <w:rFonts w:ascii="Cambria Math" w:hAnsi="Cambria Math"/>
            </w:rPr>
            <m:t>(1)</m:t>
          </m:r>
        </m:oMath>
      </m:oMathPara>
    </w:p>
    <w:p w14:paraId="0B58DC02" w14:textId="77777777" w:rsidR="00A43CAC" w:rsidRPr="00204EFD" w:rsidRDefault="00A43CAC" w:rsidP="00BD1D65">
      <w:pPr>
        <w:pStyle w:val="NormalWeb"/>
        <w:jc w:val="both"/>
      </w:pPr>
      <w:r>
        <w:t>Where:</w:t>
      </w:r>
    </w:p>
    <w:p w14:paraId="6AFCE934" w14:textId="5F6E595D" w:rsidR="00A43CAC" w:rsidRPr="00204EFD" w:rsidRDefault="00000000" w:rsidP="00BD1D65">
      <w:pPr>
        <w:pStyle w:val="NormalWeb"/>
        <w:jc w:val="both"/>
      </w:pPr>
      <m:oMath>
        <m:sSubSup>
          <m:sSubSupPr>
            <m:ctrlPr>
              <w:rPr>
                <w:rFonts w:ascii="Cambria Math" w:hAnsi="Cambria Math"/>
                <w:i/>
              </w:rPr>
            </m:ctrlPr>
          </m:sSubSupPr>
          <m:e>
            <m:r>
              <w:rPr>
                <w:rFonts w:ascii="Cambria Math" w:hAnsi="Cambria Math"/>
              </w:rPr>
              <m:t>f</m:t>
            </m:r>
          </m:e>
          <m:sub>
            <m:r>
              <w:rPr>
                <w:rFonts w:ascii="Cambria Math" w:hAnsi="Cambria Math"/>
              </w:rPr>
              <m:t>u</m:t>
            </m:r>
          </m:sub>
          <m:sup>
            <m:r>
              <m:rPr>
                <m:nor/>
              </m:rPr>
              <w:rPr>
                <w:rFonts w:ascii="Cambria Math" w:hAnsi="Cambria Math"/>
              </w:rPr>
              <m:t>min</m:t>
            </m:r>
          </m:sup>
        </m:sSubSup>
        <m:sSub>
          <m:sSubPr>
            <m:ctrlPr>
              <w:rPr>
                <w:rFonts w:ascii="Cambria Math" w:hAnsi="Cambria Math"/>
                <w:i/>
              </w:rPr>
            </m:ctrlPr>
          </m:sSubPr>
          <m:e>
            <m:r>
              <w:rPr>
                <w:rFonts w:ascii="Cambria Math" w:hAnsi="Cambria Math"/>
              </w:rPr>
              <m:t>y</m:t>
            </m:r>
          </m:e>
          <m:sub>
            <m:r>
              <w:rPr>
                <w:rFonts w:ascii="Cambria Math" w:hAnsi="Cambria Math"/>
              </w:rPr>
              <m:t>u</m:t>
            </m:r>
          </m:sub>
        </m:sSub>
        <m:r>
          <m:rPr>
            <m:sty m:val="p"/>
          </m:rPr>
          <w:rPr>
            <w:rFonts w:ascii="Cambria Math" w:hAnsi="Cambria Math"/>
          </w:rPr>
          <m:t>≤</m:t>
        </m:r>
        <m:sSub>
          <m:sSubPr>
            <m:ctrlPr>
              <w:rPr>
                <w:rFonts w:ascii="Cambria Math" w:hAnsi="Cambria Math"/>
                <w:i/>
              </w:rPr>
            </m:ctrlPr>
          </m:sSubPr>
          <m:e>
            <m:r>
              <w:rPr>
                <w:rFonts w:ascii="Cambria Math" w:hAnsi="Cambria Math"/>
              </w:rPr>
              <m:t>f</m:t>
            </m:r>
            <m:ctrlPr>
              <w:rPr>
                <w:rFonts w:ascii="Cambria Math" w:hAnsi="Cambria Math"/>
              </w:rPr>
            </m:ctrlPr>
          </m:e>
          <m:sub>
            <m:r>
              <w:rPr>
                <w:rFonts w:ascii="Cambria Math" w:hAnsi="Cambria Math"/>
              </w:rPr>
              <m:t>u</m:t>
            </m:r>
          </m:sub>
        </m:sSub>
        <m:r>
          <m:rPr>
            <m:sty m:val="p"/>
          </m:rPr>
          <w:rPr>
            <w:rFonts w:ascii="Cambria Math" w:hAnsi="Cambria Math"/>
          </w:rPr>
          <m:t>≤</m:t>
        </m:r>
        <m:sSubSup>
          <m:sSubSupPr>
            <m:ctrlPr>
              <w:rPr>
                <w:rFonts w:ascii="Cambria Math" w:hAnsi="Cambria Math"/>
                <w:i/>
              </w:rPr>
            </m:ctrlPr>
          </m:sSubSupPr>
          <m:e>
            <m:r>
              <w:rPr>
                <w:rFonts w:ascii="Cambria Math" w:hAnsi="Cambria Math"/>
              </w:rPr>
              <m:t>f</m:t>
            </m:r>
            <m:ctrlPr>
              <w:rPr>
                <w:rFonts w:ascii="Cambria Math" w:hAnsi="Cambria Math"/>
              </w:rPr>
            </m:ctrlPr>
          </m:e>
          <m:sub>
            <m:r>
              <w:rPr>
                <w:rFonts w:ascii="Cambria Math" w:hAnsi="Cambria Math"/>
              </w:rPr>
              <m:t>u</m:t>
            </m:r>
          </m:sub>
          <m:sup>
            <m:r>
              <m:rPr>
                <m:nor/>
              </m:rPr>
              <w:rPr>
                <w:rFonts w:ascii="Cambria Math" w:hAnsi="Cambria Math"/>
              </w:rPr>
              <m:t>max</m:t>
            </m:r>
          </m:sup>
        </m:sSubSup>
        <m:sSub>
          <m:sSubPr>
            <m:ctrlPr>
              <w:rPr>
                <w:rFonts w:ascii="Cambria Math" w:hAnsi="Cambria Math"/>
                <w:i/>
              </w:rPr>
            </m:ctrlPr>
          </m:sSubPr>
          <m:e>
            <m:r>
              <w:rPr>
                <w:rFonts w:ascii="Cambria Math" w:hAnsi="Cambria Math"/>
              </w:rPr>
              <m:t>y</m:t>
            </m:r>
          </m:e>
          <m:sub>
            <m:r>
              <w:rPr>
                <w:rFonts w:ascii="Cambria Math" w:hAnsi="Cambria Math"/>
              </w:rPr>
              <m:t>u</m:t>
            </m:r>
          </m:sub>
        </m:sSub>
        <m:r>
          <m:rPr>
            <m:sty m:val="p"/>
          </m:rPr>
          <w:rPr>
            <w:rFonts w:ascii="Cambria Math" w:hAnsi="Cambria Math"/>
          </w:rPr>
          <m:t> ∀</m:t>
        </m:r>
        <m:r>
          <w:rPr>
            <w:rFonts w:ascii="Cambria Math" w:hAnsi="Cambria Math"/>
          </w:rPr>
          <m:t>u</m:t>
        </m:r>
        <m:r>
          <m:rPr>
            <m:sty m:val="p"/>
          </m:rPr>
          <w:rPr>
            <w:rFonts w:ascii="Cambria Math" w:hAnsi="Cambria Math"/>
          </w:rPr>
          <m:t>∈</m:t>
        </m:r>
        <m:r>
          <w:rPr>
            <w:rFonts w:ascii="Cambria Math" w:hAnsi="Cambria Math"/>
          </w:rPr>
          <m:t>U</m:t>
        </m:r>
      </m:oMath>
      <w:r w:rsidR="00A43CAC">
        <w:t xml:space="preserve"> (</w:t>
      </w:r>
      <w:r w:rsidR="00D507F6">
        <w:t>2</w:t>
      </w:r>
      <w:r w:rsidR="00A43CAC">
        <w:t>)</w:t>
      </w:r>
    </w:p>
    <w:p w14:paraId="038B5DBD" w14:textId="39BE356B" w:rsidR="00A43CAC" w:rsidRPr="00204EFD" w:rsidRDefault="00A43CAC" w:rsidP="00BD1D65">
      <w:pPr>
        <w:pStyle w:val="NormalWeb"/>
        <w:jc w:val="both"/>
      </w:pPr>
      <m:oMathPara>
        <m:oMath>
          <m:r>
            <m:rPr>
              <m:nor/>
            </m:rPr>
            <w:rPr>
              <w:rFonts w:ascii="Cambria Math" w:hAnsi="Cambria Math"/>
            </w:rPr>
            <m:t>OPEX</m:t>
          </m:r>
          <m:r>
            <w:rPr>
              <w:rFonts w:ascii="Cambria Math" w:hAnsi="Cambria Math"/>
            </w:rPr>
            <m:t>=</m:t>
          </m:r>
          <m:d>
            <m:dPr>
              <m:ctrlPr>
                <w:rPr>
                  <w:rFonts w:ascii="Cambria Math" w:hAnsi="Cambria Math"/>
                </w:rPr>
              </m:ctrlPr>
            </m:dPr>
            <m:e>
              <m:nary>
                <m:naryPr>
                  <m:chr m:val="∑"/>
                  <m:supHide m:val="1"/>
                  <m:ctrlPr>
                    <w:rPr>
                      <w:rFonts w:ascii="Cambria Math" w:hAnsi="Cambria Math"/>
                    </w:rPr>
                  </m:ctrlPr>
                </m:naryPr>
                <m:sub>
                  <m:r>
                    <w:rPr>
                      <w:rFonts w:ascii="Cambria Math" w:hAnsi="Cambria Math"/>
                    </w:rPr>
                    <m:t>r</m:t>
                  </m:r>
                  <m:r>
                    <m:rPr>
                      <m:sty m:val="p"/>
                    </m:rPr>
                    <w:rPr>
                      <w:rFonts w:ascii="Cambria Math" w:hAnsi="Cambria Math"/>
                    </w:rPr>
                    <m:t>∈</m:t>
                  </m:r>
                  <m:r>
                    <w:rPr>
                      <w:rFonts w:ascii="Cambria Math" w:hAnsi="Cambria Math"/>
                    </w:rPr>
                    <m:t>R</m:t>
                  </m:r>
                  <m:ctrlPr>
                    <w:rPr>
                      <w:rFonts w:ascii="Cambria Math" w:hAnsi="Cambria Math"/>
                      <w:i/>
                    </w:rPr>
                  </m:ctrlPr>
                </m:sub>
                <m:sup>
                  <m:ctrlPr>
                    <w:rPr>
                      <w:rFonts w:ascii="Cambria Math" w:hAnsi="Cambria Math"/>
                      <w:i/>
                    </w:rPr>
                  </m:ctrlPr>
                </m:sup>
                <m:e>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m:t>
                      </m:r>
                    </m:sup>
                  </m:sSubSup>
                  <m:acc>
                    <m:accPr>
                      <m:chr m:val="̇"/>
                      <m:ctrlPr>
                        <w:rPr>
                          <w:rFonts w:ascii="Cambria Math" w:hAnsi="Cambria Math"/>
                        </w:rPr>
                      </m:ctrlPr>
                    </m:accPr>
                    <m:e>
                      <m:sSubSup>
                        <m:sSubSupPr>
                          <m:ctrlPr>
                            <w:rPr>
                              <w:rFonts w:ascii="Cambria Math" w:hAnsi="Cambria Math"/>
                              <w:i/>
                            </w:rPr>
                          </m:ctrlPr>
                        </m:sSubSupPr>
                        <m:e>
                          <m:r>
                            <w:rPr>
                              <w:rFonts w:ascii="Cambria Math" w:hAnsi="Cambria Math"/>
                            </w:rPr>
                            <m:t>m</m:t>
                          </m:r>
                          <m:ctrlPr>
                            <w:rPr>
                              <w:rFonts w:ascii="Cambria Math" w:hAnsi="Cambria Math"/>
                            </w:rPr>
                          </m:ctrlPr>
                        </m:e>
                        <m:sub>
                          <m:r>
                            <w:rPr>
                              <w:rFonts w:ascii="Cambria Math" w:hAnsi="Cambria Math"/>
                            </w:rPr>
                            <m:t>r</m:t>
                          </m:r>
                        </m:sub>
                        <m:sup>
                          <m:r>
                            <w:rPr>
                              <w:rFonts w:ascii="Cambria Math" w:hAnsi="Cambria Math"/>
                            </w:rPr>
                            <m:t>+</m:t>
                          </m:r>
                        </m:sup>
                      </m:sSubSup>
                    </m:e>
                  </m:acc>
                  <m:ctrlPr>
                    <w:rPr>
                      <w:rFonts w:ascii="Cambria Math" w:hAnsi="Cambria Math"/>
                      <w:i/>
                    </w:rPr>
                  </m:ctrlPr>
                </m:e>
              </m:nary>
              <m:r>
                <w:rPr>
                  <w:rFonts w:ascii="Cambria Math" w:hAnsi="Cambria Math"/>
                </w:rPr>
                <m:t>+</m:t>
              </m:r>
              <m:nary>
                <m:naryPr>
                  <m:chr m:val="∑"/>
                  <m:supHide m:val="1"/>
                  <m:ctrlPr>
                    <w:rPr>
                      <w:rFonts w:ascii="Cambria Math" w:hAnsi="Cambria Math"/>
                    </w:rPr>
                  </m:ctrlPr>
                </m:naryPr>
                <m:sub>
                  <m:r>
                    <w:rPr>
                      <w:rFonts w:ascii="Cambria Math" w:hAnsi="Cambria Math"/>
                    </w:rPr>
                    <m:t>r</m:t>
                  </m:r>
                  <m:r>
                    <m:rPr>
                      <m:sty m:val="p"/>
                    </m:rPr>
                    <w:rPr>
                      <w:rFonts w:ascii="Cambria Math" w:hAnsi="Cambria Math"/>
                    </w:rPr>
                    <m:t>∈</m:t>
                  </m:r>
                  <m:r>
                    <w:rPr>
                      <w:rFonts w:ascii="Cambria Math" w:hAnsi="Cambria Math"/>
                    </w:rPr>
                    <m:t>R</m:t>
                  </m:r>
                  <m:ctrlPr>
                    <w:rPr>
                      <w:rFonts w:ascii="Cambria Math" w:hAnsi="Cambria Math"/>
                      <w:i/>
                    </w:rPr>
                  </m:ctrlPr>
                </m:sub>
                <m:sup>
                  <m:ctrlPr>
                    <w:rPr>
                      <w:rFonts w:ascii="Cambria Math" w:hAnsi="Cambria Math"/>
                      <w:i/>
                    </w:rPr>
                  </m:ctrlPr>
                </m:sup>
                <m:e>
                  <m:sSubSup>
                    <m:sSubSupPr>
                      <m:ctrlPr>
                        <w:rPr>
                          <w:rFonts w:ascii="Cambria Math" w:hAnsi="Cambria Math"/>
                          <w:i/>
                        </w:rPr>
                      </m:ctrlPr>
                    </m:sSubSupPr>
                    <m:e>
                      <m:r>
                        <w:rPr>
                          <w:rFonts w:ascii="Cambria Math" w:hAnsi="Cambria Math"/>
                        </w:rPr>
                        <m:t>c</m:t>
                      </m:r>
                    </m:e>
                    <m:sub>
                      <m:r>
                        <w:rPr>
                          <w:rFonts w:ascii="Cambria Math" w:hAnsi="Cambria Math"/>
                        </w:rPr>
                        <m:t>r</m:t>
                      </m:r>
                    </m:sub>
                    <m:sup>
                      <m:r>
                        <w:rPr>
                          <w:rFonts w:ascii="Cambria Math" w:hAnsi="Cambria Math"/>
                        </w:rPr>
                        <m:t>-</m:t>
                      </m:r>
                    </m:sup>
                  </m:sSubSup>
                  <m:acc>
                    <m:accPr>
                      <m:chr m:val="̇"/>
                      <m:ctrlPr>
                        <w:rPr>
                          <w:rFonts w:ascii="Cambria Math" w:hAnsi="Cambria Math"/>
                        </w:rPr>
                      </m:ctrlPr>
                    </m:accPr>
                    <m:e>
                      <m:sSubSup>
                        <m:sSubSupPr>
                          <m:ctrlPr>
                            <w:rPr>
                              <w:rFonts w:ascii="Cambria Math" w:hAnsi="Cambria Math"/>
                              <w:i/>
                            </w:rPr>
                          </m:ctrlPr>
                        </m:sSubSupPr>
                        <m:e>
                          <m:r>
                            <w:rPr>
                              <w:rFonts w:ascii="Cambria Math" w:hAnsi="Cambria Math"/>
                            </w:rPr>
                            <m:t>m</m:t>
                          </m:r>
                          <m:ctrlPr>
                            <w:rPr>
                              <w:rFonts w:ascii="Cambria Math" w:hAnsi="Cambria Math"/>
                            </w:rPr>
                          </m:ctrlPr>
                        </m:e>
                        <m:sub>
                          <m:r>
                            <w:rPr>
                              <w:rFonts w:ascii="Cambria Math" w:hAnsi="Cambria Math"/>
                            </w:rPr>
                            <m:t>r</m:t>
                          </m:r>
                        </m:sub>
                        <m:sup>
                          <m:r>
                            <w:rPr>
                              <w:rFonts w:ascii="Cambria Math" w:hAnsi="Cambria Math"/>
                            </w:rPr>
                            <m:t>-</m:t>
                          </m:r>
                        </m:sup>
                      </m:sSubSup>
                    </m:e>
                  </m:acc>
                  <m:ctrlPr>
                    <w:rPr>
                      <w:rFonts w:ascii="Cambria Math" w:hAnsi="Cambria Math"/>
                      <w:i/>
                    </w:rPr>
                  </m:ctrlPr>
                </m:e>
              </m:nary>
              <m:r>
                <w:rPr>
                  <w:rFonts w:ascii="Cambria Math" w:hAnsi="Cambria Math"/>
                </w:rPr>
                <m:t>+</m:t>
              </m:r>
              <m:nary>
                <m:naryPr>
                  <m:chr m:val="∑"/>
                  <m:supHide m:val="1"/>
                  <m:ctrlPr>
                    <w:rPr>
                      <w:rFonts w:ascii="Cambria Math" w:hAnsi="Cambria Math"/>
                    </w:rPr>
                  </m:ctrlPr>
                </m:naryPr>
                <m:sub>
                  <m:r>
                    <w:rPr>
                      <w:rFonts w:ascii="Cambria Math" w:hAnsi="Cambria Math"/>
                    </w:rPr>
                    <m:t>u</m:t>
                  </m:r>
                  <m:r>
                    <m:rPr>
                      <m:sty m:val="p"/>
                    </m:rPr>
                    <w:rPr>
                      <w:rFonts w:ascii="Cambria Math" w:hAnsi="Cambria Math"/>
                    </w:rPr>
                    <m:t>∈</m:t>
                  </m:r>
                  <m:r>
                    <w:rPr>
                      <w:rFonts w:ascii="Cambria Math" w:hAnsi="Cambria Math"/>
                    </w:rPr>
                    <m:t>U</m:t>
                  </m:r>
                  <m:ctrlPr>
                    <w:rPr>
                      <w:rFonts w:ascii="Cambria Math" w:hAnsi="Cambria Math"/>
                      <w:i/>
                    </w:rPr>
                  </m:ctrlPr>
                </m:sub>
                <m:sup>
                  <m:ctrlPr>
                    <w:rPr>
                      <w:rFonts w:ascii="Cambria Math" w:hAnsi="Cambria Math"/>
                      <w:i/>
                    </w:rPr>
                  </m:ctrlPr>
                </m:sup>
                <m:e>
                  <m:sSubSup>
                    <m:sSubSupPr>
                      <m:ctrlPr>
                        <w:rPr>
                          <w:rFonts w:ascii="Cambria Math" w:hAnsi="Cambria Math"/>
                          <w:i/>
                        </w:rPr>
                      </m:ctrlPr>
                    </m:sSubSupPr>
                    <m:e>
                      <m:r>
                        <w:rPr>
                          <w:rFonts w:ascii="Cambria Math" w:hAnsi="Cambria Math"/>
                        </w:rPr>
                        <m:t>c</m:t>
                      </m:r>
                    </m:e>
                    <m:sub>
                      <m:r>
                        <w:rPr>
                          <w:rFonts w:ascii="Cambria Math" w:hAnsi="Cambria Math"/>
                        </w:rPr>
                        <m:t>u</m:t>
                      </m:r>
                    </m:sub>
                    <m:sup>
                      <m:r>
                        <m:rPr>
                          <m:nor/>
                        </m:rPr>
                        <w:rPr>
                          <w:rFonts w:ascii="Cambria Math" w:hAnsi="Cambria Math"/>
                        </w:rPr>
                        <m:t>op</m:t>
                      </m:r>
                    </m:sup>
                  </m:sSubSup>
                  <m:sSub>
                    <m:sSubPr>
                      <m:ctrlPr>
                        <w:rPr>
                          <w:rFonts w:ascii="Cambria Math" w:hAnsi="Cambria Math"/>
                          <w:i/>
                        </w:rPr>
                      </m:ctrlPr>
                    </m:sSubPr>
                    <m:e>
                      <m:r>
                        <w:rPr>
                          <w:rFonts w:ascii="Cambria Math" w:hAnsi="Cambria Math"/>
                        </w:rPr>
                        <m:t>f</m:t>
                      </m:r>
                    </m:e>
                    <m:sub>
                      <m:r>
                        <w:rPr>
                          <w:rFonts w:ascii="Cambria Math" w:hAnsi="Cambria Math"/>
                        </w:rPr>
                        <m:t>u</m:t>
                      </m:r>
                    </m:sub>
                  </m:sSub>
                  <m:ctrlPr>
                    <w:rPr>
                      <w:rFonts w:ascii="Cambria Math" w:hAnsi="Cambria Math"/>
                      <w:i/>
                    </w:rPr>
                  </m:ctrlPr>
                </m:e>
              </m:nary>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e</m:t>
                  </m:r>
                </m:sub>
                <m:sup>
                  <m:r>
                    <w:rPr>
                      <w:rFonts w:ascii="Cambria Math" w:hAnsi="Cambria Math"/>
                    </w:rPr>
                    <m:t>+</m:t>
                  </m:r>
                </m:sup>
              </m:sSubSup>
              <m:acc>
                <m:accPr>
                  <m:chr m:val="̇"/>
                  <m:ctrlPr>
                    <w:rPr>
                      <w:rFonts w:ascii="Cambria Math" w:hAnsi="Cambria Math"/>
                    </w:rPr>
                  </m:ctrlPr>
                </m:accPr>
                <m:e>
                  <m:sSup>
                    <m:sSupPr>
                      <m:ctrlPr>
                        <w:rPr>
                          <w:rFonts w:ascii="Cambria Math" w:hAnsi="Cambria Math"/>
                          <w:i/>
                        </w:rPr>
                      </m:ctrlPr>
                    </m:sSupPr>
                    <m:e>
                      <m:r>
                        <w:rPr>
                          <w:rFonts w:ascii="Cambria Math" w:hAnsi="Cambria Math"/>
                        </w:rPr>
                        <m:t>E</m:t>
                      </m:r>
                      <m:ctrlPr>
                        <w:rPr>
                          <w:rFonts w:ascii="Cambria Math" w:hAnsi="Cambria Math"/>
                        </w:rPr>
                      </m:ctrlPr>
                    </m:e>
                    <m:sup>
                      <m:r>
                        <w:rPr>
                          <w:rFonts w:ascii="Cambria Math" w:hAnsi="Cambria Math"/>
                        </w:rPr>
                        <m:t>+</m:t>
                      </m:r>
                    </m:sup>
                  </m:sSup>
                </m:e>
              </m:acc>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e</m:t>
                  </m:r>
                </m:sub>
                <m:sup>
                  <m:r>
                    <w:rPr>
                      <w:rFonts w:ascii="Cambria Math" w:hAnsi="Cambria Math"/>
                    </w:rPr>
                    <m:t>-</m:t>
                  </m:r>
                </m:sup>
              </m:sSubSup>
              <m:acc>
                <m:accPr>
                  <m:chr m:val="̇"/>
                  <m:ctrlPr>
                    <w:rPr>
                      <w:rFonts w:ascii="Cambria Math" w:hAnsi="Cambria Math"/>
                    </w:rPr>
                  </m:ctrlPr>
                </m:accPr>
                <m:e>
                  <m:sSup>
                    <m:sSupPr>
                      <m:ctrlPr>
                        <w:rPr>
                          <w:rFonts w:ascii="Cambria Math" w:hAnsi="Cambria Math"/>
                          <w:i/>
                        </w:rPr>
                      </m:ctrlPr>
                    </m:sSupPr>
                    <m:e>
                      <m:r>
                        <w:rPr>
                          <w:rFonts w:ascii="Cambria Math" w:hAnsi="Cambria Math"/>
                        </w:rPr>
                        <m:t>E</m:t>
                      </m:r>
                      <m:ctrlPr>
                        <w:rPr>
                          <w:rFonts w:ascii="Cambria Math" w:hAnsi="Cambria Math"/>
                        </w:rPr>
                      </m:ctrlPr>
                    </m:e>
                    <m:sup>
                      <m:r>
                        <w:rPr>
                          <w:rFonts w:ascii="Cambria Math" w:hAnsi="Cambria Math"/>
                        </w:rPr>
                        <m:t>-</m:t>
                      </m:r>
                    </m:sup>
                  </m:sSup>
                </m:e>
              </m:acc>
              <m:ctrlPr>
                <w:rPr>
                  <w:rFonts w:ascii="Cambria Math" w:hAnsi="Cambria Math"/>
                  <w:i/>
                </w:rPr>
              </m:ctrlPr>
            </m:e>
          </m:d>
          <m:sSup>
            <m:sSupPr>
              <m:ctrlPr>
                <w:rPr>
                  <w:rFonts w:ascii="Cambria Math" w:hAnsi="Cambria Math"/>
                  <w:i/>
                </w:rPr>
              </m:ctrlPr>
            </m:sSupPr>
            <m:e>
              <m:r>
                <w:rPr>
                  <w:rFonts w:ascii="Cambria Math" w:hAnsi="Cambria Math"/>
                </w:rPr>
                <m:t>t</m:t>
              </m:r>
            </m:e>
            <m:sup>
              <m:r>
                <m:rPr>
                  <m:nor/>
                </m:rPr>
                <w:rPr>
                  <w:rFonts w:ascii="Cambria Math" w:hAnsi="Cambria Math"/>
                </w:rPr>
                <m:t>op</m:t>
              </m:r>
            </m:sup>
          </m:sSup>
          <m:r>
            <m:rPr>
              <m:sty m:val="p"/>
            </m:rPr>
            <w:rPr>
              <w:rFonts w:ascii="Cambria Math" w:hAnsi="Cambria Math"/>
            </w:rPr>
            <m:t> </m:t>
          </m:r>
          <m:d>
            <m:dPr>
              <m:ctrlPr>
                <w:rPr>
                  <w:rFonts w:ascii="Cambria Math" w:hAnsi="Cambria Math"/>
                  <w:i/>
                </w:rPr>
              </m:ctrlPr>
            </m:dPr>
            <m:e>
              <m:r>
                <w:rPr>
                  <w:rFonts w:ascii="Cambria Math" w:hAnsi="Cambria Math"/>
                </w:rPr>
                <m:t>3</m:t>
              </m:r>
            </m:e>
          </m:d>
        </m:oMath>
      </m:oMathPara>
    </w:p>
    <w:p w14:paraId="1E3354FD" w14:textId="77777777" w:rsidR="00837A87" w:rsidRDefault="00A43CAC" w:rsidP="00BD1D65">
      <w:pPr>
        <w:pStyle w:val="NormalWeb"/>
        <w:jc w:val="both"/>
      </w:pPr>
      <w:r w:rsidRPr="00204EFD">
        <w:t>where, for the CAPEX</w:t>
      </w:r>
      <w:r w:rsidR="00837A87">
        <w:t>:</w:t>
      </w:r>
    </w:p>
    <w:p w14:paraId="68586CD4" w14:textId="77777777" w:rsidR="00837A87" w:rsidRDefault="00A43CAC" w:rsidP="00BD1D65">
      <w:pPr>
        <w:pStyle w:val="NormalWeb"/>
        <w:numPr>
          <w:ilvl w:val="0"/>
          <w:numId w:val="5"/>
        </w:numPr>
        <w:jc w:val="both"/>
      </w:pPr>
      <w:r w:rsidRPr="00204EFD">
        <w:rPr>
          <w:i/>
          <w:iCs/>
        </w:rPr>
        <w:t xml:space="preserve">u </w:t>
      </w:r>
      <w:r w:rsidRPr="00204EFD">
        <w:rPr>
          <w:rFonts w:ascii="Cambria Math" w:hAnsi="Cambria Math" w:cs="Cambria Math"/>
        </w:rPr>
        <w:t>∈</w:t>
      </w:r>
      <w:r w:rsidRPr="00204EFD">
        <w:t xml:space="preserve"> </w:t>
      </w:r>
      <w:r w:rsidRPr="00204EFD">
        <w:rPr>
          <w:i/>
          <w:iCs/>
        </w:rPr>
        <w:t xml:space="preserve">U </w:t>
      </w:r>
      <w:r w:rsidRPr="00204EFD">
        <w:t>are the technologies considered</w:t>
      </w:r>
    </w:p>
    <w:p w14:paraId="66C5A9C6" w14:textId="77777777" w:rsidR="00837A87" w:rsidRDefault="00A43CAC" w:rsidP="00BD1D65">
      <w:pPr>
        <w:pStyle w:val="NormalWeb"/>
        <w:numPr>
          <w:ilvl w:val="0"/>
          <w:numId w:val="5"/>
        </w:numPr>
        <w:jc w:val="both"/>
      </w:pPr>
      <w:r w:rsidRPr="00204EFD">
        <w:rPr>
          <w:i/>
          <w:iCs/>
        </w:rPr>
        <w:t xml:space="preserve">N </w:t>
      </w:r>
      <w:r w:rsidRPr="00204EFD">
        <w:t xml:space="preserve">is the lifetime or expected project lifetime in years, </w:t>
      </w:r>
    </w:p>
    <w:p w14:paraId="0475DE03" w14:textId="77777777" w:rsidR="00837A87" w:rsidRDefault="00A43CAC" w:rsidP="00BD1D65">
      <w:pPr>
        <w:pStyle w:val="NormalWeb"/>
        <w:numPr>
          <w:ilvl w:val="0"/>
          <w:numId w:val="5"/>
        </w:numPr>
        <w:jc w:val="both"/>
      </w:pPr>
      <w:r w:rsidRPr="00204EFD">
        <w:rPr>
          <w:i/>
          <w:iCs/>
        </w:rPr>
        <w:t xml:space="preserve">i </w:t>
      </w:r>
      <w:r w:rsidRPr="00204EFD">
        <w:t xml:space="preserve">is the interest rate, </w:t>
      </w:r>
    </w:p>
    <w:p w14:paraId="1727995A" w14:textId="77777777" w:rsidR="00837A87" w:rsidRDefault="00A43CAC" w:rsidP="00BD1D65">
      <w:pPr>
        <w:pStyle w:val="NormalWeb"/>
        <w:numPr>
          <w:ilvl w:val="0"/>
          <w:numId w:val="5"/>
        </w:numPr>
        <w:jc w:val="both"/>
      </w:pPr>
      <w:r w:rsidRPr="00204EFD">
        <w:rPr>
          <w:i/>
          <w:iCs/>
        </w:rPr>
        <w:t>c</w:t>
      </w:r>
      <w:r w:rsidRPr="00204EFD">
        <w:rPr>
          <w:position w:val="8"/>
          <w:vertAlign w:val="superscript"/>
        </w:rPr>
        <w:t>inv</w:t>
      </w:r>
      <w:r w:rsidRPr="00204EFD">
        <w:rPr>
          <w:position w:val="8"/>
        </w:rPr>
        <w:t xml:space="preserve"> </w:t>
      </w:r>
      <w:r w:rsidRPr="00204EFD">
        <w:t xml:space="preserve">is </w:t>
      </w:r>
      <w:r w:rsidRPr="00204EFD">
        <w:rPr>
          <w:i/>
          <w:iCs/>
        </w:rPr>
        <w:t xml:space="preserve">u </w:t>
      </w:r>
      <w:r w:rsidRPr="00204EFD">
        <w:t xml:space="preserve">the fixed investment cost of unit </w:t>
      </w:r>
      <w:r w:rsidRPr="00204EFD">
        <w:rPr>
          <w:i/>
          <w:iCs/>
        </w:rPr>
        <w:t>u</w:t>
      </w:r>
      <w:r w:rsidRPr="00204EFD">
        <w:t>, in</w:t>
      </w:r>
      <w:r w:rsidR="003D1EA3">
        <w:t xml:space="preserve"> </w:t>
      </w:r>
      <w:r w:rsidR="00837A87">
        <w:t>CHF</w:t>
      </w:r>
      <w:r w:rsidRPr="00204EFD">
        <w:t xml:space="preserve">. </w:t>
      </w:r>
    </w:p>
    <w:p w14:paraId="7718AE23" w14:textId="0245365D" w:rsidR="00837A87" w:rsidRDefault="00A43CAC" w:rsidP="00BD1D65">
      <w:pPr>
        <w:pStyle w:val="NoSpacing"/>
        <w:jc w:val="both"/>
      </w:pPr>
      <w:r w:rsidRPr="00204EFD">
        <w:t xml:space="preserve">The CAPEX is constrained by the sizing factors </w:t>
      </w:r>
      <w:r w:rsidRPr="00204EFD">
        <w:rPr>
          <w:i/>
          <w:iCs/>
        </w:rPr>
        <w:t>f</w:t>
      </w:r>
      <w:r w:rsidRPr="00204EFD">
        <w:rPr>
          <w:i/>
          <w:iCs/>
          <w:vertAlign w:val="superscript"/>
        </w:rPr>
        <w:t xml:space="preserve"> </w:t>
      </w:r>
      <w:r w:rsidRPr="00204EFD">
        <w:rPr>
          <w:position w:val="8"/>
          <w:vertAlign w:val="superscript"/>
        </w:rPr>
        <w:t>min</w:t>
      </w:r>
      <w:r w:rsidRPr="00204EFD">
        <w:rPr>
          <w:position w:val="8"/>
        </w:rPr>
        <w:t xml:space="preserve"> </w:t>
      </w:r>
      <w:r w:rsidRPr="00204EFD">
        <w:rPr>
          <w:i/>
          <w:iCs/>
          <w:vertAlign w:val="subscript"/>
        </w:rPr>
        <w:t>u</w:t>
      </w:r>
      <w:r w:rsidRPr="00204EFD">
        <w:rPr>
          <w:i/>
          <w:iCs/>
        </w:rPr>
        <w:t xml:space="preserve"> </w:t>
      </w:r>
      <w:r w:rsidRPr="00204EFD">
        <w:t xml:space="preserve">and </w:t>
      </w:r>
      <w:r w:rsidRPr="00204EFD">
        <w:rPr>
          <w:i/>
          <w:iCs/>
        </w:rPr>
        <w:t>f</w:t>
      </w:r>
      <w:r w:rsidRPr="00204EFD">
        <w:rPr>
          <w:position w:val="8"/>
          <w:vertAlign w:val="superscript"/>
        </w:rPr>
        <w:t>max</w:t>
      </w:r>
      <w:r w:rsidRPr="00204EFD">
        <w:t xml:space="preserve">, which ensure that the selected technology is neither oversized nor undersized, taking </w:t>
      </w:r>
      <w:r w:rsidRPr="00204EFD">
        <w:rPr>
          <w:i/>
          <w:iCs/>
        </w:rPr>
        <w:t xml:space="preserve">u </w:t>
      </w:r>
      <w:r w:rsidRPr="00204EFD">
        <w:t xml:space="preserve">into account the associated costs and material flows. </w:t>
      </w:r>
      <w:r w:rsidR="00B43A25">
        <w:t>CAPEX calculation for the waste treatment plants</w:t>
      </w:r>
      <w:r w:rsidR="00242100">
        <w:t xml:space="preserve"> </w:t>
      </w:r>
      <w:r w:rsidR="00B43A25">
        <w:t>includes the cost of all the equipment</w:t>
      </w:r>
      <w:r w:rsidR="00E8227B">
        <w:t xml:space="preserve"> </w:t>
      </w:r>
      <w:r w:rsidR="00B43A25">
        <w:t xml:space="preserve">used in the process (pumps, heat exchangers, columns, etc.), as well as bulk item (piping, valves, etc.). </w:t>
      </w:r>
    </w:p>
    <w:p w14:paraId="24D69F75" w14:textId="77777777" w:rsidR="00837A87" w:rsidRDefault="00837A87" w:rsidP="00BD1D65">
      <w:pPr>
        <w:pStyle w:val="NoSpacing"/>
        <w:jc w:val="both"/>
      </w:pPr>
    </w:p>
    <w:p w14:paraId="6A4366C1" w14:textId="6AA2A657" w:rsidR="00837A87" w:rsidRDefault="00527B29" w:rsidP="00BD1D65">
      <w:pPr>
        <w:pStyle w:val="NoSpacing"/>
        <w:jc w:val="both"/>
      </w:pPr>
      <w:r>
        <w:t>And w</w:t>
      </w:r>
      <w:r w:rsidR="00837A87">
        <w:t xml:space="preserve">here, for </w:t>
      </w:r>
      <w:r w:rsidR="00A43CAC" w:rsidRPr="00204EFD">
        <w:t>the OPEX</w:t>
      </w:r>
      <w:r w:rsidR="00837A87">
        <w:t xml:space="preserve">: </w:t>
      </w:r>
    </w:p>
    <w:p w14:paraId="286421A1" w14:textId="77777777" w:rsidR="00837A87" w:rsidRDefault="00A43CAC" w:rsidP="00BD1D65">
      <w:pPr>
        <w:pStyle w:val="NoSpacing"/>
        <w:numPr>
          <w:ilvl w:val="0"/>
          <w:numId w:val="7"/>
        </w:numPr>
        <w:jc w:val="both"/>
      </w:pPr>
      <w:r w:rsidRPr="00204EFD">
        <w:rPr>
          <w:i/>
          <w:iCs/>
        </w:rPr>
        <w:t>c</w:t>
      </w:r>
      <w:r w:rsidRPr="00204EFD">
        <w:rPr>
          <w:position w:val="8"/>
          <w:vertAlign w:val="superscript"/>
        </w:rPr>
        <w:t>+</w:t>
      </w:r>
      <w:r w:rsidRPr="00204EFD">
        <w:rPr>
          <w:i/>
          <w:iCs/>
          <w:position w:val="-4"/>
          <w:vertAlign w:val="subscript"/>
        </w:rPr>
        <w:t>r</w:t>
      </w:r>
      <w:r w:rsidRPr="00204EFD">
        <w:rPr>
          <w:i/>
          <w:iCs/>
          <w:position w:val="-4"/>
        </w:rPr>
        <w:t xml:space="preserve"> </w:t>
      </w:r>
      <w:r w:rsidRPr="00204EFD">
        <w:t>/</w:t>
      </w:r>
      <w:r w:rsidRPr="00204EFD">
        <w:rPr>
          <w:i/>
          <w:iCs/>
        </w:rPr>
        <w:t>c</w:t>
      </w:r>
      <w:r w:rsidRPr="00204EFD">
        <w:rPr>
          <w:position w:val="8"/>
          <w:vertAlign w:val="superscript"/>
        </w:rPr>
        <w:t>−</w:t>
      </w:r>
      <w:r w:rsidRPr="00204EFD">
        <w:rPr>
          <w:i/>
          <w:iCs/>
          <w:position w:val="-4"/>
          <w:vertAlign w:val="subscript"/>
        </w:rPr>
        <w:t>r</w:t>
      </w:r>
      <w:r w:rsidRPr="00204EFD">
        <w:rPr>
          <w:i/>
          <w:iCs/>
          <w:position w:val="-4"/>
        </w:rPr>
        <w:t xml:space="preserve"> </w:t>
      </w:r>
      <w:r w:rsidR="00837A87" w:rsidRPr="00204EFD">
        <w:t>i</w:t>
      </w:r>
      <w:r w:rsidR="00837A87">
        <w:t>s</w:t>
      </w:r>
      <w:r w:rsidR="00837A87" w:rsidRPr="00204EFD">
        <w:t xml:space="preserve"> the specific cost </w:t>
      </w:r>
      <w:r w:rsidRPr="00204EFD">
        <w:t xml:space="preserve">of purchasing/selling the resource </w:t>
      </w:r>
      <w:r w:rsidRPr="00204EFD">
        <w:rPr>
          <w:i/>
          <w:iCs/>
        </w:rPr>
        <w:t xml:space="preserve">r </w:t>
      </w:r>
      <w:r w:rsidRPr="00204EFD">
        <w:t xml:space="preserve">(in </w:t>
      </w:r>
      <w:r w:rsidR="00837A87">
        <w:t>CHF</w:t>
      </w:r>
      <w:r w:rsidRPr="00204EFD">
        <w:t xml:space="preserve">/kg or </w:t>
      </w:r>
      <w:r w:rsidR="00837A87">
        <w:t>CHF</w:t>
      </w:r>
      <w:r w:rsidRPr="00204EFD">
        <w:t xml:space="preserve">/kWh), </w:t>
      </w:r>
    </w:p>
    <w:p w14:paraId="36D017FE" w14:textId="77777777" w:rsidR="00837A87" w:rsidRDefault="00A43CAC" w:rsidP="00BD1D65">
      <w:pPr>
        <w:pStyle w:val="NoSpacing"/>
        <w:numPr>
          <w:ilvl w:val="0"/>
          <w:numId w:val="7"/>
        </w:numPr>
        <w:jc w:val="both"/>
      </w:pPr>
      <w:r w:rsidRPr="00204EFD">
        <w:t xml:space="preserve">multiplied by the flow of the given resource </w:t>
      </w:r>
      <w:r w:rsidRPr="00204EFD">
        <w:rPr>
          <w:i/>
          <w:iCs/>
        </w:rPr>
        <w:t>m</w:t>
      </w:r>
      <w:r w:rsidRPr="00204EFD">
        <w:t xml:space="preserve"> ̇</w:t>
      </w:r>
      <w:r w:rsidRPr="00204EFD">
        <w:rPr>
          <w:vertAlign w:val="superscript"/>
        </w:rPr>
        <w:t xml:space="preserve"> </w:t>
      </w:r>
      <w:r w:rsidRPr="00204EFD">
        <w:rPr>
          <w:position w:val="8"/>
          <w:vertAlign w:val="superscript"/>
        </w:rPr>
        <w:t>+</w:t>
      </w:r>
      <w:r w:rsidRPr="00204EFD">
        <w:rPr>
          <w:i/>
          <w:iCs/>
          <w:position w:val="-4"/>
          <w:vertAlign w:val="subscript"/>
        </w:rPr>
        <w:t>r</w:t>
      </w:r>
      <w:r w:rsidRPr="00204EFD">
        <w:rPr>
          <w:i/>
          <w:iCs/>
          <w:position w:val="-4"/>
        </w:rPr>
        <w:t xml:space="preserve"> </w:t>
      </w:r>
      <w:r w:rsidRPr="00204EFD">
        <w:t>/</w:t>
      </w:r>
      <w:r w:rsidRPr="00204EFD">
        <w:rPr>
          <w:i/>
          <w:iCs/>
        </w:rPr>
        <w:t>m</w:t>
      </w:r>
      <w:r w:rsidRPr="00204EFD">
        <w:t xml:space="preserve"> ̇ </w:t>
      </w:r>
      <w:r w:rsidRPr="00204EFD">
        <w:rPr>
          <w:position w:val="8"/>
          <w:vertAlign w:val="superscript"/>
        </w:rPr>
        <w:t>−</w:t>
      </w:r>
      <w:r w:rsidRPr="00204EFD">
        <w:rPr>
          <w:i/>
          <w:iCs/>
          <w:position w:val="-4"/>
          <w:vertAlign w:val="subscript"/>
        </w:rPr>
        <w:t>r</w:t>
      </w:r>
      <w:r w:rsidRPr="00204EFD">
        <w:rPr>
          <w:i/>
          <w:iCs/>
          <w:position w:val="-4"/>
        </w:rPr>
        <w:t xml:space="preserve"> </w:t>
      </w:r>
      <w:r w:rsidRPr="00204EFD">
        <w:t xml:space="preserve">, which represents the mass flow of resource </w:t>
      </w:r>
      <w:r w:rsidRPr="00204EFD">
        <w:rPr>
          <w:i/>
          <w:iCs/>
        </w:rPr>
        <w:t xml:space="preserve">r </w:t>
      </w:r>
      <w:r w:rsidRPr="00204EFD">
        <w:t xml:space="preserve">consumed/produced. </w:t>
      </w:r>
    </w:p>
    <w:p w14:paraId="71ED1A62" w14:textId="13BE126C" w:rsidR="00837A87" w:rsidRDefault="00A43CAC" w:rsidP="00BD1D65">
      <w:pPr>
        <w:pStyle w:val="NoSpacing"/>
        <w:numPr>
          <w:ilvl w:val="0"/>
          <w:numId w:val="7"/>
        </w:numPr>
        <w:jc w:val="both"/>
      </w:pPr>
      <w:r w:rsidRPr="00204EFD">
        <w:rPr>
          <w:i/>
          <w:iCs/>
        </w:rPr>
        <w:t xml:space="preserve">u </w:t>
      </w:r>
      <w:r w:rsidR="00837A87">
        <w:t xml:space="preserve">is </w:t>
      </w:r>
      <w:r w:rsidR="00837A87" w:rsidRPr="00204EFD">
        <w:t xml:space="preserve">the operating specific cost of </w:t>
      </w:r>
      <w:r w:rsidR="00E8227B">
        <w:t xml:space="preserve">a </w:t>
      </w:r>
      <w:r w:rsidR="00837A87" w:rsidRPr="00204EFD">
        <w:t xml:space="preserve">unit </w:t>
      </w:r>
      <w:r w:rsidRPr="00204EFD">
        <w:t xml:space="preserve">per mass flow, </w:t>
      </w:r>
    </w:p>
    <w:p w14:paraId="27F2A3B2" w14:textId="77777777" w:rsidR="00837A87" w:rsidRDefault="00A43CAC" w:rsidP="00BD1D65">
      <w:pPr>
        <w:pStyle w:val="NoSpacing"/>
        <w:numPr>
          <w:ilvl w:val="0"/>
          <w:numId w:val="7"/>
        </w:numPr>
        <w:jc w:val="both"/>
      </w:pPr>
      <w:r w:rsidRPr="00204EFD">
        <w:rPr>
          <w:i/>
          <w:iCs/>
        </w:rPr>
        <w:t>c</w:t>
      </w:r>
      <w:r w:rsidRPr="00204EFD">
        <w:rPr>
          <w:position w:val="8"/>
          <w:vertAlign w:val="superscript"/>
        </w:rPr>
        <w:t>+</w:t>
      </w:r>
      <w:r w:rsidRPr="00204EFD">
        <w:rPr>
          <w:i/>
          <w:iCs/>
          <w:position w:val="-4"/>
          <w:vertAlign w:val="subscript"/>
        </w:rPr>
        <w:t>e</w:t>
      </w:r>
      <w:r w:rsidRPr="00204EFD">
        <w:rPr>
          <w:i/>
          <w:iCs/>
          <w:position w:val="-4"/>
        </w:rPr>
        <w:t xml:space="preserve"> </w:t>
      </w:r>
      <w:r w:rsidRPr="00204EFD">
        <w:t>/</w:t>
      </w:r>
      <w:r w:rsidRPr="00204EFD">
        <w:rPr>
          <w:i/>
          <w:iCs/>
        </w:rPr>
        <w:t>c</w:t>
      </w:r>
      <w:r w:rsidRPr="00204EFD">
        <w:rPr>
          <w:position w:val="8"/>
          <w:vertAlign w:val="superscript"/>
        </w:rPr>
        <w:t>−</w:t>
      </w:r>
      <w:r w:rsidRPr="00204EFD">
        <w:rPr>
          <w:i/>
          <w:iCs/>
          <w:position w:val="-4"/>
          <w:vertAlign w:val="subscript"/>
        </w:rPr>
        <w:t xml:space="preserve"> e</w:t>
      </w:r>
      <w:r w:rsidRPr="00204EFD">
        <w:rPr>
          <w:i/>
          <w:iCs/>
          <w:position w:val="-4"/>
        </w:rPr>
        <w:t xml:space="preserve"> </w:t>
      </w:r>
      <w:r w:rsidR="00837A87" w:rsidRPr="00837A87">
        <w:t>is the</w:t>
      </w:r>
      <w:r w:rsidR="00837A87">
        <w:rPr>
          <w:position w:val="-4"/>
        </w:rPr>
        <w:t xml:space="preserve"> </w:t>
      </w:r>
      <w:r w:rsidRPr="00204EFD">
        <w:t>price for purchased/sold electricity (</w:t>
      </w:r>
      <w:r w:rsidR="00837A87">
        <w:t>CHF</w:t>
      </w:r>
      <w:r w:rsidRPr="00204EFD">
        <w:t>/kWh)</w:t>
      </w:r>
      <w:r w:rsidR="00837A87">
        <w:t>,</w:t>
      </w:r>
    </w:p>
    <w:p w14:paraId="2D54DB33" w14:textId="5731F4A8" w:rsidR="00B43A25" w:rsidRDefault="00A43CAC" w:rsidP="00BD1D65">
      <w:pPr>
        <w:pStyle w:val="NoSpacing"/>
        <w:numPr>
          <w:ilvl w:val="0"/>
          <w:numId w:val="7"/>
        </w:numPr>
        <w:jc w:val="both"/>
      </w:pPr>
      <w:r w:rsidRPr="00204EFD">
        <w:rPr>
          <w:i/>
          <w:iCs/>
        </w:rPr>
        <w:lastRenderedPageBreak/>
        <w:t>t</w:t>
      </w:r>
      <w:r w:rsidRPr="00204EFD">
        <w:rPr>
          <w:position w:val="8"/>
          <w:vertAlign w:val="superscript"/>
        </w:rPr>
        <w:t>op</w:t>
      </w:r>
      <w:r w:rsidRPr="00204EFD">
        <w:rPr>
          <w:position w:val="8"/>
        </w:rPr>
        <w:t xml:space="preserve"> </w:t>
      </w:r>
      <w:r w:rsidRPr="00204EFD">
        <w:t>(h/year)</w:t>
      </w:r>
      <w:r w:rsidR="00837A87">
        <w:t xml:space="preserve"> is the total operating time of the plant</w:t>
      </w:r>
      <w:r w:rsidRPr="00204EFD">
        <w:t xml:space="preserve">. </w:t>
      </w:r>
    </w:p>
    <w:p w14:paraId="21A9B811" w14:textId="77777777" w:rsidR="00A170DD" w:rsidRDefault="00A170DD" w:rsidP="00BD1D65">
      <w:pPr>
        <w:pStyle w:val="NoSpacing"/>
        <w:jc w:val="both"/>
      </w:pPr>
    </w:p>
    <w:p w14:paraId="4DB91879" w14:textId="5F877091" w:rsidR="00A170DD" w:rsidRPr="001D3ABE" w:rsidRDefault="00A170DD" w:rsidP="00BD1D65">
      <w:pPr>
        <w:pStyle w:val="Heading2"/>
        <w:jc w:val="both"/>
      </w:pPr>
      <w:bookmarkStart w:id="12" w:name="_Toc234499925"/>
      <w:r>
        <w:t>S-M2.3 OPEX details</w:t>
      </w:r>
      <w:bookmarkEnd w:id="12"/>
    </w:p>
    <w:p w14:paraId="2C4E0E9B" w14:textId="7A76DEF0" w:rsidR="00206EE8" w:rsidRDefault="00FC5B2D" w:rsidP="00BD1D65">
      <w:pPr>
        <w:pStyle w:val="NoSpacing"/>
        <w:jc w:val="both"/>
        <w:rPr>
          <w:lang w:val="en-GB"/>
        </w:rPr>
      </w:pPr>
      <w:r>
        <w:rPr>
          <w:lang w:val="en-GB"/>
        </w:rPr>
        <w:t xml:space="preserve">The detailed costs considered for mass and energy flows are displayed </w:t>
      </w:r>
      <w:r w:rsidR="00206EE8">
        <w:rPr>
          <w:lang w:val="en-GB"/>
        </w:rPr>
        <w:t>in Table 6.</w:t>
      </w:r>
    </w:p>
    <w:p w14:paraId="4C81CECC" w14:textId="77777777" w:rsidR="00206EE8" w:rsidRDefault="00206EE8" w:rsidP="00BD1D65">
      <w:pPr>
        <w:pStyle w:val="NoSpacing"/>
        <w:jc w:val="both"/>
        <w:rPr>
          <w:lang w:val="en-GB"/>
        </w:rPr>
      </w:pPr>
    </w:p>
    <w:tbl>
      <w:tblPr>
        <w:tblStyle w:val="TableGridLight"/>
        <w:tblW w:w="8925" w:type="dxa"/>
        <w:tblLook w:val="04A0" w:firstRow="1" w:lastRow="0" w:firstColumn="1" w:lastColumn="0" w:noHBand="0" w:noVBand="1"/>
      </w:tblPr>
      <w:tblGrid>
        <w:gridCol w:w="2766"/>
        <w:gridCol w:w="1300"/>
        <w:gridCol w:w="1300"/>
        <w:gridCol w:w="3559"/>
      </w:tblGrid>
      <w:tr w:rsidR="00E173BF" w14:paraId="65B1DDD2" w14:textId="77777777" w:rsidTr="00E173BF">
        <w:trPr>
          <w:trHeight w:val="320"/>
        </w:trPr>
        <w:tc>
          <w:tcPr>
            <w:tcW w:w="2766" w:type="dxa"/>
            <w:noWrap/>
            <w:hideMark/>
          </w:tcPr>
          <w:p w14:paraId="02AE5EAE" w14:textId="77777777" w:rsidR="00E173BF" w:rsidRPr="00BD1D65" w:rsidRDefault="00E173BF" w:rsidP="00BD1D65">
            <w:pPr>
              <w:jc w:val="both"/>
            </w:pPr>
            <w:r w:rsidRPr="00BD1D65">
              <w:t>Flow</w:t>
            </w:r>
          </w:p>
        </w:tc>
        <w:tc>
          <w:tcPr>
            <w:tcW w:w="1300" w:type="dxa"/>
            <w:noWrap/>
            <w:hideMark/>
          </w:tcPr>
          <w:p w14:paraId="7672DED2" w14:textId="77777777" w:rsidR="00E173BF" w:rsidRPr="00BD1D65" w:rsidRDefault="00E173BF" w:rsidP="00BD1D65">
            <w:pPr>
              <w:jc w:val="both"/>
            </w:pPr>
            <w:r w:rsidRPr="00BD1D65">
              <w:t>OPEX</w:t>
            </w:r>
          </w:p>
        </w:tc>
        <w:tc>
          <w:tcPr>
            <w:tcW w:w="1300" w:type="dxa"/>
            <w:noWrap/>
            <w:hideMark/>
          </w:tcPr>
          <w:p w14:paraId="2FDB258A" w14:textId="7AB7C53B" w:rsidR="00E173BF" w:rsidRPr="00BD1D65" w:rsidRDefault="00E173BF" w:rsidP="00BD1D65">
            <w:pPr>
              <w:jc w:val="both"/>
            </w:pPr>
            <w:r w:rsidRPr="00BD1D65">
              <w:t>Unit</w:t>
            </w:r>
          </w:p>
        </w:tc>
        <w:tc>
          <w:tcPr>
            <w:tcW w:w="3559" w:type="dxa"/>
            <w:noWrap/>
            <w:hideMark/>
          </w:tcPr>
          <w:p w14:paraId="053BE44C" w14:textId="77777777" w:rsidR="00E173BF" w:rsidRPr="00BD1D65" w:rsidRDefault="00E173BF" w:rsidP="00BD1D65">
            <w:pPr>
              <w:jc w:val="both"/>
            </w:pPr>
            <w:r w:rsidRPr="00BD1D65">
              <w:t>Reference</w:t>
            </w:r>
          </w:p>
        </w:tc>
      </w:tr>
      <w:tr w:rsidR="00E173BF" w14:paraId="7BF67DEE" w14:textId="77777777" w:rsidTr="00E173BF">
        <w:trPr>
          <w:trHeight w:val="320"/>
        </w:trPr>
        <w:tc>
          <w:tcPr>
            <w:tcW w:w="2766" w:type="dxa"/>
            <w:noWrap/>
            <w:hideMark/>
          </w:tcPr>
          <w:p w14:paraId="7397B38D" w14:textId="77777777" w:rsidR="00E173BF" w:rsidRDefault="00E173BF" w:rsidP="00BD1D65">
            <w:pPr>
              <w:jc w:val="both"/>
            </w:pPr>
            <w:r>
              <w:t>PET</w:t>
            </w:r>
          </w:p>
        </w:tc>
        <w:tc>
          <w:tcPr>
            <w:tcW w:w="1300" w:type="dxa"/>
            <w:noWrap/>
            <w:hideMark/>
          </w:tcPr>
          <w:p w14:paraId="1DD02881" w14:textId="77777777" w:rsidR="00E173BF" w:rsidRDefault="00E173BF" w:rsidP="00BD1D65">
            <w:pPr>
              <w:jc w:val="both"/>
            </w:pPr>
            <w:r>
              <w:t>1300</w:t>
            </w:r>
          </w:p>
        </w:tc>
        <w:tc>
          <w:tcPr>
            <w:tcW w:w="1300" w:type="dxa"/>
            <w:noWrap/>
            <w:hideMark/>
          </w:tcPr>
          <w:p w14:paraId="55AE8F24" w14:textId="77777777" w:rsidR="00E173BF" w:rsidRDefault="00E173BF" w:rsidP="00BD1D65">
            <w:pPr>
              <w:jc w:val="both"/>
            </w:pPr>
            <w:r>
              <w:t>€/t</w:t>
            </w:r>
          </w:p>
        </w:tc>
        <w:tc>
          <w:tcPr>
            <w:tcW w:w="3559" w:type="dxa"/>
            <w:noWrap/>
            <w:hideMark/>
          </w:tcPr>
          <w:p w14:paraId="24B62D59" w14:textId="5E178A73" w:rsidR="00E173BF" w:rsidRDefault="0021132B" w:rsidP="00BD1D65">
            <w:pPr>
              <w:jc w:val="both"/>
            </w:pPr>
            <w:r>
              <w:fldChar w:fldCharType="begin"/>
            </w:r>
            <w:r w:rsidR="002E66A0">
              <w:instrText xml:space="preserve"> ADDIN ZOTERO_ITEM CSL_CITATION {"citationID":"toVywM3E","properties":{"formattedCitation":"[9]","plainCitation":"[9]","noteIndex":0},"citationItems":[{"id":14045,"uris":["http://zotero.org/users/12598273/items/MAN2IFGH"],"itemData":{"id":14045,"type":"post-weblog","abstract":"PET price index since 2017. Based on the average of the key market indicators related to PET price index","citation-key":"mikePETPolyethyleneTerephthalate2020","language":"en-US","title":"PET (Polyethylene Terephthalate) price index","URL":"https://businessanalytiq.com/procurementanalytics/index/pet-price-index/","author":[{"family":"Business Analitiq","given":""}],"accessed":{"date-parts":[["2026",5,4]]},"issued":{"date-parts":[["2020",8,11]]}}}],"schema":"https://github.com/citation-style-language/schema/raw/master/csl-citation.json"} </w:instrText>
            </w:r>
            <w:r>
              <w:fldChar w:fldCharType="separate"/>
            </w:r>
            <w:r w:rsidR="002E57F4">
              <w:rPr>
                <w:noProof/>
              </w:rPr>
              <w:t>[9]</w:t>
            </w:r>
            <w:r>
              <w:fldChar w:fldCharType="end"/>
            </w:r>
          </w:p>
        </w:tc>
      </w:tr>
      <w:tr w:rsidR="00E173BF" w14:paraId="29520EC6" w14:textId="77777777" w:rsidTr="00E173BF">
        <w:trPr>
          <w:trHeight w:val="320"/>
        </w:trPr>
        <w:tc>
          <w:tcPr>
            <w:tcW w:w="2766" w:type="dxa"/>
            <w:noWrap/>
            <w:hideMark/>
          </w:tcPr>
          <w:p w14:paraId="3A4A020E" w14:textId="77777777" w:rsidR="00E173BF" w:rsidRDefault="00E173BF" w:rsidP="00BD1D65">
            <w:pPr>
              <w:jc w:val="both"/>
            </w:pPr>
            <w:r>
              <w:t>rPET</w:t>
            </w:r>
          </w:p>
        </w:tc>
        <w:tc>
          <w:tcPr>
            <w:tcW w:w="1300" w:type="dxa"/>
            <w:noWrap/>
            <w:hideMark/>
          </w:tcPr>
          <w:p w14:paraId="443DB0D2" w14:textId="77777777" w:rsidR="00E173BF" w:rsidRDefault="00E173BF" w:rsidP="00BD1D65">
            <w:pPr>
              <w:jc w:val="both"/>
            </w:pPr>
            <w:r>
              <w:t>1300</w:t>
            </w:r>
          </w:p>
        </w:tc>
        <w:tc>
          <w:tcPr>
            <w:tcW w:w="1300" w:type="dxa"/>
            <w:noWrap/>
            <w:hideMark/>
          </w:tcPr>
          <w:p w14:paraId="0DB54B0C" w14:textId="77777777" w:rsidR="00E173BF" w:rsidRDefault="00E173BF" w:rsidP="00BD1D65">
            <w:pPr>
              <w:jc w:val="both"/>
            </w:pPr>
            <w:r>
              <w:t>€/t</w:t>
            </w:r>
          </w:p>
        </w:tc>
        <w:tc>
          <w:tcPr>
            <w:tcW w:w="3559" w:type="dxa"/>
            <w:noWrap/>
            <w:hideMark/>
          </w:tcPr>
          <w:p w14:paraId="7F0CCE44" w14:textId="515B59ED" w:rsidR="00E173BF" w:rsidRDefault="0021132B" w:rsidP="00BD1D65">
            <w:pPr>
              <w:jc w:val="both"/>
            </w:pPr>
            <w:r>
              <w:fldChar w:fldCharType="begin"/>
            </w:r>
            <w:r w:rsidR="002E66A0">
              <w:instrText xml:space="preserve"> ADDIN ZOTERO_ITEM CSL_CITATION {"citationID":"6bHMjvnZ","properties":{"formattedCitation":"[9]","plainCitation":"[9]","noteIndex":0},"citationItems":[{"id":14045,"uris":["http://zotero.org/users/12598273/items/MAN2IFGH"],"itemData":{"id":14045,"type":"post-weblog","abstract":"PET price index since 2017. Based on the average of the key market indicators related to PET price index","citation-key":"mikePETPolyethyleneTerephthalate2020","language":"en-US","title":"PET (Polyethylene Terephthalate) price index","URL":"https://businessanalytiq.com/procurementanalytics/index/pet-price-index/","author":[{"family":"Business Analitiq","given":""}],"accessed":{"date-parts":[["2026",5,4]]},"issued":{"date-parts":[["2020",8,11]]}}}],"schema":"https://github.com/citation-style-language/schema/raw/master/csl-citation.json"} </w:instrText>
            </w:r>
            <w:r>
              <w:fldChar w:fldCharType="separate"/>
            </w:r>
            <w:r w:rsidR="002E57F4">
              <w:rPr>
                <w:noProof/>
              </w:rPr>
              <w:t>[9]</w:t>
            </w:r>
            <w:r>
              <w:fldChar w:fldCharType="end"/>
            </w:r>
          </w:p>
        </w:tc>
      </w:tr>
      <w:tr w:rsidR="009763FC" w14:paraId="27002AF7" w14:textId="77777777" w:rsidTr="00E173BF">
        <w:trPr>
          <w:trHeight w:val="320"/>
        </w:trPr>
        <w:tc>
          <w:tcPr>
            <w:tcW w:w="2766" w:type="dxa"/>
            <w:noWrap/>
            <w:hideMark/>
          </w:tcPr>
          <w:p w14:paraId="4C0D9660" w14:textId="5EBA76E6" w:rsidR="009763FC" w:rsidRDefault="009763FC" w:rsidP="00BD1D65">
            <w:pPr>
              <w:jc w:val="both"/>
            </w:pPr>
            <w:r>
              <w:t>Electricity</w:t>
            </w:r>
          </w:p>
        </w:tc>
        <w:tc>
          <w:tcPr>
            <w:tcW w:w="1300" w:type="dxa"/>
            <w:noWrap/>
            <w:hideMark/>
          </w:tcPr>
          <w:p w14:paraId="404EAF8D" w14:textId="19D06E13" w:rsidR="009763FC" w:rsidRDefault="009763FC" w:rsidP="00BD1D65">
            <w:pPr>
              <w:jc w:val="both"/>
            </w:pPr>
            <w:r>
              <w:t>0.085</w:t>
            </w:r>
          </w:p>
        </w:tc>
        <w:tc>
          <w:tcPr>
            <w:tcW w:w="1300" w:type="dxa"/>
            <w:noWrap/>
            <w:hideMark/>
          </w:tcPr>
          <w:p w14:paraId="25B1836C" w14:textId="78B2DA65" w:rsidR="009763FC" w:rsidRDefault="009763FC" w:rsidP="00BD1D65">
            <w:pPr>
              <w:jc w:val="both"/>
            </w:pPr>
            <w:r>
              <w:t>€/kWh</w:t>
            </w:r>
          </w:p>
        </w:tc>
        <w:bookmarkStart w:id="13" w:name="_Hlk228804018"/>
        <w:tc>
          <w:tcPr>
            <w:tcW w:w="3559" w:type="dxa"/>
            <w:noWrap/>
            <w:hideMark/>
          </w:tcPr>
          <w:p w14:paraId="260B9FDA" w14:textId="2BC0F6D3" w:rsidR="009763FC" w:rsidRDefault="0021132B" w:rsidP="00BD1D65">
            <w:pPr>
              <w:jc w:val="both"/>
            </w:pPr>
            <w:r>
              <w:fldChar w:fldCharType="begin"/>
            </w:r>
            <w:r w:rsidR="002E66A0">
              <w:instrText xml:space="preserve"> ADDIN ZOTERO_ITEM CSL_CITATION {"citationID":"ITsEr71t","properties":{"formattedCitation":"[10]","plainCitation":"[10]","noteIndex":0},"citationItems":[{"id":14047,"uris":["http://zotero.org/users/12598273/items/MX6BJNSL"],"itemData":{"id":14047,"type":"webpage","citation-key":"EnergieDashboardBundesamtFura","publisher":"Swiss Federal Office of Energy","title":"Energie-Dashboard Bundesamt für Energie","URL":"https://www.energiedashboard.admin.ch/preise/strom","author":[{"family":"SFOE","given":""}],"accessed":{"date-parts":[["2026",5,4]]},"issued":{"date-parts":[["2026"]]}}}],"schema":"https://github.com/citation-style-language/schema/raw/master/csl-citation.json"} </w:instrText>
            </w:r>
            <w:r>
              <w:fldChar w:fldCharType="separate"/>
            </w:r>
            <w:r w:rsidR="002E57F4">
              <w:rPr>
                <w:noProof/>
              </w:rPr>
              <w:t>[10]</w:t>
            </w:r>
            <w:r>
              <w:fldChar w:fldCharType="end"/>
            </w:r>
            <w:bookmarkEnd w:id="13"/>
          </w:p>
        </w:tc>
      </w:tr>
      <w:tr w:rsidR="009763FC" w14:paraId="31A5D9A4" w14:textId="77777777" w:rsidTr="00E173BF">
        <w:trPr>
          <w:trHeight w:val="320"/>
        </w:trPr>
        <w:tc>
          <w:tcPr>
            <w:tcW w:w="2766" w:type="dxa"/>
            <w:noWrap/>
            <w:hideMark/>
          </w:tcPr>
          <w:p w14:paraId="4C7D051F" w14:textId="50F73E38" w:rsidR="009763FC" w:rsidRDefault="009763FC" w:rsidP="00BD1D65">
            <w:pPr>
              <w:jc w:val="both"/>
            </w:pPr>
            <w:r>
              <w:t>MeOH</w:t>
            </w:r>
          </w:p>
        </w:tc>
        <w:tc>
          <w:tcPr>
            <w:tcW w:w="1300" w:type="dxa"/>
            <w:noWrap/>
            <w:hideMark/>
          </w:tcPr>
          <w:p w14:paraId="733A435C" w14:textId="78BC5006" w:rsidR="009763FC" w:rsidRDefault="009763FC" w:rsidP="00BD1D65">
            <w:pPr>
              <w:jc w:val="both"/>
            </w:pPr>
            <w:r>
              <w:t>600</w:t>
            </w:r>
          </w:p>
        </w:tc>
        <w:tc>
          <w:tcPr>
            <w:tcW w:w="1300" w:type="dxa"/>
            <w:noWrap/>
            <w:hideMark/>
          </w:tcPr>
          <w:p w14:paraId="1D371D1B" w14:textId="01200BD2" w:rsidR="009763FC" w:rsidRDefault="009763FC" w:rsidP="00BD1D65">
            <w:pPr>
              <w:jc w:val="both"/>
            </w:pPr>
            <w:r>
              <w:t>€/t</w:t>
            </w:r>
          </w:p>
        </w:tc>
        <w:tc>
          <w:tcPr>
            <w:tcW w:w="3559" w:type="dxa"/>
            <w:noWrap/>
            <w:hideMark/>
          </w:tcPr>
          <w:p w14:paraId="666451E0" w14:textId="093DE3FB" w:rsidR="009763FC" w:rsidRDefault="0021132B" w:rsidP="00BD1D65">
            <w:pPr>
              <w:jc w:val="both"/>
            </w:pPr>
            <w:r>
              <w:fldChar w:fldCharType="begin"/>
            </w:r>
            <w:r w:rsidR="002E66A0">
              <w:instrText xml:space="preserve"> ADDIN ZOTERO_ITEM CSL_CITATION {"citationID":"RoJQk9s4","properties":{"formattedCitation":"[11]","plainCitation":"[11]","noteIndex":0},"citationItems":[{"id":14049,"uris":["http://zotero.org/users/12598273/items/KLRUTHSP"],"itemData":{"id":14049,"type":"post-weblog","abstract":"Methanol China price index since 2017. Based on the average of the key market indicators related to Methanol China price index","citation-key":"mikeMethanolPriceIndex2020","language":"en-US","title":"Methanol price index","URL":"https://businessanalytiq.com/procurementanalytics/index/methanol-price-index/","author":[{"family":"Business Analitiq","given":""}],"accessed":{"date-parts":[["2026",5,4]]},"issued":{"date-parts":[["2020",9,13]]}}}],"schema":"https://github.com/citation-style-language/schema/raw/master/csl-citation.json"} </w:instrText>
            </w:r>
            <w:r>
              <w:fldChar w:fldCharType="separate"/>
            </w:r>
            <w:r w:rsidR="002E57F4">
              <w:rPr>
                <w:noProof/>
              </w:rPr>
              <w:t>[11]</w:t>
            </w:r>
            <w:r>
              <w:fldChar w:fldCharType="end"/>
            </w:r>
          </w:p>
        </w:tc>
      </w:tr>
      <w:tr w:rsidR="009763FC" w14:paraId="6AA67B25" w14:textId="77777777" w:rsidTr="00E173BF">
        <w:trPr>
          <w:trHeight w:val="320"/>
        </w:trPr>
        <w:tc>
          <w:tcPr>
            <w:tcW w:w="2766" w:type="dxa"/>
            <w:noWrap/>
            <w:hideMark/>
          </w:tcPr>
          <w:p w14:paraId="429B2532" w14:textId="08AEC83A" w:rsidR="009763FC" w:rsidRDefault="009763FC" w:rsidP="00BD1D65">
            <w:pPr>
              <w:jc w:val="both"/>
            </w:pPr>
            <w:r>
              <w:t>Natural Gas</w:t>
            </w:r>
          </w:p>
        </w:tc>
        <w:tc>
          <w:tcPr>
            <w:tcW w:w="1300" w:type="dxa"/>
            <w:noWrap/>
            <w:hideMark/>
          </w:tcPr>
          <w:p w14:paraId="54EEC6FB" w14:textId="312C4DD6" w:rsidR="009763FC" w:rsidRDefault="009763FC" w:rsidP="00BD1D65">
            <w:pPr>
              <w:jc w:val="both"/>
            </w:pPr>
            <w:r>
              <w:t>1.152</w:t>
            </w:r>
          </w:p>
        </w:tc>
        <w:tc>
          <w:tcPr>
            <w:tcW w:w="1300" w:type="dxa"/>
            <w:noWrap/>
            <w:hideMark/>
          </w:tcPr>
          <w:p w14:paraId="67546086" w14:textId="657A0205" w:rsidR="009763FC" w:rsidRDefault="009763FC" w:rsidP="00BD1D65">
            <w:pPr>
              <w:jc w:val="both"/>
            </w:pPr>
            <w:r>
              <w:t>€/MJ</w:t>
            </w:r>
          </w:p>
        </w:tc>
        <w:tc>
          <w:tcPr>
            <w:tcW w:w="3559" w:type="dxa"/>
            <w:noWrap/>
            <w:hideMark/>
          </w:tcPr>
          <w:p w14:paraId="2B07F09D" w14:textId="5C8F990F" w:rsidR="009763FC" w:rsidRDefault="0021132B" w:rsidP="00BD1D65">
            <w:pPr>
              <w:jc w:val="both"/>
            </w:pPr>
            <w:r>
              <w:fldChar w:fldCharType="begin"/>
            </w:r>
            <w:r w:rsidR="002E57F4">
              <w:instrText xml:space="preserve"> ADDIN ZOTERO_ITEM CSL_CITATION {"citationID":"UmHCDzBp","properties":{"formattedCitation":"[12]","plainCitation":"[12]","noteIndex":0},"citationItems":[{"id":14051,"uris":["http://zotero.org/users/12598273/items/YPJXZ3VU"],"itemData":{"id":14051,"type":"webpage","citation-key":"EnergieDashboardBundesamtFurb","title":"Energie-Dashboard Bundesamt für Energie","URL":"https://www.energiedashboard.admin.ch/preise/gas","accessed":{"date-parts":[["2026",5,4]]}}}],"schema":"https://github.com/citation-style-language/schema/raw/master/csl-citation.json"} </w:instrText>
            </w:r>
            <w:r>
              <w:fldChar w:fldCharType="separate"/>
            </w:r>
            <w:r w:rsidR="002E57F4">
              <w:rPr>
                <w:noProof/>
              </w:rPr>
              <w:t>[12]</w:t>
            </w:r>
            <w:r>
              <w:fldChar w:fldCharType="end"/>
            </w:r>
          </w:p>
        </w:tc>
      </w:tr>
      <w:tr w:rsidR="009763FC" w14:paraId="405CC983" w14:textId="77777777" w:rsidTr="00E173BF">
        <w:trPr>
          <w:trHeight w:val="320"/>
        </w:trPr>
        <w:tc>
          <w:tcPr>
            <w:tcW w:w="2766" w:type="dxa"/>
            <w:noWrap/>
            <w:hideMark/>
          </w:tcPr>
          <w:p w14:paraId="0FCF188E" w14:textId="4FE1B70B" w:rsidR="009763FC" w:rsidRDefault="009763FC" w:rsidP="00BD1D65">
            <w:pPr>
              <w:jc w:val="both"/>
            </w:pPr>
            <w:r>
              <w:t>Water</w:t>
            </w:r>
          </w:p>
        </w:tc>
        <w:tc>
          <w:tcPr>
            <w:tcW w:w="1300" w:type="dxa"/>
            <w:noWrap/>
            <w:hideMark/>
          </w:tcPr>
          <w:p w14:paraId="16EDB876" w14:textId="7B9EB569" w:rsidR="009763FC" w:rsidRDefault="009763FC" w:rsidP="00BD1D65">
            <w:pPr>
              <w:jc w:val="both"/>
            </w:pPr>
            <w:r>
              <w:t>2</w:t>
            </w:r>
          </w:p>
        </w:tc>
        <w:tc>
          <w:tcPr>
            <w:tcW w:w="1300" w:type="dxa"/>
            <w:noWrap/>
            <w:hideMark/>
          </w:tcPr>
          <w:p w14:paraId="38CA352C" w14:textId="7E9E51DA" w:rsidR="009763FC" w:rsidRDefault="009763FC" w:rsidP="00BD1D65">
            <w:pPr>
              <w:jc w:val="both"/>
            </w:pPr>
            <w:r>
              <w:t>€/t</w:t>
            </w:r>
          </w:p>
        </w:tc>
        <w:tc>
          <w:tcPr>
            <w:tcW w:w="3559" w:type="dxa"/>
            <w:noWrap/>
            <w:hideMark/>
          </w:tcPr>
          <w:p w14:paraId="4066BC90" w14:textId="69589D47" w:rsidR="009763FC" w:rsidRDefault="006907A5" w:rsidP="00BD1D65">
            <w:pPr>
              <w:jc w:val="both"/>
            </w:pPr>
            <w:r>
              <w:fldChar w:fldCharType="begin"/>
            </w:r>
            <w:r w:rsidR="002E57F4">
              <w:instrText xml:space="preserve"> ADDIN ZOTERO_ITEM CSL_CITATION {"citationID":"ePBxW9TV","properties":{"formattedCitation":"[13]","plainCitation":"[13]","noteIndex":0},"citationItems":[{"id":14053,"uris":["http://zotero.org/users/12598273/items/43NINWSF"],"itemData":{"id":14053,"type":"webpage","citation-key":"EidgenossischesDepartementFur","title":"Eidgenössisches Departement für Wirtschaft, Bildung und Forschung WBF - Preisüberwachung","URL":"https://www.preisvergleiche.preisueberwacher.admin.ch/?z=5&amp;i=34&amp;c=1&amp;term=sion&amp;name=Sion","accessed":{"date-parts":[["2026",5,4]]}}}],"schema":"https://github.com/citation-style-language/schema/raw/master/csl-citation.json"} </w:instrText>
            </w:r>
            <w:r>
              <w:fldChar w:fldCharType="separate"/>
            </w:r>
            <w:r w:rsidR="002E57F4">
              <w:rPr>
                <w:noProof/>
              </w:rPr>
              <w:t>[13]</w:t>
            </w:r>
            <w:r>
              <w:fldChar w:fldCharType="end"/>
            </w:r>
          </w:p>
        </w:tc>
      </w:tr>
      <w:tr w:rsidR="009763FC" w14:paraId="734E82ED" w14:textId="77777777" w:rsidTr="00E173BF">
        <w:trPr>
          <w:trHeight w:val="320"/>
        </w:trPr>
        <w:tc>
          <w:tcPr>
            <w:tcW w:w="2766" w:type="dxa"/>
            <w:noWrap/>
            <w:hideMark/>
          </w:tcPr>
          <w:p w14:paraId="42AB8154" w14:textId="1190A255" w:rsidR="009763FC" w:rsidRDefault="009763FC" w:rsidP="00BD1D65">
            <w:pPr>
              <w:jc w:val="both"/>
            </w:pPr>
            <w:r>
              <w:t>DMT</w:t>
            </w:r>
          </w:p>
        </w:tc>
        <w:tc>
          <w:tcPr>
            <w:tcW w:w="1300" w:type="dxa"/>
            <w:noWrap/>
            <w:hideMark/>
          </w:tcPr>
          <w:p w14:paraId="488D4C15" w14:textId="2C299F53" w:rsidR="009763FC" w:rsidRDefault="009763FC" w:rsidP="00BD1D65">
            <w:pPr>
              <w:jc w:val="both"/>
            </w:pPr>
            <w:r>
              <w:t>1600</w:t>
            </w:r>
          </w:p>
        </w:tc>
        <w:tc>
          <w:tcPr>
            <w:tcW w:w="1300" w:type="dxa"/>
            <w:noWrap/>
            <w:hideMark/>
          </w:tcPr>
          <w:p w14:paraId="6FAC8FED" w14:textId="39AE5BF3" w:rsidR="009763FC" w:rsidRDefault="009763FC" w:rsidP="00BD1D65">
            <w:pPr>
              <w:jc w:val="both"/>
            </w:pPr>
            <w:r>
              <w:t>€/t</w:t>
            </w:r>
          </w:p>
        </w:tc>
        <w:tc>
          <w:tcPr>
            <w:tcW w:w="3559" w:type="dxa"/>
            <w:noWrap/>
            <w:hideMark/>
          </w:tcPr>
          <w:p w14:paraId="4A1A702E" w14:textId="3AE54CC9" w:rsidR="009763FC" w:rsidRDefault="007855CC" w:rsidP="00BD1D65">
            <w:pPr>
              <w:jc w:val="both"/>
            </w:pPr>
            <w:r>
              <w:fldChar w:fldCharType="begin"/>
            </w:r>
            <w:r w:rsidR="002E57F4">
              <w:instrText xml:space="preserve"> ADDIN ZOTERO_ITEM CSL_CITATION {"citationID":"wzbtJ6OQ","properties":{"formattedCitation":"[14]","plainCitation":"[14]","noteIndex":0},"citationItems":[{"id":14055,"uris":["http://zotero.org/users/12598273/items/GJ5SDVF3"],"itemData":{"id":14055,"type":"webpage","citation-key":"DimethylTerephthalatePrice","title":"Dimethyl Terephthalate Price - Historical &amp; Current","URL":"https://www.intratec.us/solutions/primary-commodity-prices/commodity/dimethyl-terephthalate-prices","accessed":{"date-parts":[["2026",5,4]]}}}],"schema":"https://github.com/citation-style-language/schema/raw/master/csl-citation.json"} </w:instrText>
            </w:r>
            <w:r>
              <w:fldChar w:fldCharType="separate"/>
            </w:r>
            <w:r w:rsidR="002E57F4">
              <w:rPr>
                <w:noProof/>
              </w:rPr>
              <w:t>[14]</w:t>
            </w:r>
            <w:r>
              <w:fldChar w:fldCharType="end"/>
            </w:r>
          </w:p>
        </w:tc>
      </w:tr>
      <w:tr w:rsidR="009763FC" w14:paraId="13A4F018" w14:textId="77777777" w:rsidTr="00E173BF">
        <w:trPr>
          <w:trHeight w:val="320"/>
        </w:trPr>
        <w:tc>
          <w:tcPr>
            <w:tcW w:w="2766" w:type="dxa"/>
            <w:noWrap/>
            <w:hideMark/>
          </w:tcPr>
          <w:p w14:paraId="2601C5B8" w14:textId="6E53E1DB" w:rsidR="009763FC" w:rsidRDefault="009763FC" w:rsidP="00BD1D65">
            <w:pPr>
              <w:jc w:val="both"/>
            </w:pPr>
            <w:r>
              <w:t>EG</w:t>
            </w:r>
          </w:p>
        </w:tc>
        <w:tc>
          <w:tcPr>
            <w:tcW w:w="1300" w:type="dxa"/>
            <w:noWrap/>
            <w:hideMark/>
          </w:tcPr>
          <w:p w14:paraId="2D0AF4D8" w14:textId="32F8EA28" w:rsidR="009763FC" w:rsidRDefault="009763FC" w:rsidP="00BD1D65">
            <w:pPr>
              <w:jc w:val="both"/>
            </w:pPr>
            <w:r>
              <w:t>960</w:t>
            </w:r>
          </w:p>
        </w:tc>
        <w:tc>
          <w:tcPr>
            <w:tcW w:w="1300" w:type="dxa"/>
            <w:noWrap/>
            <w:hideMark/>
          </w:tcPr>
          <w:p w14:paraId="185FC382" w14:textId="1DE4984C" w:rsidR="009763FC" w:rsidRDefault="009763FC" w:rsidP="00BD1D65">
            <w:pPr>
              <w:jc w:val="both"/>
            </w:pPr>
            <w:r>
              <w:t>€/t</w:t>
            </w:r>
          </w:p>
        </w:tc>
        <w:tc>
          <w:tcPr>
            <w:tcW w:w="3559" w:type="dxa"/>
            <w:noWrap/>
            <w:hideMark/>
          </w:tcPr>
          <w:p w14:paraId="2CDC1F2E" w14:textId="02BF524D" w:rsidR="009763FC" w:rsidRDefault="00E75FBB" w:rsidP="00BD1D65">
            <w:pPr>
              <w:jc w:val="both"/>
            </w:pPr>
            <w:r>
              <w:fldChar w:fldCharType="begin"/>
            </w:r>
            <w:r w:rsidR="002E66A0">
              <w:instrText xml:space="preserve"> ADDIN ZOTERO_ITEM CSL_CITATION {"citationID":"acP3AlmU","properties":{"formattedCitation":"[15]","plainCitation":"[15]","noteIndex":0},"citationItems":[{"id":14057,"uris":["http://zotero.org/users/12598273/items/RHX4KDLR"],"itemData":{"id":14057,"type":"webpage","citation-key":"EthyleneGlycolPrice","container-title":"Market Price &amp; Insight","title":"Ethylene glycol Price List in Global Market - ECHEMI","URL":"https://www.echemi.com/pip/ethylene-glycol-eg-pid_Seven2471.html","author":[{"family":"Echemi","given":""}],"accessed":{"date-parts":[["2026",5,4]]},"issued":{"date-parts":[["2026"]]}}}],"schema":"https://github.com/citation-style-language/schema/raw/master/csl-citation.json"} </w:instrText>
            </w:r>
            <w:r>
              <w:fldChar w:fldCharType="separate"/>
            </w:r>
            <w:r w:rsidR="002E57F4">
              <w:rPr>
                <w:noProof/>
              </w:rPr>
              <w:t>[15]</w:t>
            </w:r>
            <w:r>
              <w:fldChar w:fldCharType="end"/>
            </w:r>
            <w:r w:rsidR="009763FC">
              <w:t xml:space="preserve">, </w:t>
            </w:r>
            <w:r>
              <w:fldChar w:fldCharType="begin"/>
            </w:r>
            <w:r w:rsidR="002E57F4">
              <w:instrText xml:space="preserve"> ADDIN ZOTERO_ITEM CSL_CITATION {"citationID":"HV4vBxCT","properties":{"formattedCitation":"[16]","plainCitation":"[16]","noteIndex":0},"citationItems":[{"id":13983,"uris":["http://zotero.org/users/12598273/items/DAFZGX2D"],"itemData":{"id":13983,"type":"article-journal","abstract":"Esterases have emerged as important biocatalysts for enzymebased polyester recycling of poly(ethylene terephthalate) (PET) to terephthalic acid (TPA) and ethylene glycol (EG). Here, we present process modeling, techno-economic, life-cycle, and socioeconomic impact analyses for an enzymatic PET depolymerization-based recycling process, which we compare with virgin TPA manufacturing. We predict that enzymatically recycled TPA (rTPA) can be cost-competitive and highlight key areas to achieve this. In addition to favorable long-term socioeconomic beneﬁts, rTPA can reduce total supply chain energy use by 69%–83% and greenhouse gas emissions by 17%–43% per kg of TPA. An economy-wide assessment for the US estimates that the TPA recycling process can reduce environmental impacts by up to 95% while generating up to 45% more socioeconomic beneﬁts, also relative to virgin TPA production. Sensitivity analyses highlight impactful research opportunities to pursue toward realizing biological PET recycling and upcycling.","citation-key":"singhTechnoeconomicLifecycleSocioeconomic2021","container-title":"Joule","DOI":"10.1016/j.joule.2021.06.015","ISSN":"25424351","issue":"9","journalAbbreviation":"Joule","language":"en","page":"2479-2503","source":"DOI.org (Crossref)","title":"Techno-economic, life-cycle, and socioeconomic impact analysis of enzymatic recycling of poly(ethylene terephthalate)","volume":"5","author":[{"family":"Singh","given":"Avantika"},{"family":"Rorrer","given":"Nicholas A."},{"family":"Nicholson","given":"Scott R."},{"family":"Erickson","given":"Erika"},{"family":"DesVeaux","given":"Jason S."},{"family":"Avelino","given":"Andre F.T."},{"family":"Lamers","given":"Patrick"},{"family":"Bhatt","given":"Arpit"},{"family":"Zhang","given":"Yimin"},{"family":"Avery","given":"Greg"},{"family":"Tao","given":"Ling"},{"family":"Pickford","given":"Andrew R."},{"family":"Carpenter","given":"Alberta C."},{"family":"McGeehan","given":"John E."},{"family":"Beckham","given":"Gregg T."}],"issued":{"date-parts":[["2021",9]]}}}],"schema":"https://github.com/citation-style-language/schema/raw/master/csl-citation.json"} </w:instrText>
            </w:r>
            <w:r>
              <w:fldChar w:fldCharType="separate"/>
            </w:r>
            <w:r w:rsidR="002E57F4">
              <w:rPr>
                <w:noProof/>
              </w:rPr>
              <w:t>[16]</w:t>
            </w:r>
            <w:r>
              <w:fldChar w:fldCharType="end"/>
            </w:r>
          </w:p>
        </w:tc>
      </w:tr>
      <w:tr w:rsidR="009763FC" w14:paraId="30050B57" w14:textId="77777777" w:rsidTr="00E173BF">
        <w:trPr>
          <w:trHeight w:val="320"/>
        </w:trPr>
        <w:tc>
          <w:tcPr>
            <w:tcW w:w="2766" w:type="dxa"/>
            <w:noWrap/>
            <w:hideMark/>
          </w:tcPr>
          <w:p w14:paraId="399B8E07" w14:textId="7F12D43E" w:rsidR="009763FC" w:rsidRDefault="009763FC" w:rsidP="00BD1D65">
            <w:pPr>
              <w:jc w:val="both"/>
            </w:pPr>
            <w:r>
              <w:t>Waste Water</w:t>
            </w:r>
          </w:p>
        </w:tc>
        <w:tc>
          <w:tcPr>
            <w:tcW w:w="1300" w:type="dxa"/>
            <w:noWrap/>
            <w:hideMark/>
          </w:tcPr>
          <w:p w14:paraId="1FA47D0F" w14:textId="1A789C83" w:rsidR="009763FC" w:rsidRDefault="009763FC" w:rsidP="00BD1D65">
            <w:pPr>
              <w:jc w:val="both"/>
            </w:pPr>
            <w:r>
              <w:t>2</w:t>
            </w:r>
          </w:p>
        </w:tc>
        <w:tc>
          <w:tcPr>
            <w:tcW w:w="1300" w:type="dxa"/>
            <w:noWrap/>
            <w:hideMark/>
          </w:tcPr>
          <w:p w14:paraId="045E6C1D" w14:textId="7AB5160F" w:rsidR="009763FC" w:rsidRDefault="009763FC" w:rsidP="00BD1D65">
            <w:pPr>
              <w:jc w:val="both"/>
            </w:pPr>
            <w:r>
              <w:t>€/t</w:t>
            </w:r>
          </w:p>
        </w:tc>
        <w:tc>
          <w:tcPr>
            <w:tcW w:w="3559" w:type="dxa"/>
            <w:noWrap/>
            <w:hideMark/>
          </w:tcPr>
          <w:p w14:paraId="356648D6" w14:textId="28062D43" w:rsidR="009763FC" w:rsidRDefault="004044D4" w:rsidP="00BD1D65">
            <w:pPr>
              <w:jc w:val="both"/>
            </w:pPr>
            <w:r>
              <w:fldChar w:fldCharType="begin"/>
            </w:r>
            <w:r w:rsidR="002E57F4">
              <w:instrText xml:space="preserve"> ADDIN ZOTERO_ITEM CSL_CITATION {"citationID":"PPVEu4ZE","properties":{"formattedCitation":"[17]","plainCitation":"[17]","noteIndex":0},"citationItems":[{"id":14059,"uris":["http://zotero.org/users/12598273/items/ZM4LNXAZ"],"itemData":{"id":14059,"type":"webpage","citation-key":"EidgenossischesDepartementFura","title":"Eidgenössisches Departement für Wirtschaft, Bildung und Forschung WBF - Preisüberwachung","URL":"https://www.preisvergleiche.preisueberwacher.admin.ch/?z=5&amp;i=34&amp;c=1&amp;term=sion&amp;name=Sion","accessed":{"date-parts":[["2026",5,4]]}}}],"schema":"https://github.com/citation-style-language/schema/raw/master/csl-citation.json"} </w:instrText>
            </w:r>
            <w:r>
              <w:fldChar w:fldCharType="separate"/>
            </w:r>
            <w:r w:rsidR="002E57F4">
              <w:rPr>
                <w:noProof/>
              </w:rPr>
              <w:t>[17]</w:t>
            </w:r>
            <w:r>
              <w:fldChar w:fldCharType="end"/>
            </w:r>
          </w:p>
        </w:tc>
      </w:tr>
      <w:tr w:rsidR="009763FC" w14:paraId="778F3E79" w14:textId="77777777" w:rsidTr="00E173BF">
        <w:trPr>
          <w:trHeight w:val="320"/>
        </w:trPr>
        <w:tc>
          <w:tcPr>
            <w:tcW w:w="2766" w:type="dxa"/>
            <w:noWrap/>
            <w:hideMark/>
          </w:tcPr>
          <w:p w14:paraId="01BC50AE" w14:textId="10CA694A" w:rsidR="009763FC" w:rsidRDefault="009763FC" w:rsidP="00BD1D65">
            <w:pPr>
              <w:jc w:val="both"/>
            </w:pPr>
            <w:r>
              <w:t>H2SO4</w:t>
            </w:r>
          </w:p>
        </w:tc>
        <w:tc>
          <w:tcPr>
            <w:tcW w:w="1300" w:type="dxa"/>
            <w:noWrap/>
            <w:hideMark/>
          </w:tcPr>
          <w:p w14:paraId="306FDFFB" w14:textId="72BEB07A" w:rsidR="009763FC" w:rsidRDefault="009763FC" w:rsidP="00BD1D65">
            <w:pPr>
              <w:jc w:val="both"/>
            </w:pPr>
            <w:r>
              <w:t>120</w:t>
            </w:r>
          </w:p>
        </w:tc>
        <w:tc>
          <w:tcPr>
            <w:tcW w:w="1300" w:type="dxa"/>
            <w:noWrap/>
            <w:hideMark/>
          </w:tcPr>
          <w:p w14:paraId="4EF05F93" w14:textId="465286D5" w:rsidR="009763FC" w:rsidRDefault="009763FC" w:rsidP="00BD1D65">
            <w:pPr>
              <w:jc w:val="both"/>
            </w:pPr>
            <w:r>
              <w:t>€/t</w:t>
            </w:r>
          </w:p>
        </w:tc>
        <w:tc>
          <w:tcPr>
            <w:tcW w:w="3559" w:type="dxa"/>
            <w:noWrap/>
            <w:hideMark/>
          </w:tcPr>
          <w:p w14:paraId="768F6E81" w14:textId="23AB33F3" w:rsidR="009763FC" w:rsidRDefault="009763FC" w:rsidP="00BD1D65">
            <w:pPr>
              <w:jc w:val="both"/>
            </w:pPr>
            <w:r>
              <w:fldChar w:fldCharType="begin"/>
            </w:r>
            <w:r w:rsidR="002E57F4">
              <w:instrText xml:space="preserve"> ADDIN ZOTERO_ITEM CSL_CITATION {"citationID":"XN6Udlyx","properties":{"formattedCitation":"[16]","plainCitation":"[16]","noteIndex":0},"citationItems":[{"id":13983,"uris":["http://zotero.org/users/12598273/items/DAFZGX2D"],"itemData":{"id":13983,"type":"article-journal","abstract":"Esterases have emerged as important biocatalysts for enzymebased polyester recycling of poly(ethylene terephthalate) (PET) to terephthalic acid (TPA) and ethylene glycol (EG). Here, we present process modeling, techno-economic, life-cycle, and socioeconomic impact analyses for an enzymatic PET depolymerization-based recycling process, which we compare with virgin TPA manufacturing. We predict that enzymatically recycled TPA (rTPA) can be cost-competitive and highlight key areas to achieve this. In addition to favorable long-term socioeconomic beneﬁts, rTPA can reduce total supply chain energy use by 69%–83% and greenhouse gas emissions by 17%–43% per kg of TPA. An economy-wide assessment for the US estimates that the TPA recycling process can reduce environmental impacts by up to 95% while generating up to 45% more socioeconomic beneﬁts, also relative to virgin TPA production. Sensitivity analyses highlight impactful research opportunities to pursue toward realizing biological PET recycling and upcycling.","citation-key":"singhTechnoeconomicLifecycleSocioeconomic2021","container-title":"Joule","DOI":"10.1016/j.joule.2021.06.015","ISSN":"25424351","issue":"9","journalAbbreviation":"Joule","language":"en","page":"2479-2503","source":"DOI.org (Crossref)","title":"Techno-economic, life-cycle, and socioeconomic impact analysis of enzymatic recycling of poly(ethylene terephthalate)","volume":"5","author":[{"family":"Singh","given":"Avantika"},{"family":"Rorrer","given":"Nicholas A."},{"family":"Nicholson","given":"Scott R."},{"family":"Erickson","given":"Erika"},{"family":"DesVeaux","given":"Jason S."},{"family":"Avelino","given":"Andre F.T."},{"family":"Lamers","given":"Patrick"},{"family":"Bhatt","given":"Arpit"},{"family":"Zhang","given":"Yimin"},{"family":"Avery","given":"Greg"},{"family":"Tao","given":"Ling"},{"family":"Pickford","given":"Andrew R."},{"family":"Carpenter","given":"Alberta C."},{"family":"McGeehan","given":"John E."},{"family":"Beckham","given":"Gregg T."}],"issued":{"date-parts":[["2021",9]]}}}],"schema":"https://github.com/citation-style-language/schema/raw/master/csl-citation.json"} </w:instrText>
            </w:r>
            <w:r>
              <w:fldChar w:fldCharType="separate"/>
            </w:r>
            <w:r w:rsidR="002E57F4">
              <w:rPr>
                <w:noProof/>
              </w:rPr>
              <w:t>[16]</w:t>
            </w:r>
            <w:r>
              <w:fldChar w:fldCharType="end"/>
            </w:r>
          </w:p>
        </w:tc>
      </w:tr>
      <w:tr w:rsidR="009763FC" w14:paraId="25842F09" w14:textId="77777777" w:rsidTr="00E173BF">
        <w:trPr>
          <w:trHeight w:val="320"/>
        </w:trPr>
        <w:tc>
          <w:tcPr>
            <w:tcW w:w="2766" w:type="dxa"/>
            <w:noWrap/>
            <w:hideMark/>
          </w:tcPr>
          <w:p w14:paraId="4D5CB2A6" w14:textId="523FE358" w:rsidR="009763FC" w:rsidRDefault="009763FC" w:rsidP="00BD1D65">
            <w:pPr>
              <w:jc w:val="both"/>
            </w:pPr>
            <w:r>
              <w:t>NaOH</w:t>
            </w:r>
          </w:p>
        </w:tc>
        <w:tc>
          <w:tcPr>
            <w:tcW w:w="1300" w:type="dxa"/>
            <w:noWrap/>
            <w:hideMark/>
          </w:tcPr>
          <w:p w14:paraId="783E6C88" w14:textId="6C24BD77" w:rsidR="009763FC" w:rsidRDefault="009763FC" w:rsidP="00BD1D65">
            <w:pPr>
              <w:jc w:val="both"/>
            </w:pPr>
            <w:r>
              <w:t>610</w:t>
            </w:r>
          </w:p>
        </w:tc>
        <w:tc>
          <w:tcPr>
            <w:tcW w:w="1300" w:type="dxa"/>
            <w:noWrap/>
            <w:hideMark/>
          </w:tcPr>
          <w:p w14:paraId="0DD6A2A2" w14:textId="11425D40" w:rsidR="009763FC" w:rsidRDefault="009763FC" w:rsidP="00BD1D65">
            <w:pPr>
              <w:jc w:val="both"/>
            </w:pPr>
            <w:r>
              <w:t>€/t</w:t>
            </w:r>
          </w:p>
        </w:tc>
        <w:tc>
          <w:tcPr>
            <w:tcW w:w="3559" w:type="dxa"/>
            <w:noWrap/>
            <w:hideMark/>
          </w:tcPr>
          <w:p w14:paraId="7E29D2AD" w14:textId="0D9B0851" w:rsidR="009763FC" w:rsidRDefault="009763FC" w:rsidP="00BD1D65">
            <w:pPr>
              <w:jc w:val="both"/>
            </w:pPr>
            <w:r>
              <w:fldChar w:fldCharType="begin"/>
            </w:r>
            <w:r w:rsidR="002E57F4">
              <w:instrText xml:space="preserve"> ADDIN ZOTERO_ITEM CSL_CITATION {"citationID":"Cr2LJkn0","properties":{"formattedCitation":"[16]","plainCitation":"[16]","noteIndex":0},"citationItems":[{"id":13983,"uris":["http://zotero.org/users/12598273/items/DAFZGX2D"],"itemData":{"id":13983,"type":"article-journal","abstract":"Esterases have emerged as important biocatalysts for enzymebased polyester recycling of poly(ethylene terephthalate) (PET) to terephthalic acid (TPA) and ethylene glycol (EG). Here, we present process modeling, techno-economic, life-cycle, and socioeconomic impact analyses for an enzymatic PET depolymerization-based recycling process, which we compare with virgin TPA manufacturing. We predict that enzymatically recycled TPA (rTPA) can be cost-competitive and highlight key areas to achieve this. In addition to favorable long-term socioeconomic beneﬁts, rTPA can reduce total supply chain energy use by 69%–83% and greenhouse gas emissions by 17%–43% per kg of TPA. An economy-wide assessment for the US estimates that the TPA recycling process can reduce environmental impacts by up to 95% while generating up to 45% more socioeconomic beneﬁts, also relative to virgin TPA production. Sensitivity analyses highlight impactful research opportunities to pursue toward realizing biological PET recycling and upcycling.","citation-key":"singhTechnoeconomicLifecycleSocioeconomic2021","container-title":"Joule","DOI":"10.1016/j.joule.2021.06.015","ISSN":"25424351","issue":"9","journalAbbreviation":"Joule","language":"en","page":"2479-2503","source":"DOI.org (Crossref)","title":"Techno-economic, life-cycle, and socioeconomic impact analysis of enzymatic recycling of poly(ethylene terephthalate)","volume":"5","author":[{"family":"Singh","given":"Avantika"},{"family":"Rorrer","given":"Nicholas A."},{"family":"Nicholson","given":"Scott R."},{"family":"Erickson","given":"Erika"},{"family":"DesVeaux","given":"Jason S."},{"family":"Avelino","given":"Andre F.T."},{"family":"Lamers","given":"Patrick"},{"family":"Bhatt","given":"Arpit"},{"family":"Zhang","given":"Yimin"},{"family":"Avery","given":"Greg"},{"family":"Tao","given":"Ling"},{"family":"Pickford","given":"Andrew R."},{"family":"Carpenter","given":"Alberta C."},{"family":"McGeehan","given":"John E."},{"family":"Beckham","given":"Gregg T."}],"issued":{"date-parts":[["2021",9]]}}}],"schema":"https://github.com/citation-style-language/schema/raw/master/csl-citation.json"} </w:instrText>
            </w:r>
            <w:r>
              <w:fldChar w:fldCharType="separate"/>
            </w:r>
            <w:r w:rsidR="002E57F4">
              <w:rPr>
                <w:noProof/>
              </w:rPr>
              <w:t>[16]</w:t>
            </w:r>
            <w:r>
              <w:fldChar w:fldCharType="end"/>
            </w:r>
          </w:p>
        </w:tc>
      </w:tr>
      <w:tr w:rsidR="009763FC" w14:paraId="2648810D" w14:textId="77777777" w:rsidTr="00E173BF">
        <w:trPr>
          <w:trHeight w:val="320"/>
        </w:trPr>
        <w:tc>
          <w:tcPr>
            <w:tcW w:w="2766" w:type="dxa"/>
            <w:noWrap/>
            <w:hideMark/>
          </w:tcPr>
          <w:p w14:paraId="5B0D2D3B" w14:textId="12374696" w:rsidR="009763FC" w:rsidRDefault="009763FC" w:rsidP="00BD1D65">
            <w:pPr>
              <w:jc w:val="both"/>
            </w:pPr>
            <w:r>
              <w:t>TPA</w:t>
            </w:r>
          </w:p>
        </w:tc>
        <w:tc>
          <w:tcPr>
            <w:tcW w:w="1300" w:type="dxa"/>
            <w:noWrap/>
            <w:hideMark/>
          </w:tcPr>
          <w:p w14:paraId="238D1CC8" w14:textId="07D4DE16" w:rsidR="009763FC" w:rsidRDefault="009763FC" w:rsidP="00BD1D65">
            <w:pPr>
              <w:jc w:val="both"/>
            </w:pPr>
            <w:r>
              <w:t>1150</w:t>
            </w:r>
          </w:p>
        </w:tc>
        <w:tc>
          <w:tcPr>
            <w:tcW w:w="1300" w:type="dxa"/>
            <w:noWrap/>
            <w:hideMark/>
          </w:tcPr>
          <w:p w14:paraId="7795F128" w14:textId="416EABA5" w:rsidR="009763FC" w:rsidRDefault="009763FC" w:rsidP="00BD1D65">
            <w:pPr>
              <w:jc w:val="both"/>
            </w:pPr>
            <w:r>
              <w:t>€/t</w:t>
            </w:r>
          </w:p>
        </w:tc>
        <w:bookmarkStart w:id="14" w:name="_Hlk228803154"/>
        <w:tc>
          <w:tcPr>
            <w:tcW w:w="3559" w:type="dxa"/>
            <w:noWrap/>
            <w:hideMark/>
          </w:tcPr>
          <w:p w14:paraId="4E5176D4" w14:textId="791A1CB1" w:rsidR="009763FC" w:rsidRDefault="009763FC" w:rsidP="00BD1D65">
            <w:pPr>
              <w:jc w:val="both"/>
            </w:pPr>
            <w:r>
              <w:fldChar w:fldCharType="begin"/>
            </w:r>
            <w:r w:rsidR="002E57F4">
              <w:instrText xml:space="preserve"> ADDIN ZOTERO_ITEM CSL_CITATION {"citationID":"L22MnAb4","properties":{"formattedCitation":"[16]","plainCitation":"[16]","noteIndex":0},"citationItems":[{"id":13983,"uris":["http://zotero.org/users/12598273/items/DAFZGX2D"],"itemData":{"id":13983,"type":"article-journal","abstract":"Esterases have emerged as important biocatalysts for enzymebased polyester recycling of poly(ethylene terephthalate) (PET) to terephthalic acid (TPA) and ethylene glycol (EG). Here, we present process modeling, techno-economic, life-cycle, and socioeconomic impact analyses for an enzymatic PET depolymerization-based recycling process, which we compare with virgin TPA manufacturing. We predict that enzymatically recycled TPA (rTPA) can be cost-competitive and highlight key areas to achieve this. In addition to favorable long-term socioeconomic beneﬁts, rTPA can reduce total supply chain energy use by 69%–83% and greenhouse gas emissions by 17%–43% per kg of TPA. An economy-wide assessment for the US estimates that the TPA recycling process can reduce environmental impacts by up to 95% while generating up to 45% more socioeconomic beneﬁts, also relative to virgin TPA production. Sensitivity analyses highlight impactful research opportunities to pursue toward realizing biological PET recycling and upcycling.","citation-key":"singhTechnoeconomicLifecycleSocioeconomic2021","container-title":"Joule","DOI":"10.1016/j.joule.2021.06.015","ISSN":"25424351","issue":"9","journalAbbreviation":"Joule","language":"en","page":"2479-2503","source":"DOI.org (Crossref)","title":"Techno-economic, life-cycle, and socioeconomic impact analysis of enzymatic recycling of poly(ethylene terephthalate)","volume":"5","author":[{"family":"Singh","given":"Avantika"},{"family":"Rorrer","given":"Nicholas A."},{"family":"Nicholson","given":"Scott R."},{"family":"Erickson","given":"Erika"},{"family":"DesVeaux","given":"Jason S."},{"family":"Avelino","given":"Andre F.T."},{"family":"Lamers","given":"Patrick"},{"family":"Bhatt","given":"Arpit"},{"family":"Zhang","given":"Yimin"},{"family":"Avery","given":"Greg"},{"family":"Tao","given":"Ling"},{"family":"Pickford","given":"Andrew R."},{"family":"Carpenter","given":"Alberta C."},{"family":"McGeehan","given":"John E."},{"family":"Beckham","given":"Gregg T."}],"issued":{"date-parts":[["2021",9]]}}}],"schema":"https://github.com/citation-style-language/schema/raw/master/csl-citation.json"} </w:instrText>
            </w:r>
            <w:r>
              <w:fldChar w:fldCharType="separate"/>
            </w:r>
            <w:r w:rsidR="002E57F4">
              <w:rPr>
                <w:noProof/>
              </w:rPr>
              <w:t>[16]</w:t>
            </w:r>
            <w:r>
              <w:fldChar w:fldCharType="end"/>
            </w:r>
            <w:bookmarkEnd w:id="14"/>
          </w:p>
        </w:tc>
      </w:tr>
      <w:tr w:rsidR="009763FC" w14:paraId="58610283" w14:textId="77777777" w:rsidTr="00E173BF">
        <w:trPr>
          <w:trHeight w:val="320"/>
        </w:trPr>
        <w:tc>
          <w:tcPr>
            <w:tcW w:w="2766" w:type="dxa"/>
            <w:noWrap/>
            <w:hideMark/>
          </w:tcPr>
          <w:p w14:paraId="468BA7FD" w14:textId="0E06E7A1" w:rsidR="009763FC" w:rsidRDefault="009763FC" w:rsidP="00791B74">
            <w:r>
              <w:t>Catalyst (l1,3-Dimethylurea)</w:t>
            </w:r>
          </w:p>
        </w:tc>
        <w:tc>
          <w:tcPr>
            <w:tcW w:w="1300" w:type="dxa"/>
            <w:noWrap/>
            <w:hideMark/>
          </w:tcPr>
          <w:p w14:paraId="76B86DB2" w14:textId="65170D2D" w:rsidR="009763FC" w:rsidRDefault="009763FC" w:rsidP="00BD1D65">
            <w:pPr>
              <w:jc w:val="both"/>
            </w:pPr>
            <w:r>
              <w:t>68300</w:t>
            </w:r>
          </w:p>
        </w:tc>
        <w:tc>
          <w:tcPr>
            <w:tcW w:w="1300" w:type="dxa"/>
            <w:noWrap/>
            <w:hideMark/>
          </w:tcPr>
          <w:p w14:paraId="1C554F3C" w14:textId="717164BA" w:rsidR="009763FC" w:rsidRDefault="009763FC" w:rsidP="00BD1D65">
            <w:pPr>
              <w:jc w:val="both"/>
            </w:pPr>
            <w:r>
              <w:t>€/t</w:t>
            </w:r>
          </w:p>
        </w:tc>
        <w:tc>
          <w:tcPr>
            <w:tcW w:w="3559" w:type="dxa"/>
            <w:noWrap/>
            <w:hideMark/>
          </w:tcPr>
          <w:p w14:paraId="0FCD7728" w14:textId="19318325" w:rsidR="009763FC" w:rsidRDefault="00F30B28" w:rsidP="00BD1D65">
            <w:pPr>
              <w:jc w:val="both"/>
            </w:pPr>
            <w:r>
              <w:fldChar w:fldCharType="begin"/>
            </w:r>
            <w:r w:rsidR="002E66A0">
              <w:instrText xml:space="preserve"> ADDIN ZOTERO_ITEM CSL_CITATION {"citationID":"YOtvojVg","properties":{"formattedCitation":"[18]","plainCitation":"[18]","noteIndex":0},"citationItems":[{"id":14061,"uris":["http://zotero.org/users/12598273/items/ML4KTNMC"],"itemData":{"id":14061,"type":"webpage","abstract":"1,3-Dimethylurea, 98%. This Thermo Scientific Chemicals brand product was originally part of the Acros Organics product portfolio. Some documentation and label information may refer to the legacy brand. The original Acros O. Available in 1 kg","citation-key":"13Dimethylurea981","language":"fr","title":"1,3-Dimethylurea, 98%","URL":"https://www.thermofisher.com/order/catalog/product/116910010","author":[{"family":"Thermo Fisher Scientific","given":""}],"accessed":{"date-parts":[["2026",5,4]]}}}],"schema":"https://github.com/citation-style-language/schema/raw/master/csl-citation.json"} </w:instrText>
            </w:r>
            <w:r>
              <w:fldChar w:fldCharType="separate"/>
            </w:r>
            <w:r w:rsidR="002E57F4">
              <w:rPr>
                <w:noProof/>
              </w:rPr>
              <w:t>[18]</w:t>
            </w:r>
            <w:r>
              <w:fldChar w:fldCharType="end"/>
            </w:r>
          </w:p>
        </w:tc>
      </w:tr>
      <w:tr w:rsidR="009763FC" w14:paraId="2125DA02" w14:textId="77777777" w:rsidTr="00E173BF">
        <w:trPr>
          <w:trHeight w:val="320"/>
        </w:trPr>
        <w:tc>
          <w:tcPr>
            <w:tcW w:w="2766" w:type="dxa"/>
            <w:noWrap/>
            <w:hideMark/>
          </w:tcPr>
          <w:p w14:paraId="1CAA3249" w14:textId="1F20C81A" w:rsidR="009763FC" w:rsidRDefault="009763FC" w:rsidP="00BD1D65">
            <w:pPr>
              <w:jc w:val="both"/>
            </w:pPr>
            <w:r>
              <w:t>BHET</w:t>
            </w:r>
          </w:p>
        </w:tc>
        <w:tc>
          <w:tcPr>
            <w:tcW w:w="1300" w:type="dxa"/>
            <w:noWrap/>
            <w:hideMark/>
          </w:tcPr>
          <w:p w14:paraId="4857D410" w14:textId="45FDEEF2" w:rsidR="009763FC" w:rsidRDefault="009763FC" w:rsidP="00BD1D65">
            <w:pPr>
              <w:jc w:val="both"/>
            </w:pPr>
            <w:r>
              <w:t>1900</w:t>
            </w:r>
          </w:p>
        </w:tc>
        <w:tc>
          <w:tcPr>
            <w:tcW w:w="1300" w:type="dxa"/>
            <w:noWrap/>
            <w:hideMark/>
          </w:tcPr>
          <w:p w14:paraId="6C6F56D5" w14:textId="458A831B" w:rsidR="009763FC" w:rsidRDefault="009763FC" w:rsidP="00BD1D65">
            <w:pPr>
              <w:jc w:val="both"/>
            </w:pPr>
            <w:r>
              <w:t>€/t</w:t>
            </w:r>
          </w:p>
        </w:tc>
        <w:tc>
          <w:tcPr>
            <w:tcW w:w="3559" w:type="dxa"/>
            <w:noWrap/>
            <w:hideMark/>
          </w:tcPr>
          <w:p w14:paraId="06630E3C" w14:textId="7A273A1F" w:rsidR="009763FC" w:rsidRDefault="00F30B28" w:rsidP="00BD1D65">
            <w:pPr>
              <w:jc w:val="both"/>
            </w:pPr>
            <w:r>
              <w:fldChar w:fldCharType="begin"/>
            </w:r>
            <w:r w:rsidR="002E57F4">
              <w:instrText xml:space="preserve"> ADDIN ZOTERO_ITEM CSL_CITATION {"citationID":"Kpsle7XA","properties":{"formattedCitation":"[19]","plainCitation":"[19]","noteIndex":0},"citationItems":[{"id":14063,"uris":["http://zotero.org/users/12598273/items/6QD7EN7L"],"itemData":{"id":14063,"type":"webpage","abstract":"The global market for r-BHET was estimated to be worth US$ 115 million in 2024 and is forecast to a readjusted size of US$ 521 million by 2031 with a","citation-key":"GlobalRBHETMarket","language":"en","title":"Global r-BHET Market Share and Ranking, Overall Sales and Demand Forecast 2025-2031","URL":"https://qyresearch.in/report-details/8712364","accessed":{"date-parts":[["2026",5,4]]}}}],"schema":"https://github.com/citation-style-language/schema/raw/master/csl-citation.json"} </w:instrText>
            </w:r>
            <w:r>
              <w:fldChar w:fldCharType="separate"/>
            </w:r>
            <w:r w:rsidR="002E57F4">
              <w:rPr>
                <w:noProof/>
              </w:rPr>
              <w:t>[19]</w:t>
            </w:r>
            <w:r>
              <w:fldChar w:fldCharType="end"/>
            </w:r>
          </w:p>
        </w:tc>
      </w:tr>
      <w:tr w:rsidR="009763FC" w14:paraId="371E2F6C" w14:textId="77777777" w:rsidTr="00E173BF">
        <w:trPr>
          <w:trHeight w:val="320"/>
        </w:trPr>
        <w:tc>
          <w:tcPr>
            <w:tcW w:w="2766" w:type="dxa"/>
            <w:noWrap/>
            <w:hideMark/>
          </w:tcPr>
          <w:p w14:paraId="442939C5" w14:textId="22DC4572" w:rsidR="009763FC" w:rsidRDefault="009763FC" w:rsidP="00BD1D65">
            <w:pPr>
              <w:jc w:val="both"/>
            </w:pPr>
            <w:r>
              <w:t>Cutinase</w:t>
            </w:r>
          </w:p>
        </w:tc>
        <w:tc>
          <w:tcPr>
            <w:tcW w:w="1300" w:type="dxa"/>
            <w:noWrap/>
            <w:hideMark/>
          </w:tcPr>
          <w:p w14:paraId="7C9A197F" w14:textId="5A6887EE" w:rsidR="009763FC" w:rsidRDefault="009763FC" w:rsidP="00BD1D65">
            <w:pPr>
              <w:jc w:val="both"/>
            </w:pPr>
            <w:r>
              <w:t>15000</w:t>
            </w:r>
          </w:p>
        </w:tc>
        <w:tc>
          <w:tcPr>
            <w:tcW w:w="1300" w:type="dxa"/>
            <w:noWrap/>
            <w:hideMark/>
          </w:tcPr>
          <w:p w14:paraId="3ED122A9" w14:textId="1046CC10" w:rsidR="009763FC" w:rsidRDefault="009763FC" w:rsidP="00BD1D65">
            <w:pPr>
              <w:jc w:val="both"/>
            </w:pPr>
            <w:r>
              <w:t>€/t</w:t>
            </w:r>
          </w:p>
        </w:tc>
        <w:tc>
          <w:tcPr>
            <w:tcW w:w="3559" w:type="dxa"/>
            <w:noWrap/>
            <w:hideMark/>
          </w:tcPr>
          <w:p w14:paraId="782B7B18" w14:textId="4D2A87C1" w:rsidR="009763FC" w:rsidRDefault="006A7A6B" w:rsidP="00BD1D65">
            <w:pPr>
              <w:jc w:val="both"/>
            </w:pPr>
            <w:r>
              <w:fldChar w:fldCharType="begin"/>
            </w:r>
            <w:r w:rsidR="002E57F4">
              <w:instrText xml:space="preserve"> ADDIN ZOTERO_ITEM CSL_CITATION {"citationID":"8IztzKpk","properties":{"formattedCitation":"[16]","plainCitation":"[16]","noteIndex":0},"citationItems":[{"id":13983,"uris":["http://zotero.org/users/12598273/items/DAFZGX2D"],"itemData":{"id":13983,"type":"article-journal","abstract":"Esterases have emerged as important biocatalysts for enzymebased polyester recycling of poly(ethylene terephthalate) (PET) to terephthalic acid (TPA) and ethylene glycol (EG). Here, we present process modeling, techno-economic, life-cycle, and socioeconomic impact analyses for an enzymatic PET depolymerization-based recycling process, which we compare with virgin TPA manufacturing. We predict that enzymatically recycled TPA (rTPA) can be cost-competitive and highlight key areas to achieve this. In addition to favorable long-term socioeconomic beneﬁts, rTPA can reduce total supply chain energy use by 69%–83% and greenhouse gas emissions by 17%–43% per kg of TPA. An economy-wide assessment for the US estimates that the TPA recycling process can reduce environmental impacts by up to 95% while generating up to 45% more socioeconomic beneﬁts, also relative to virgin TPA production. Sensitivity analyses highlight impactful research opportunities to pursue toward realizing biological PET recycling and upcycling.","citation-key":"singhTechnoeconomicLifecycleSocioeconomic2021","container-title":"Joule","DOI":"10.1016/j.joule.2021.06.015","ISSN":"25424351","issue":"9","journalAbbreviation":"Joule","language":"en","page":"2479-2503","source":"DOI.org (Crossref)","title":"Techno-economic, life-cycle, and socioeconomic impact analysis of enzymatic recycling of poly(ethylene terephthalate)","volume":"5","author":[{"family":"Singh","given":"Avantika"},{"family":"Rorrer","given":"Nicholas A."},{"family":"Nicholson","given":"Scott R."},{"family":"Erickson","given":"Erika"},{"family":"DesVeaux","given":"Jason S."},{"family":"Avelino","given":"Andre F.T."},{"family":"Lamers","given":"Patrick"},{"family":"Bhatt","given":"Arpit"},{"family":"Zhang","given":"Yimin"},{"family":"Avery","given":"Greg"},{"family":"Tao","given":"Ling"},{"family":"Pickford","given":"Andrew R."},{"family":"Carpenter","given":"Alberta C."},{"family":"McGeehan","given":"John E."},{"family":"Beckham","given":"Gregg T."}],"issued":{"date-parts":[["2021",9]]}}}],"schema":"https://github.com/citation-style-language/schema/raw/master/csl-citation.json"} </w:instrText>
            </w:r>
            <w:r>
              <w:fldChar w:fldCharType="separate"/>
            </w:r>
            <w:r w:rsidR="002E57F4">
              <w:rPr>
                <w:noProof/>
              </w:rPr>
              <w:t>[16]</w:t>
            </w:r>
            <w:r>
              <w:fldChar w:fldCharType="end"/>
            </w:r>
          </w:p>
        </w:tc>
      </w:tr>
      <w:tr w:rsidR="009763FC" w14:paraId="74FE6414" w14:textId="77777777" w:rsidTr="00E173BF">
        <w:trPr>
          <w:trHeight w:val="320"/>
        </w:trPr>
        <w:tc>
          <w:tcPr>
            <w:tcW w:w="2766" w:type="dxa"/>
            <w:noWrap/>
            <w:hideMark/>
          </w:tcPr>
          <w:p w14:paraId="1C0E04B3" w14:textId="30A7657F" w:rsidR="009763FC" w:rsidRDefault="009763FC" w:rsidP="00BD1D65">
            <w:pPr>
              <w:jc w:val="both"/>
            </w:pPr>
            <w:r>
              <w:t>Serpentine</w:t>
            </w:r>
          </w:p>
        </w:tc>
        <w:tc>
          <w:tcPr>
            <w:tcW w:w="1300" w:type="dxa"/>
            <w:noWrap/>
            <w:hideMark/>
          </w:tcPr>
          <w:p w14:paraId="60D6FEEC" w14:textId="51667DF2" w:rsidR="009763FC" w:rsidRDefault="009763FC" w:rsidP="00BD1D65">
            <w:pPr>
              <w:jc w:val="both"/>
            </w:pPr>
            <w:r>
              <w:t>0.024</w:t>
            </w:r>
          </w:p>
        </w:tc>
        <w:tc>
          <w:tcPr>
            <w:tcW w:w="1300" w:type="dxa"/>
            <w:noWrap/>
            <w:hideMark/>
          </w:tcPr>
          <w:p w14:paraId="32FE90E8" w14:textId="1D89265B" w:rsidR="009763FC" w:rsidRDefault="009763FC" w:rsidP="00BD1D65">
            <w:pPr>
              <w:jc w:val="both"/>
            </w:pPr>
            <w:r>
              <w:t>€/kg</w:t>
            </w:r>
          </w:p>
        </w:tc>
        <w:bookmarkStart w:id="15" w:name="_Hlk228803104"/>
        <w:tc>
          <w:tcPr>
            <w:tcW w:w="3559" w:type="dxa"/>
            <w:noWrap/>
            <w:hideMark/>
          </w:tcPr>
          <w:p w14:paraId="6B09E0B5" w14:textId="4EDF4946" w:rsidR="009763FC" w:rsidRDefault="009763FC" w:rsidP="00BD1D65">
            <w:pPr>
              <w:jc w:val="both"/>
            </w:pPr>
            <w:r>
              <w:fldChar w:fldCharType="begin"/>
            </w:r>
            <w:r w:rsidR="002E57F4">
              <w:instrText xml:space="preserve"> ADDIN ZOTERO_ITEM CSL_CITATION {"citationID":"88v6bOJE","properties":{"formattedCitation":"[20]","plainCitation":"[20]","noteIndex":0},"citationItems":[{"id":8297,"uris":["http://zotero.org/users/12598273/items/I2FYAZXG"],"itemData":{"id":8297,"type":"article-journal","abstract":"Carbon capture and storage is acknowledged as a valuable technology for reducing industrial emissions. Its integration into industrial sectors, benefiting from multiple symbiosis, proved consequential from an economic and environmental perspective.\n          , \n            \n              Carbon capture and storage (CCS) is commonly acknowledged as a valuable technology for reducing industrial emissions. However, limited installation capacity raises questions about its ability to scale up effectively and promptly. This issue can, in part, be attributed to expensive and energy-intensive processes, as well as the poorly-understood role of heat- and material integration. Here, we show that net-zero and net-negative industrial sectors are possible by integrating capture and mineralization in cement production, steel manufacture, and waste incineration. These sectors feature large amounts of waste heat, alkaline solid residues, and process emissions. We estimate that the three sectors combined could reduce European emissions by 27% (\n              c.a.\n              860 Mton), with marginal abatement costs between 62 and 85 EUR per ton of CO\n              2\n              . These values compare favorably with deploying capture and storage separately, with economic benefits of up to 50%. Moreover, CCS needs to be considered within an industrial cluster to justify its economic and environmental deployment, with system integration being crucial when taking investment decisions.","citation-key":"castro-amoedoRoleSystemIntegration2023","container-title":"Energy &amp; Environmental Science","DOI":"10.1039/D3EE01803B","ISSN":"1754-5692, 1754-5706","issue":"10","journalAbbreviation":"Energy Environ. Sci.","language":"en","page":"4356-4372","source":"DOI.org (Crossref)","title":"On the role of system integration of carbon capture and mineralization in achieving net-negative emissions in industrial sectors","volume":"16","author":[{"family":"Castro-Amoedo","given":"Rafael"},{"family":"Granacher","given":"Julia"},{"family":"Daher","given":"Mouhannad Abou"},{"family":"Maréchal","given":"François"}],"issued":{"date-parts":[["2023"]]}}}],"schema":"https://github.com/citation-style-language/schema/raw/master/csl-citation.json"} </w:instrText>
            </w:r>
            <w:r>
              <w:fldChar w:fldCharType="separate"/>
            </w:r>
            <w:r w:rsidR="002E57F4">
              <w:rPr>
                <w:noProof/>
              </w:rPr>
              <w:t>[20]</w:t>
            </w:r>
            <w:r>
              <w:fldChar w:fldCharType="end"/>
            </w:r>
            <w:bookmarkEnd w:id="15"/>
          </w:p>
        </w:tc>
      </w:tr>
      <w:tr w:rsidR="006A7A6B" w14:paraId="15CA4533" w14:textId="77777777" w:rsidTr="00E173BF">
        <w:trPr>
          <w:trHeight w:val="320"/>
        </w:trPr>
        <w:tc>
          <w:tcPr>
            <w:tcW w:w="2766" w:type="dxa"/>
            <w:noWrap/>
            <w:hideMark/>
          </w:tcPr>
          <w:p w14:paraId="5E525BDC" w14:textId="60356BC0" w:rsidR="006A7A6B" w:rsidRDefault="006A7A6B" w:rsidP="00BD1D65">
            <w:pPr>
              <w:jc w:val="both"/>
            </w:pPr>
            <w:r>
              <w:t>MgCO3</w:t>
            </w:r>
          </w:p>
        </w:tc>
        <w:tc>
          <w:tcPr>
            <w:tcW w:w="1300" w:type="dxa"/>
            <w:noWrap/>
            <w:hideMark/>
          </w:tcPr>
          <w:p w14:paraId="189AE5DC" w14:textId="77252901" w:rsidR="006A7A6B" w:rsidRDefault="006A7A6B" w:rsidP="00BD1D65">
            <w:pPr>
              <w:jc w:val="both"/>
            </w:pPr>
            <w:r>
              <w:t>-0.200</w:t>
            </w:r>
          </w:p>
        </w:tc>
        <w:tc>
          <w:tcPr>
            <w:tcW w:w="1300" w:type="dxa"/>
            <w:noWrap/>
            <w:hideMark/>
          </w:tcPr>
          <w:p w14:paraId="0970E1B9" w14:textId="758F44F4" w:rsidR="006A7A6B" w:rsidRDefault="006A7A6B" w:rsidP="00BD1D65">
            <w:pPr>
              <w:jc w:val="both"/>
            </w:pPr>
            <w:r>
              <w:t>€/kg</w:t>
            </w:r>
          </w:p>
        </w:tc>
        <w:tc>
          <w:tcPr>
            <w:tcW w:w="3559" w:type="dxa"/>
            <w:noWrap/>
            <w:hideMark/>
          </w:tcPr>
          <w:p w14:paraId="4A901D8B" w14:textId="25E5748E" w:rsidR="006A7A6B" w:rsidRDefault="006A7A6B" w:rsidP="00BD1D65">
            <w:pPr>
              <w:jc w:val="both"/>
            </w:pPr>
            <w:r>
              <w:fldChar w:fldCharType="begin"/>
            </w:r>
            <w:r w:rsidR="002E57F4">
              <w:instrText xml:space="preserve"> ADDIN ZOTERO_ITEM CSL_CITATION {"citationID":"Rxx9rwja","properties":{"formattedCitation":"[21]","plainCitation":"[21]","noteIndex":0},"citationItems":[{"id":13596,"uris":["http://zotero.org/users/12598273/items/7DXNUHAP"],"itemData":{"id":13596,"type":"article-journal","citation-key":"pasquierTechnicalEconomicEvaluation2016","container-title":"International Journal of Greenhouse Gas Control","DOI":"10.1016/j.ijggc.2016.04.030","ISSN":"17505836","journalAbbreviation":"International Journal of Greenhouse Gas Control","language":"en","page":"147-157","source":"DOI.org (Crossref)","title":"Technical &amp; economic evaluation of a mineral carbonation process using southern Québec mining wastes for CO2 sequestration of raw flue gas with by-product recovery","volume":"50","author":[{"family":"Pasquier","given":"Louis-César"},{"family":"Mercier","given":"Guy"},{"family":"Blais","given":"Jean-François"},{"family":"Cecchi","given":"Emmanuelle"},{"family":"Kentish","given":"Sandra"}],"issued":{"date-parts":[["2016",7]]}}}],"schema":"https://github.com/citation-style-language/schema/raw/master/csl-citation.json"} </w:instrText>
            </w:r>
            <w:r>
              <w:fldChar w:fldCharType="separate"/>
            </w:r>
            <w:r w:rsidR="002E57F4">
              <w:rPr>
                <w:noProof/>
              </w:rPr>
              <w:t>[21]</w:t>
            </w:r>
            <w:r>
              <w:fldChar w:fldCharType="end"/>
            </w:r>
          </w:p>
        </w:tc>
      </w:tr>
      <w:tr w:rsidR="009763FC" w14:paraId="4E8EB150" w14:textId="77777777" w:rsidTr="00E173BF">
        <w:trPr>
          <w:trHeight w:val="320"/>
        </w:trPr>
        <w:tc>
          <w:tcPr>
            <w:tcW w:w="2766" w:type="dxa"/>
            <w:noWrap/>
            <w:hideMark/>
          </w:tcPr>
          <w:p w14:paraId="0BCD77FE" w14:textId="63F40EEF" w:rsidR="009763FC" w:rsidRDefault="009763FC" w:rsidP="00BD1D65">
            <w:pPr>
              <w:jc w:val="both"/>
            </w:pPr>
            <w:r>
              <w:t>SiO2</w:t>
            </w:r>
          </w:p>
        </w:tc>
        <w:tc>
          <w:tcPr>
            <w:tcW w:w="1300" w:type="dxa"/>
            <w:noWrap/>
            <w:hideMark/>
          </w:tcPr>
          <w:p w14:paraId="6481032B" w14:textId="5089457B" w:rsidR="009763FC" w:rsidRDefault="009763FC" w:rsidP="00BD1D65">
            <w:pPr>
              <w:jc w:val="both"/>
            </w:pPr>
            <w:r>
              <w:t>-0.050</w:t>
            </w:r>
          </w:p>
        </w:tc>
        <w:tc>
          <w:tcPr>
            <w:tcW w:w="1300" w:type="dxa"/>
            <w:noWrap/>
            <w:hideMark/>
          </w:tcPr>
          <w:p w14:paraId="446375CB" w14:textId="292B3840" w:rsidR="009763FC" w:rsidRDefault="009763FC" w:rsidP="00BD1D65">
            <w:pPr>
              <w:jc w:val="both"/>
            </w:pPr>
            <w:r>
              <w:t>€/kg</w:t>
            </w:r>
          </w:p>
        </w:tc>
        <w:tc>
          <w:tcPr>
            <w:tcW w:w="3559" w:type="dxa"/>
            <w:noWrap/>
            <w:hideMark/>
          </w:tcPr>
          <w:p w14:paraId="36AAB92D" w14:textId="2DAC7EF9" w:rsidR="009763FC" w:rsidRDefault="009763FC" w:rsidP="00BD1D65">
            <w:pPr>
              <w:jc w:val="both"/>
            </w:pPr>
            <w:r>
              <w:fldChar w:fldCharType="begin"/>
            </w:r>
            <w:r w:rsidR="002E57F4">
              <w:instrText xml:space="preserve"> ADDIN ZOTERO_ITEM CSL_CITATION {"citationID":"iHnjRcMK","properties":{"formattedCitation":"[20]","plainCitation":"[20]","noteIndex":0},"citationItems":[{"id":8297,"uris":["http://zotero.org/users/12598273/items/I2FYAZXG"],"itemData":{"id":8297,"type":"article-journal","abstract":"Carbon capture and storage is acknowledged as a valuable technology for reducing industrial emissions. Its integration into industrial sectors, benefiting from multiple symbiosis, proved consequential from an economic and environmental perspective.\n          , \n            \n              Carbon capture and storage (CCS) is commonly acknowledged as a valuable technology for reducing industrial emissions. However, limited installation capacity raises questions about its ability to scale up effectively and promptly. This issue can, in part, be attributed to expensive and energy-intensive processes, as well as the poorly-understood role of heat- and material integration. Here, we show that net-zero and net-negative industrial sectors are possible by integrating capture and mineralization in cement production, steel manufacture, and waste incineration. These sectors feature large amounts of waste heat, alkaline solid residues, and process emissions. We estimate that the three sectors combined could reduce European emissions by 27% (\n              c.a.\n              860 Mton), with marginal abatement costs between 62 and 85 EUR per ton of CO\n              2\n              . These values compare favorably with deploying capture and storage separately, with economic benefits of up to 50%. Moreover, CCS needs to be considered within an industrial cluster to justify its economic and environmental deployment, with system integration being crucial when taking investment decisions.","citation-key":"castro-amoedoRoleSystemIntegration2023","container-title":"Energy &amp; Environmental Science","DOI":"10.1039/D3EE01803B","ISSN":"1754-5692, 1754-5706","issue":"10","journalAbbreviation":"Energy Environ. Sci.","language":"en","page":"4356-4372","source":"DOI.org (Crossref)","title":"On the role of system integration of carbon capture and mineralization in achieving net-negative emissions in industrial sectors","volume":"16","author":[{"family":"Castro-Amoedo","given":"Rafael"},{"family":"Granacher","given":"Julia"},{"family":"Daher","given":"Mouhannad Abou"},{"family":"Maréchal","given":"François"}],"issued":{"date-parts":[["2023"]]}}}],"schema":"https://github.com/citation-style-language/schema/raw/master/csl-citation.json"} </w:instrText>
            </w:r>
            <w:r>
              <w:fldChar w:fldCharType="separate"/>
            </w:r>
            <w:r w:rsidR="002E57F4">
              <w:rPr>
                <w:noProof/>
              </w:rPr>
              <w:t>[20]</w:t>
            </w:r>
            <w:r>
              <w:fldChar w:fldCharType="end"/>
            </w:r>
          </w:p>
        </w:tc>
      </w:tr>
      <w:tr w:rsidR="009763FC" w14:paraId="6845F13F" w14:textId="77777777" w:rsidTr="00E173BF">
        <w:trPr>
          <w:trHeight w:val="320"/>
        </w:trPr>
        <w:tc>
          <w:tcPr>
            <w:tcW w:w="2766" w:type="dxa"/>
            <w:noWrap/>
            <w:hideMark/>
          </w:tcPr>
          <w:p w14:paraId="53352C38" w14:textId="4BB683D0" w:rsidR="009763FC" w:rsidRDefault="009763FC" w:rsidP="00BD1D65">
            <w:pPr>
              <w:jc w:val="both"/>
            </w:pPr>
            <w:r>
              <w:t>Magnetite</w:t>
            </w:r>
          </w:p>
        </w:tc>
        <w:tc>
          <w:tcPr>
            <w:tcW w:w="1300" w:type="dxa"/>
            <w:noWrap/>
            <w:hideMark/>
          </w:tcPr>
          <w:p w14:paraId="39EE383C" w14:textId="72E7158D" w:rsidR="009763FC" w:rsidRDefault="009763FC" w:rsidP="00BD1D65">
            <w:pPr>
              <w:jc w:val="both"/>
            </w:pPr>
            <w:r>
              <w:t>-0.030</w:t>
            </w:r>
          </w:p>
        </w:tc>
        <w:tc>
          <w:tcPr>
            <w:tcW w:w="1300" w:type="dxa"/>
            <w:noWrap/>
            <w:hideMark/>
          </w:tcPr>
          <w:p w14:paraId="02F0321D" w14:textId="011DC698" w:rsidR="009763FC" w:rsidRDefault="009763FC" w:rsidP="00BD1D65">
            <w:pPr>
              <w:jc w:val="both"/>
            </w:pPr>
            <w:r>
              <w:t>€/kg</w:t>
            </w:r>
          </w:p>
        </w:tc>
        <w:tc>
          <w:tcPr>
            <w:tcW w:w="3559" w:type="dxa"/>
            <w:noWrap/>
            <w:hideMark/>
          </w:tcPr>
          <w:p w14:paraId="53BF2D9E" w14:textId="62C7C73D" w:rsidR="009763FC" w:rsidRDefault="006A7A6B" w:rsidP="00BD1D65">
            <w:pPr>
              <w:jc w:val="both"/>
            </w:pPr>
            <w:r>
              <w:fldChar w:fldCharType="begin"/>
            </w:r>
            <w:r w:rsidR="002E57F4">
              <w:instrText xml:space="preserve"> ADDIN ZOTERO_ITEM CSL_CITATION {"citationID":"6OIUNoIJ","properties":{"formattedCitation":"[21]","plainCitation":"[21]","noteIndex":0},"citationItems":[{"id":13596,"uris":["http://zotero.org/users/12598273/items/7DXNUHAP"],"itemData":{"id":13596,"type":"article-journal","citation-key":"pasquierTechnicalEconomicEvaluation2016","container-title":"International Journal of Greenhouse Gas Control","DOI":"10.1016/j.ijggc.2016.04.030","ISSN":"17505836","journalAbbreviation":"International Journal of Greenhouse Gas Control","language":"en","page":"147-157","source":"DOI.org (Crossref)","title":"Technical &amp; economic evaluation of a mineral carbonation process using southern Québec mining wastes for CO2 sequestration of raw flue gas with by-product recovery","volume":"50","author":[{"family":"Pasquier","given":"Louis-César"},{"family":"Mercier","given":"Guy"},{"family":"Blais","given":"Jean-François"},{"family":"Cecchi","given":"Emmanuelle"},{"family":"Kentish","given":"Sandra"}],"issued":{"date-parts":[["2016",7]]}}}],"schema":"https://github.com/citation-style-language/schema/raw/master/csl-citation.json"} </w:instrText>
            </w:r>
            <w:r>
              <w:fldChar w:fldCharType="separate"/>
            </w:r>
            <w:r w:rsidR="002E57F4">
              <w:rPr>
                <w:noProof/>
              </w:rPr>
              <w:t>[21]</w:t>
            </w:r>
            <w:r>
              <w:fldChar w:fldCharType="end"/>
            </w:r>
          </w:p>
        </w:tc>
      </w:tr>
      <w:tr w:rsidR="009763FC" w14:paraId="42BEF385" w14:textId="77777777" w:rsidTr="00E173BF">
        <w:trPr>
          <w:trHeight w:val="320"/>
        </w:trPr>
        <w:tc>
          <w:tcPr>
            <w:tcW w:w="2766" w:type="dxa"/>
            <w:noWrap/>
            <w:hideMark/>
          </w:tcPr>
          <w:p w14:paraId="5E44EF7A" w14:textId="69855E71" w:rsidR="009763FC" w:rsidRDefault="009763FC" w:rsidP="00BD1D65">
            <w:pPr>
              <w:jc w:val="both"/>
            </w:pPr>
            <w:r>
              <w:t>NaCl</w:t>
            </w:r>
          </w:p>
        </w:tc>
        <w:tc>
          <w:tcPr>
            <w:tcW w:w="1300" w:type="dxa"/>
            <w:noWrap/>
            <w:hideMark/>
          </w:tcPr>
          <w:p w14:paraId="15A40340" w14:textId="53A7E8AC" w:rsidR="009763FC" w:rsidRDefault="009763FC" w:rsidP="00BD1D65">
            <w:pPr>
              <w:jc w:val="both"/>
            </w:pPr>
            <w:r>
              <w:t>0.120</w:t>
            </w:r>
          </w:p>
        </w:tc>
        <w:tc>
          <w:tcPr>
            <w:tcW w:w="1300" w:type="dxa"/>
            <w:noWrap/>
            <w:hideMark/>
          </w:tcPr>
          <w:p w14:paraId="501D5F41" w14:textId="6FFBD576" w:rsidR="009763FC" w:rsidRDefault="009763FC" w:rsidP="00BD1D65">
            <w:pPr>
              <w:jc w:val="both"/>
            </w:pPr>
            <w:r>
              <w:t>€/kg</w:t>
            </w:r>
          </w:p>
        </w:tc>
        <w:tc>
          <w:tcPr>
            <w:tcW w:w="3559" w:type="dxa"/>
            <w:noWrap/>
            <w:hideMark/>
          </w:tcPr>
          <w:p w14:paraId="11DC1283" w14:textId="38C364B9" w:rsidR="009763FC" w:rsidRDefault="00E8625C" w:rsidP="00BD1D65">
            <w:pPr>
              <w:jc w:val="both"/>
            </w:pPr>
            <w:r>
              <w:fldChar w:fldCharType="begin"/>
            </w:r>
            <w:r w:rsidR="002E57F4">
              <w:instrText xml:space="preserve"> ADDIN ZOTERO_ITEM CSL_CITATION {"citationID":"j0XBfKYC","properties":{"formattedCitation":"[22]","plainCitation":"[22]","noteIndex":0},"citationItems":[{"id":14065,"uris":["http://zotero.org/users/12598273/items/KU5RHUAB"],"itemData":{"id":14065,"type":"webpage","abstract":"Honeywell 31434-1KG - NATRIUMCHLORID, PURISS. P.A. ACS, REAG. ISO, REAG. PH. EUR. 1 KG CAS 7647-14-5 bei LOLAB kaufen.","citation-key":"Honeywell314341KGNATRIUMCHLORID","container-title":"Der LOLAB Chemikalien-Shop","language":"de","title":"Honeywell 31434-1KG - NATRIUMCHLORID, 1 KG","URL":"https://shop-lolab.de/natriumchlorid/flk.31434.1000.pb","accessed":{"date-parts":[["2026",5,4]]}}}],"schema":"https://github.com/citation-style-language/schema/raw/master/csl-citation.json"} </w:instrText>
            </w:r>
            <w:r>
              <w:fldChar w:fldCharType="separate"/>
            </w:r>
            <w:r w:rsidR="002E57F4">
              <w:rPr>
                <w:noProof/>
              </w:rPr>
              <w:t>[22]</w:t>
            </w:r>
            <w:r>
              <w:fldChar w:fldCharType="end"/>
            </w:r>
          </w:p>
        </w:tc>
      </w:tr>
      <w:tr w:rsidR="009763FC" w14:paraId="777C4D33" w14:textId="77777777" w:rsidTr="00E173BF">
        <w:trPr>
          <w:trHeight w:val="320"/>
        </w:trPr>
        <w:tc>
          <w:tcPr>
            <w:tcW w:w="2766" w:type="dxa"/>
            <w:noWrap/>
            <w:hideMark/>
          </w:tcPr>
          <w:p w14:paraId="32911D8B" w14:textId="037DE229" w:rsidR="009763FC" w:rsidRDefault="009763FC" w:rsidP="00BD1D65">
            <w:pPr>
              <w:jc w:val="both"/>
            </w:pPr>
            <w:r>
              <w:t>NaHCO3</w:t>
            </w:r>
          </w:p>
        </w:tc>
        <w:tc>
          <w:tcPr>
            <w:tcW w:w="1300" w:type="dxa"/>
            <w:noWrap/>
            <w:hideMark/>
          </w:tcPr>
          <w:p w14:paraId="04272A60" w14:textId="078EC561" w:rsidR="009763FC" w:rsidRDefault="009763FC" w:rsidP="00BD1D65">
            <w:pPr>
              <w:jc w:val="both"/>
            </w:pPr>
            <w:r>
              <w:t>0.375</w:t>
            </w:r>
          </w:p>
        </w:tc>
        <w:tc>
          <w:tcPr>
            <w:tcW w:w="1300" w:type="dxa"/>
            <w:noWrap/>
            <w:hideMark/>
          </w:tcPr>
          <w:p w14:paraId="6D916649" w14:textId="502E3AC6" w:rsidR="009763FC" w:rsidRDefault="009763FC" w:rsidP="00BD1D65">
            <w:pPr>
              <w:jc w:val="both"/>
            </w:pPr>
            <w:r>
              <w:t>€/kg</w:t>
            </w:r>
          </w:p>
        </w:tc>
        <w:tc>
          <w:tcPr>
            <w:tcW w:w="3559" w:type="dxa"/>
            <w:noWrap/>
            <w:hideMark/>
          </w:tcPr>
          <w:p w14:paraId="7E0DEE4F" w14:textId="0CF7F2AC" w:rsidR="009763FC" w:rsidRDefault="00E8625C" w:rsidP="00BD1D65">
            <w:pPr>
              <w:jc w:val="both"/>
            </w:pPr>
            <w:r>
              <w:fldChar w:fldCharType="begin"/>
            </w:r>
            <w:r w:rsidR="002E57F4">
              <w:instrText xml:space="preserve"> ADDIN ZOTERO_ITEM CSL_CITATION {"citationID":"HnG0I3Ir","properties":{"formattedCitation":"[23]","plainCitation":"[23]","noteIndex":0},"citationItems":[{"id":14067,"uris":["http://zotero.org/users/12598273/items/ADZZZE6U"],"itemData":{"id":14067,"type":"webpage","abstract":"Have any questions? Talk with us directly using LiveChat.","citation-key":"chemanalystSodiumBicarbonatePrice2026","language":"en","title":"Sodium Bicarbonate Price Trend and Forecast","URL":"https://secure.livechatinc.com/customer/action/open_chat?license_id=13070841&amp;group=0&amp;embedded=1&amp;widget_version=3&amp;unique_groups=0&amp;organization_id=67a959db-fb12-45b4-a56b-5ab9c693cc62&amp;use_parent_storage=1&amp;x-region=us-south1","author":[{"family":"ChemAnalyst","given":""}],"accessed":{"date-parts":[["2026",5,4]]},"issued":{"date-parts":[["2026"]]}}}],"schema":"https://github.com/citation-style-language/schema/raw/master/csl-citation.json"} </w:instrText>
            </w:r>
            <w:r>
              <w:fldChar w:fldCharType="separate"/>
            </w:r>
            <w:r w:rsidR="002E57F4">
              <w:rPr>
                <w:noProof/>
              </w:rPr>
              <w:t>[23]</w:t>
            </w:r>
            <w:r>
              <w:fldChar w:fldCharType="end"/>
            </w:r>
          </w:p>
        </w:tc>
      </w:tr>
      <w:tr w:rsidR="009763FC" w14:paraId="49B767F3" w14:textId="77777777" w:rsidTr="00E173BF">
        <w:trPr>
          <w:trHeight w:val="320"/>
        </w:trPr>
        <w:tc>
          <w:tcPr>
            <w:tcW w:w="2766" w:type="dxa"/>
            <w:noWrap/>
            <w:hideMark/>
          </w:tcPr>
          <w:p w14:paraId="76AA8B25" w14:textId="5C5D7A0A" w:rsidR="009763FC" w:rsidRDefault="009763FC" w:rsidP="00BD1D65">
            <w:pPr>
              <w:jc w:val="both"/>
            </w:pPr>
            <w:r>
              <w:t>Transport (truck)</w:t>
            </w:r>
          </w:p>
        </w:tc>
        <w:tc>
          <w:tcPr>
            <w:tcW w:w="1300" w:type="dxa"/>
            <w:noWrap/>
            <w:hideMark/>
          </w:tcPr>
          <w:p w14:paraId="07A900C2" w14:textId="23B39C93" w:rsidR="009763FC" w:rsidRDefault="009763FC" w:rsidP="00BD1D65">
            <w:pPr>
              <w:jc w:val="both"/>
            </w:pPr>
            <w:r>
              <w:t>0.2</w:t>
            </w:r>
          </w:p>
        </w:tc>
        <w:tc>
          <w:tcPr>
            <w:tcW w:w="1300" w:type="dxa"/>
            <w:noWrap/>
            <w:hideMark/>
          </w:tcPr>
          <w:p w14:paraId="798EBEC2" w14:textId="251811B9" w:rsidR="009763FC" w:rsidRDefault="009763FC" w:rsidP="00BD1D65">
            <w:pPr>
              <w:jc w:val="both"/>
            </w:pPr>
            <w:r>
              <w:t>€/m3/km</w:t>
            </w:r>
          </w:p>
        </w:tc>
        <w:tc>
          <w:tcPr>
            <w:tcW w:w="3559" w:type="dxa"/>
            <w:noWrap/>
            <w:hideMark/>
          </w:tcPr>
          <w:p w14:paraId="7438FFBA" w14:textId="6124F64E" w:rsidR="009763FC" w:rsidRDefault="009763FC" w:rsidP="00BD1D65">
            <w:pPr>
              <w:jc w:val="both"/>
            </w:pPr>
            <w:r>
              <w:fldChar w:fldCharType="begin"/>
            </w:r>
            <w:r w:rsidR="002E57F4">
              <w:instrText xml:space="preserve"> ADDIN ZOTERO_ITEM CSL_CITATION {"citationID":"RVxqfWLG","properties":{"formattedCitation":"[24]","plainCitation":"[24]","noteIndex":0},"citationItems":[{"id":12269,"uris":["http://zotero.org/users/12598273/items/5L3LNNX4"],"itemData":{"id":12269,"type":"article-journal","citation-key":"castro-amoedoRoleSystemIntegration2024","container-title":"Resources, Conservation and Recycling","DOI":"10.1016/j.resconrec.2023.107295","ISSN":"09213449","journalAbbreviation":"Resources, Conservation and Recycling","language":"en","page":"107295","source":"DOI.org (Crossref)","title":"On the role of system integration in plastic waste management","volume":"201","author":[{"family":"Castro-Amoedo","given":"Rafael"},{"family":"Granacher","given":"Julia"},{"family":"Kantor","given":"Ivan"},{"family":"Dahmen","given":"Alina"},{"family":"Barbosa-Povoa","given":"Ana"},{"family":"Maréchal","given":"François"}],"issued":{"date-parts":[["2024",2]]}}}],"schema":"https://github.com/citation-style-language/schema/raw/master/csl-citation.json"} </w:instrText>
            </w:r>
            <w:r>
              <w:fldChar w:fldCharType="separate"/>
            </w:r>
            <w:r w:rsidR="002E57F4">
              <w:rPr>
                <w:noProof/>
              </w:rPr>
              <w:t>[24]</w:t>
            </w:r>
            <w:r>
              <w:fldChar w:fldCharType="end"/>
            </w:r>
          </w:p>
        </w:tc>
      </w:tr>
      <w:tr w:rsidR="009763FC" w14:paraId="507F950B" w14:textId="77777777" w:rsidTr="00E173BF">
        <w:trPr>
          <w:trHeight w:val="320"/>
        </w:trPr>
        <w:tc>
          <w:tcPr>
            <w:tcW w:w="2766" w:type="dxa"/>
            <w:noWrap/>
            <w:hideMark/>
          </w:tcPr>
          <w:p w14:paraId="1C1BA5FA" w14:textId="0C8BEF31" w:rsidR="009763FC" w:rsidRDefault="009763FC" w:rsidP="00BD1D65">
            <w:pPr>
              <w:jc w:val="both"/>
            </w:pPr>
            <w:r>
              <w:t>Transport (train)</w:t>
            </w:r>
          </w:p>
        </w:tc>
        <w:tc>
          <w:tcPr>
            <w:tcW w:w="1300" w:type="dxa"/>
            <w:noWrap/>
            <w:hideMark/>
          </w:tcPr>
          <w:p w14:paraId="6BBB3358" w14:textId="673BC57A" w:rsidR="009763FC" w:rsidRDefault="009763FC" w:rsidP="00BD1D65">
            <w:pPr>
              <w:jc w:val="both"/>
            </w:pPr>
            <w:r>
              <w:t>0.001</w:t>
            </w:r>
          </w:p>
        </w:tc>
        <w:tc>
          <w:tcPr>
            <w:tcW w:w="1300" w:type="dxa"/>
            <w:noWrap/>
            <w:hideMark/>
          </w:tcPr>
          <w:p w14:paraId="07ADBAC5" w14:textId="41FA4D75" w:rsidR="009763FC" w:rsidRDefault="009763FC" w:rsidP="00BD1D65">
            <w:pPr>
              <w:jc w:val="both"/>
            </w:pPr>
            <w:r>
              <w:t>€/m3/km</w:t>
            </w:r>
          </w:p>
        </w:tc>
        <w:bookmarkStart w:id="16" w:name="_Hlk228803082"/>
        <w:tc>
          <w:tcPr>
            <w:tcW w:w="3559" w:type="dxa"/>
            <w:noWrap/>
            <w:hideMark/>
          </w:tcPr>
          <w:p w14:paraId="2EE2DE86" w14:textId="3754F941" w:rsidR="009763FC" w:rsidRDefault="009763FC" w:rsidP="00BD1D65">
            <w:pPr>
              <w:jc w:val="both"/>
            </w:pPr>
            <w:r>
              <w:fldChar w:fldCharType="begin"/>
            </w:r>
            <w:r w:rsidR="002E57F4">
              <w:instrText xml:space="preserve"> ADDIN ZOTERO_ITEM CSL_CITATION {"citationID":"cz8vYANF","properties":{"formattedCitation":"[24]","plainCitation":"[24]","noteIndex":0},"citationItems":[{"id":12269,"uris":["http://zotero.org/users/12598273/items/5L3LNNX4"],"itemData":{"id":12269,"type":"article-journal","citation-key":"castro-amoedoRoleSystemIntegration2024","container-title":"Resources, Conservation and Recycling","DOI":"10.1016/j.resconrec.2023.107295","ISSN":"09213449","journalAbbreviation":"Resources, Conservation and Recycling","language":"en","page":"107295","source":"DOI.org (Crossref)","title":"On the role of system integration in plastic waste management","volume":"201","author":[{"family":"Castro-Amoedo","given":"Rafael"},{"family":"Granacher","given":"Julia"},{"family":"Kantor","given":"Ivan"},{"family":"Dahmen","given":"Alina"},{"family":"Barbosa-Povoa","given":"Ana"},{"family":"Maréchal","given":"François"}],"issued":{"date-parts":[["2024",2]]}}}],"schema":"https://github.com/citation-style-language/schema/raw/master/csl-citation.json"} </w:instrText>
            </w:r>
            <w:r>
              <w:fldChar w:fldCharType="separate"/>
            </w:r>
            <w:r w:rsidR="002E57F4">
              <w:rPr>
                <w:noProof/>
              </w:rPr>
              <w:t>[24]</w:t>
            </w:r>
            <w:r>
              <w:fldChar w:fldCharType="end"/>
            </w:r>
            <w:bookmarkEnd w:id="16"/>
          </w:p>
        </w:tc>
      </w:tr>
      <w:tr w:rsidR="009763FC" w14:paraId="46BBF47B" w14:textId="77777777" w:rsidTr="00E173BF">
        <w:trPr>
          <w:trHeight w:val="320"/>
        </w:trPr>
        <w:tc>
          <w:tcPr>
            <w:tcW w:w="2766" w:type="dxa"/>
            <w:noWrap/>
            <w:hideMark/>
          </w:tcPr>
          <w:p w14:paraId="4985A315" w14:textId="29A22729" w:rsidR="009763FC" w:rsidRDefault="009763FC" w:rsidP="00BD1D65">
            <w:pPr>
              <w:jc w:val="both"/>
            </w:pPr>
            <w:r>
              <w:t>Heat</w:t>
            </w:r>
          </w:p>
        </w:tc>
        <w:tc>
          <w:tcPr>
            <w:tcW w:w="1300" w:type="dxa"/>
            <w:noWrap/>
            <w:hideMark/>
          </w:tcPr>
          <w:p w14:paraId="26CE3F89" w14:textId="428E6697" w:rsidR="009763FC" w:rsidRDefault="009763FC" w:rsidP="00BD1D65">
            <w:pPr>
              <w:jc w:val="both"/>
            </w:pPr>
            <w:r>
              <w:t>0.17</w:t>
            </w:r>
          </w:p>
        </w:tc>
        <w:tc>
          <w:tcPr>
            <w:tcW w:w="1300" w:type="dxa"/>
            <w:noWrap/>
            <w:hideMark/>
          </w:tcPr>
          <w:p w14:paraId="51683B9E" w14:textId="383D2698" w:rsidR="009763FC" w:rsidRDefault="009763FC" w:rsidP="00BD1D65">
            <w:pPr>
              <w:jc w:val="both"/>
            </w:pPr>
            <w:r>
              <w:t>CHF/kWh</w:t>
            </w:r>
          </w:p>
        </w:tc>
        <w:tc>
          <w:tcPr>
            <w:tcW w:w="3559" w:type="dxa"/>
            <w:noWrap/>
            <w:hideMark/>
          </w:tcPr>
          <w:p w14:paraId="26C3F5DD" w14:textId="5B0A3830" w:rsidR="009763FC" w:rsidRDefault="00E8625C" w:rsidP="00BD1D65">
            <w:pPr>
              <w:jc w:val="both"/>
            </w:pPr>
            <w:r>
              <w:fldChar w:fldCharType="begin"/>
            </w:r>
            <w:r w:rsidR="002E57F4">
              <w:instrText xml:space="preserve"> ADDIN ZOTERO_ITEM CSL_CITATION {"citationID":"GxFehwDH","properties":{"formattedCitation":"[25]","plainCitation":"[25]","noteIndex":0},"citationItems":[{"id":14069,"uris":["http://zotero.org/users/12598273/items/QWC3NBBX"],"itemData":{"id":14069,"type":"webpage","abstract":"Nos solutions de production de chaleur sont particulièrement rationnelles et écologiques, car elles sont basées sur la récupération d’énergie (incinération des déchets ménagers et des boues d’épuration) et elles intègrent une part toujours plus importante d’énergie renouvelable.","citation-key":"webmaster@lausanne.chChaleurTarifs","container-title":"Site officiel de la Ville de Lausanne","language":"fr","title":"Chaleur - tarifs","URL":"https://www.lausanne.ch/vie-pratique/energies-et-eau/services-industriels/professionnels/les-offres/chaleur?tab=tarifs","author":[{"family":"webmaster@lausanne.ch","given":"Bureau de la communication-Web &amp; multimédia –"}],"accessed":{"date-parts":[["2026",5,4]]}}}],"schema":"https://github.com/citation-style-language/schema/raw/master/csl-citation.json"} </w:instrText>
            </w:r>
            <w:r>
              <w:fldChar w:fldCharType="separate"/>
            </w:r>
            <w:r w:rsidR="002E57F4">
              <w:rPr>
                <w:noProof/>
              </w:rPr>
              <w:t>[25]</w:t>
            </w:r>
            <w:r>
              <w:fldChar w:fldCharType="end"/>
            </w:r>
          </w:p>
        </w:tc>
      </w:tr>
      <w:tr w:rsidR="005313C1" w14:paraId="7D46093A" w14:textId="77777777" w:rsidTr="00E173BF">
        <w:trPr>
          <w:trHeight w:val="320"/>
        </w:trPr>
        <w:tc>
          <w:tcPr>
            <w:tcW w:w="2766" w:type="dxa"/>
            <w:noWrap/>
          </w:tcPr>
          <w:p w14:paraId="601461E3" w14:textId="06E26E2D" w:rsidR="005313C1" w:rsidRDefault="005313C1" w:rsidP="00BD1D65">
            <w:pPr>
              <w:jc w:val="both"/>
            </w:pPr>
            <w:r w:rsidRPr="0063615C">
              <w:rPr>
                <w:lang w:val="en-GB"/>
              </w:rPr>
              <w:t>CO</w:t>
            </w:r>
            <w:r w:rsidRPr="0063615C">
              <w:rPr>
                <w:vertAlign w:val="subscript"/>
                <w:lang w:val="en-GB"/>
              </w:rPr>
              <w:t>2</w:t>
            </w:r>
            <w:r w:rsidRPr="0063615C">
              <w:rPr>
                <w:lang w:val="en-GB"/>
              </w:rPr>
              <w:t xml:space="preserve"> tax</w:t>
            </w:r>
          </w:p>
        </w:tc>
        <w:tc>
          <w:tcPr>
            <w:tcW w:w="1300" w:type="dxa"/>
            <w:noWrap/>
          </w:tcPr>
          <w:p w14:paraId="08FC2905" w14:textId="37A965F3" w:rsidR="005313C1" w:rsidRDefault="005313C1" w:rsidP="00BD1D65">
            <w:pPr>
              <w:jc w:val="both"/>
            </w:pPr>
            <w:r w:rsidRPr="0063615C">
              <w:rPr>
                <w:lang w:val="en-GB"/>
              </w:rPr>
              <w:t>1</w:t>
            </w:r>
            <w:r>
              <w:rPr>
                <w:lang w:val="en-GB"/>
              </w:rPr>
              <w:t>2</w:t>
            </w:r>
            <w:r w:rsidRPr="0063615C">
              <w:rPr>
                <w:lang w:val="en-GB"/>
              </w:rPr>
              <w:t>0</w:t>
            </w:r>
          </w:p>
        </w:tc>
        <w:tc>
          <w:tcPr>
            <w:tcW w:w="1300" w:type="dxa"/>
            <w:noWrap/>
          </w:tcPr>
          <w:p w14:paraId="4CBE5957" w14:textId="78B8FE8E" w:rsidR="005313C1" w:rsidRDefault="005313C1" w:rsidP="00BD1D65">
            <w:pPr>
              <w:jc w:val="both"/>
            </w:pPr>
            <w:r w:rsidRPr="0063615C">
              <w:rPr>
                <w:lang w:val="en-GB"/>
              </w:rPr>
              <w:t>€/t</w:t>
            </w:r>
          </w:p>
        </w:tc>
        <w:tc>
          <w:tcPr>
            <w:tcW w:w="3559" w:type="dxa"/>
            <w:noWrap/>
          </w:tcPr>
          <w:p w14:paraId="3D76451C" w14:textId="48CDF2D8" w:rsidR="005313C1" w:rsidRDefault="005313C1" w:rsidP="00BD1D65">
            <w:pPr>
              <w:jc w:val="both"/>
            </w:pPr>
            <w:r>
              <w:rPr>
                <w:lang w:val="en-GB"/>
              </w:rPr>
              <w:fldChar w:fldCharType="begin"/>
            </w:r>
            <w:r w:rsidR="002E66A0">
              <w:rPr>
                <w:lang w:val="en-GB"/>
              </w:rPr>
              <w:instrText xml:space="preserve"> ADDIN ZOTERO_ITEM CSL_CITATION {"citationID":"z28N0KJC","properties":{"unsorted":false,"formattedCitation":"[26]","plainCitation":"[26]","noteIndex":0},"citationItems":[{"id":14165,"uris":["http://zotero.org/users/12598273/items/5ZRIQGZF"],"itemData":{"id":14165,"type":"webpage","citation-key":"CO2LevyBusinesses","container-title":"Federal Office for the Environment","language":"en","title":"CO₂ levy for businesses","URL":"https://www.bafu.admin.ch/en/co2-levy-businesses","author":[{"family":"FOEN","given":""}],"accessed":{"date-parts":[["2026",6,30]]},"issued":{"date-parts":[["2026"]]}}}],"schema":"https://github.com/citation-style-language/schema/raw/master/csl-citation.json"} </w:instrText>
            </w:r>
            <w:r>
              <w:rPr>
                <w:lang w:val="en-GB"/>
              </w:rPr>
              <w:fldChar w:fldCharType="separate"/>
            </w:r>
            <w:r w:rsidR="002E57F4">
              <w:rPr>
                <w:noProof/>
                <w:lang w:val="en-GB"/>
              </w:rPr>
              <w:t>[26]</w:t>
            </w:r>
            <w:r>
              <w:rPr>
                <w:lang w:val="en-GB"/>
              </w:rPr>
              <w:fldChar w:fldCharType="end"/>
            </w:r>
          </w:p>
        </w:tc>
      </w:tr>
    </w:tbl>
    <w:p w14:paraId="0BCE96F4" w14:textId="77777777" w:rsidR="00E173BF" w:rsidRDefault="00E173BF" w:rsidP="00BD1D65">
      <w:pPr>
        <w:pStyle w:val="NoSpacing"/>
        <w:jc w:val="both"/>
        <w:rPr>
          <w:lang w:val="en-GB"/>
        </w:rPr>
      </w:pPr>
    </w:p>
    <w:p w14:paraId="0983ABF8" w14:textId="39ADCD83" w:rsidR="00206EE8" w:rsidRPr="00206EE8" w:rsidRDefault="00206EE8" w:rsidP="00BD1D65">
      <w:pPr>
        <w:pStyle w:val="Caption"/>
        <w:rPr>
          <w:rStyle w:val="SubtleEmphasis"/>
          <w:i/>
          <w:iCs/>
          <w:color w:val="44546A" w:themeColor="text2"/>
        </w:rPr>
      </w:pPr>
      <w:r w:rsidRPr="00206EE8">
        <w:rPr>
          <w:rStyle w:val="SubtleEmphasis"/>
          <w:b/>
          <w:bCs/>
          <w:i/>
          <w:iCs/>
          <w:color w:val="44546A" w:themeColor="text2"/>
        </w:rPr>
        <w:t>Table 6:</w:t>
      </w:r>
      <w:r w:rsidRPr="00206EE8">
        <w:rPr>
          <w:rStyle w:val="SubtleEmphasis"/>
          <w:i/>
          <w:iCs/>
          <w:color w:val="44546A" w:themeColor="text2"/>
        </w:rPr>
        <w:t xml:space="preserve"> Market costs and selling prices </w:t>
      </w:r>
      <w:r w:rsidR="0036049B">
        <w:rPr>
          <w:rStyle w:val="SubtleEmphasis"/>
          <w:i/>
          <w:iCs/>
          <w:color w:val="44546A" w:themeColor="text2"/>
        </w:rPr>
        <w:t>of</w:t>
      </w:r>
      <w:r w:rsidRPr="00206EE8">
        <w:rPr>
          <w:rStyle w:val="SubtleEmphasis"/>
          <w:i/>
          <w:iCs/>
          <w:color w:val="44546A" w:themeColor="text2"/>
        </w:rPr>
        <w:t xml:space="preserve"> feedstock and products.</w:t>
      </w:r>
    </w:p>
    <w:p w14:paraId="79E9017D" w14:textId="4DC73B7A" w:rsidR="00525407" w:rsidRPr="001D3ABE" w:rsidRDefault="00525407" w:rsidP="00BD1D65">
      <w:pPr>
        <w:pStyle w:val="Heading2"/>
        <w:jc w:val="both"/>
      </w:pPr>
      <w:bookmarkStart w:id="17" w:name="_Toc234499926"/>
      <w:r>
        <w:t xml:space="preserve">S-M2.4 </w:t>
      </w:r>
      <w:r w:rsidR="00BB2A4A">
        <w:t>CAPEX</w:t>
      </w:r>
      <w:r>
        <w:t xml:space="preserve"> details</w:t>
      </w:r>
      <w:bookmarkEnd w:id="17"/>
    </w:p>
    <w:p w14:paraId="7AEB183C" w14:textId="59393BED" w:rsidR="00525407" w:rsidRDefault="00525407" w:rsidP="00BD1D65">
      <w:pPr>
        <w:pStyle w:val="NoSpacing"/>
        <w:jc w:val="both"/>
        <w:rPr>
          <w:lang w:val="en-GB"/>
        </w:rPr>
      </w:pPr>
      <w:r>
        <w:rPr>
          <w:lang w:val="en-GB"/>
        </w:rPr>
        <w:t>The detailed costs considered for installations are displayed in Table 7.</w:t>
      </w:r>
    </w:p>
    <w:p w14:paraId="1FD0EF31" w14:textId="77777777" w:rsidR="00B060C5" w:rsidRDefault="00B060C5" w:rsidP="00BD1D65">
      <w:pPr>
        <w:pStyle w:val="NoSpacing"/>
        <w:jc w:val="both"/>
        <w:rPr>
          <w:lang w:val="en-GB"/>
        </w:rPr>
      </w:pPr>
    </w:p>
    <w:tbl>
      <w:tblPr>
        <w:tblStyle w:val="TableGridLight"/>
        <w:tblW w:w="7933" w:type="dxa"/>
        <w:tblLook w:val="04A0" w:firstRow="1" w:lastRow="0" w:firstColumn="1" w:lastColumn="0" w:noHBand="0" w:noVBand="1"/>
      </w:tblPr>
      <w:tblGrid>
        <w:gridCol w:w="3052"/>
        <w:gridCol w:w="1135"/>
        <w:gridCol w:w="1576"/>
        <w:gridCol w:w="2170"/>
      </w:tblGrid>
      <w:tr w:rsidR="00E022AE" w:rsidRPr="00B060C5" w14:paraId="1DDF1226" w14:textId="77777777" w:rsidTr="00BD1D65">
        <w:trPr>
          <w:trHeight w:val="320"/>
        </w:trPr>
        <w:tc>
          <w:tcPr>
            <w:tcW w:w="3052" w:type="dxa"/>
            <w:noWrap/>
            <w:hideMark/>
          </w:tcPr>
          <w:p w14:paraId="2F6CA783" w14:textId="467B92DB" w:rsidR="00E022AE" w:rsidRPr="00BD1D65" w:rsidRDefault="006B1B7A" w:rsidP="00BD1D65">
            <w:pPr>
              <w:jc w:val="both"/>
            </w:pPr>
            <w:r w:rsidRPr="00BD1D65">
              <w:t>Waste treatment installation</w:t>
            </w:r>
          </w:p>
        </w:tc>
        <w:tc>
          <w:tcPr>
            <w:tcW w:w="1135" w:type="dxa"/>
          </w:tcPr>
          <w:p w14:paraId="4E6CC1DA" w14:textId="7D95EE10" w:rsidR="00E022AE" w:rsidRPr="00BD1D65" w:rsidRDefault="00E022AE" w:rsidP="00BD1D65">
            <w:pPr>
              <w:jc w:val="both"/>
              <w:rPr>
                <w:color w:val="000000"/>
              </w:rPr>
            </w:pPr>
            <w:r w:rsidRPr="00BD1D65">
              <w:rPr>
                <w:color w:val="000000"/>
              </w:rPr>
              <w:t xml:space="preserve">CAPEX </w:t>
            </w:r>
          </w:p>
        </w:tc>
        <w:tc>
          <w:tcPr>
            <w:tcW w:w="1576" w:type="dxa"/>
          </w:tcPr>
          <w:p w14:paraId="3652DD16" w14:textId="03DFDAE8" w:rsidR="00E022AE" w:rsidRPr="00BD1D65" w:rsidRDefault="00E022AE" w:rsidP="00BD1D65">
            <w:pPr>
              <w:jc w:val="both"/>
              <w:rPr>
                <w:color w:val="000000"/>
              </w:rPr>
            </w:pPr>
            <w:r w:rsidRPr="00BD1D65">
              <w:rPr>
                <w:color w:val="000000"/>
              </w:rPr>
              <w:t>Unit</w:t>
            </w:r>
          </w:p>
        </w:tc>
        <w:tc>
          <w:tcPr>
            <w:tcW w:w="2170" w:type="dxa"/>
            <w:noWrap/>
            <w:hideMark/>
          </w:tcPr>
          <w:p w14:paraId="54E2DA57" w14:textId="032797CE" w:rsidR="00E022AE" w:rsidRPr="00BD1D65" w:rsidRDefault="00E022AE" w:rsidP="00BD1D65">
            <w:pPr>
              <w:jc w:val="both"/>
              <w:rPr>
                <w:color w:val="000000"/>
              </w:rPr>
            </w:pPr>
            <w:r w:rsidRPr="00BD1D65">
              <w:rPr>
                <w:color w:val="000000"/>
              </w:rPr>
              <w:t>Reference</w:t>
            </w:r>
          </w:p>
        </w:tc>
      </w:tr>
      <w:tr w:rsidR="00E022AE" w:rsidRPr="00B060C5" w14:paraId="38B0AA88" w14:textId="77777777" w:rsidTr="00BD1D65">
        <w:trPr>
          <w:trHeight w:val="320"/>
        </w:trPr>
        <w:tc>
          <w:tcPr>
            <w:tcW w:w="3052" w:type="dxa"/>
            <w:noWrap/>
            <w:hideMark/>
          </w:tcPr>
          <w:p w14:paraId="11C80DC8" w14:textId="7353526F" w:rsidR="00E022AE" w:rsidRPr="00B060C5" w:rsidRDefault="00E022AE" w:rsidP="00BD1D65">
            <w:pPr>
              <w:jc w:val="both"/>
              <w:rPr>
                <w:color w:val="000000"/>
              </w:rPr>
            </w:pPr>
            <w:r w:rsidRPr="00B060C5">
              <w:rPr>
                <w:color w:val="000000"/>
              </w:rPr>
              <w:t>Mechanical recycling</w:t>
            </w:r>
          </w:p>
        </w:tc>
        <w:tc>
          <w:tcPr>
            <w:tcW w:w="1135" w:type="dxa"/>
          </w:tcPr>
          <w:p w14:paraId="19080703" w14:textId="7BDAE899" w:rsidR="00E022AE" w:rsidRPr="00B060C5" w:rsidRDefault="00E022AE" w:rsidP="00BD1D65">
            <w:pPr>
              <w:jc w:val="both"/>
              <w:rPr>
                <w:color w:val="000000"/>
              </w:rPr>
            </w:pPr>
            <w:r w:rsidRPr="00B060C5">
              <w:rPr>
                <w:color w:val="000000"/>
              </w:rPr>
              <w:t>386</w:t>
            </w:r>
          </w:p>
        </w:tc>
        <w:tc>
          <w:tcPr>
            <w:tcW w:w="1576" w:type="dxa"/>
          </w:tcPr>
          <w:p w14:paraId="08E0FFAC" w14:textId="55AE9BA7" w:rsidR="00E022AE" w:rsidRPr="00B060C5" w:rsidRDefault="00E022AE" w:rsidP="00BD1D65">
            <w:pPr>
              <w:jc w:val="both"/>
              <w:rPr>
                <w:color w:val="000000"/>
              </w:rPr>
            </w:pPr>
            <w:r>
              <w:rPr>
                <w:color w:val="000000"/>
              </w:rPr>
              <w:t>€/ton</w:t>
            </w:r>
            <w:r w:rsidRPr="00BD1D65">
              <w:rPr>
                <w:color w:val="000000"/>
                <w:vertAlign w:val="subscript"/>
              </w:rPr>
              <w:t>PET</w:t>
            </w:r>
            <w:r w:rsidR="00BD1D65" w:rsidRPr="00BD1D65">
              <w:rPr>
                <w:color w:val="000000"/>
                <w:vertAlign w:val="subscript"/>
              </w:rPr>
              <w:t xml:space="preserve"> treated</w:t>
            </w:r>
          </w:p>
        </w:tc>
        <w:tc>
          <w:tcPr>
            <w:tcW w:w="2170" w:type="dxa"/>
            <w:noWrap/>
            <w:hideMark/>
          </w:tcPr>
          <w:p w14:paraId="2821EDE8" w14:textId="4EC8569F" w:rsidR="00E022AE" w:rsidRPr="00B060C5" w:rsidRDefault="006014BB" w:rsidP="00BD1D65">
            <w:pPr>
              <w:jc w:val="both"/>
              <w:rPr>
                <w:color w:val="000000"/>
              </w:rPr>
            </w:pPr>
            <w:r>
              <w:rPr>
                <w:color w:val="000000"/>
              </w:rPr>
              <w:fldChar w:fldCharType="begin"/>
            </w:r>
            <w:r w:rsidR="002E57F4">
              <w:rPr>
                <w:color w:val="000000"/>
              </w:rPr>
              <w:instrText xml:space="preserve"> ADDIN ZOTERO_ITEM CSL_CITATION {"citationID":"xPp8EzeU","properties":{"unsorted":false,"formattedCitation":"[27]","plainCitation":"[27]","noteIndex":0},"citationItems":[{"id":14074,"uris":["http://zotero.org/users/12598273/items/FENVBYBQ"],"itemData":{"id":14074,"type":"article-journal","abstract":"Increasing plastic recycling rates is crucial to tackle plastic pollution and reduce consumption of fossil resources. Recycling routes for post-consumer plastic fractions that are technologically and economically feasible remain a challenge. Profitable value chains for recycling mixed film and tray-like plastics have hardly been implemented today, in sharp contrast to recycling of relatively pure fractions such as polyethylene terephthalate and highdensity polyethylene bottles.","citation-key":"larrainTechnoeconomicAssessmentMechanical2021a","container-title":"Resources, Conservation and Recycling","DOI":"10.1016/j.resconrec.2021.105607","ISSN":"09213449","journalAbbreviation":"Resources, Conservation and Recycling","language":"en","page":"105607","source":"DOI.org (Crossref)","title":"Techno-economic assessment of mechanical recycling of challenging post-consumer plastic packaging waste","volume":"170","author":[{"family":"Larrain","given":"Macarena"},{"family":"Van Passel","given":"Steven"},{"family":"Thomassen","given":"Gwenny"},{"family":"Van Gorp","given":"Bart"},{"family":"Nhu","given":"Trang T."},{"family":"Huysveld","given":"Sophie"},{"family":"Van Geem","given":"Kevin M."},{"family":"De Meester","given":"Steven"},{"family":"Billen","given":"Pieter"}],"issued":{"date-parts":[["2021",7]]}}}],"schema":"https://github.com/citation-style-language/schema/raw/master/csl-citation.json"} </w:instrText>
            </w:r>
            <w:r>
              <w:rPr>
                <w:color w:val="000000"/>
              </w:rPr>
              <w:fldChar w:fldCharType="separate"/>
            </w:r>
            <w:r w:rsidR="002E57F4">
              <w:rPr>
                <w:noProof/>
                <w:color w:val="000000"/>
              </w:rPr>
              <w:t>[27]</w:t>
            </w:r>
            <w:r>
              <w:rPr>
                <w:color w:val="000000"/>
              </w:rPr>
              <w:fldChar w:fldCharType="end"/>
            </w:r>
            <w:r w:rsidR="00B63428">
              <w:rPr>
                <w:color w:val="000000"/>
              </w:rPr>
              <w:t xml:space="preserve">, </w:t>
            </w:r>
            <w:r w:rsidR="00B63428">
              <w:rPr>
                <w:color w:val="000000"/>
              </w:rPr>
              <w:fldChar w:fldCharType="begin"/>
            </w:r>
            <w:r w:rsidR="002E57F4">
              <w:rPr>
                <w:color w:val="000000"/>
              </w:rPr>
              <w:instrText xml:space="preserve"> ADDIN ZOTERO_ITEM CSL_CITATION {"citationID":"fWdHohP5","properties":{"formattedCitation":"[24]","plainCitation":"[24]","noteIndex":0},"citationItems":[{"id":12269,"uris":["http://zotero.org/users/12598273/items/5L3LNNX4"],"itemData":{"id":12269,"type":"article-journal","citation-key":"castro-amoedoRoleSystemIntegration2024","container-title":"Resources, Conservation and Recycling","DOI":"10.1016/j.resconrec.2023.107295","ISSN":"09213449","journalAbbreviation":"Resources, Conservation and Recycling","language":"en","page":"107295","source":"DOI.org (Crossref)","title":"On the role of system integration in plastic waste management","volume":"201","author":[{"family":"Castro-Amoedo","given":"Rafael"},{"family":"Granacher","given":"Julia"},{"family":"Kantor","given":"Ivan"},{"family":"Dahmen","given":"Alina"},{"family":"Barbosa-Povoa","given":"Ana"},{"family":"Maréchal","given":"François"}],"issued":{"date-parts":[["2024",2]]}}}],"schema":"https://github.com/citation-style-language/schema/raw/master/csl-citation.json"} </w:instrText>
            </w:r>
            <w:r w:rsidR="00B63428">
              <w:rPr>
                <w:color w:val="000000"/>
              </w:rPr>
              <w:fldChar w:fldCharType="separate"/>
            </w:r>
            <w:r w:rsidR="002E57F4">
              <w:rPr>
                <w:noProof/>
                <w:color w:val="000000"/>
              </w:rPr>
              <w:t>[24]</w:t>
            </w:r>
            <w:r w:rsidR="00B63428">
              <w:rPr>
                <w:color w:val="000000"/>
              </w:rPr>
              <w:fldChar w:fldCharType="end"/>
            </w:r>
            <w:r>
              <w:rPr>
                <w:color w:val="000000"/>
              </w:rPr>
              <w:fldChar w:fldCharType="begin"/>
            </w:r>
            <w:r>
              <w:rPr>
                <w:color w:val="000000"/>
              </w:rPr>
              <w:instrText xml:space="preserve"> PRINTDATE  \* MERGEFORMAT </w:instrText>
            </w:r>
            <w:r>
              <w:rPr>
                <w:color w:val="000000"/>
              </w:rPr>
              <w:fldChar w:fldCharType="separate"/>
            </w:r>
            <w:r>
              <w:rPr>
                <w:color w:val="000000"/>
              </w:rPr>
              <w:fldChar w:fldCharType="end"/>
            </w:r>
          </w:p>
        </w:tc>
      </w:tr>
      <w:tr w:rsidR="00E022AE" w:rsidRPr="00B060C5" w14:paraId="041CD1E4" w14:textId="77777777" w:rsidTr="00BD1D65">
        <w:trPr>
          <w:trHeight w:val="320"/>
        </w:trPr>
        <w:tc>
          <w:tcPr>
            <w:tcW w:w="3052" w:type="dxa"/>
            <w:noWrap/>
            <w:hideMark/>
          </w:tcPr>
          <w:p w14:paraId="6C8B07A8" w14:textId="1DE1300E" w:rsidR="00E022AE" w:rsidRPr="00B060C5" w:rsidRDefault="00E022AE" w:rsidP="00BD1D65">
            <w:pPr>
              <w:jc w:val="both"/>
              <w:rPr>
                <w:color w:val="000000"/>
              </w:rPr>
            </w:pPr>
            <w:r>
              <w:rPr>
                <w:color w:val="000000"/>
              </w:rPr>
              <w:t>Incineration</w:t>
            </w:r>
          </w:p>
        </w:tc>
        <w:tc>
          <w:tcPr>
            <w:tcW w:w="1135" w:type="dxa"/>
          </w:tcPr>
          <w:p w14:paraId="34166A88" w14:textId="181A417A" w:rsidR="00E022AE" w:rsidRPr="00B060C5" w:rsidRDefault="00E022AE" w:rsidP="00BD1D65">
            <w:pPr>
              <w:jc w:val="both"/>
              <w:rPr>
                <w:color w:val="000000"/>
              </w:rPr>
            </w:pPr>
            <w:r w:rsidRPr="00B060C5">
              <w:rPr>
                <w:color w:val="000000"/>
              </w:rPr>
              <w:t>86.47</w:t>
            </w:r>
          </w:p>
        </w:tc>
        <w:tc>
          <w:tcPr>
            <w:tcW w:w="1576" w:type="dxa"/>
          </w:tcPr>
          <w:p w14:paraId="0454B7CF" w14:textId="47219C05" w:rsidR="00E022AE" w:rsidRPr="00B060C5" w:rsidRDefault="00BD1D65" w:rsidP="00BD1D65">
            <w:pPr>
              <w:jc w:val="both"/>
              <w:rPr>
                <w:color w:val="000000"/>
              </w:rPr>
            </w:pPr>
            <w:r>
              <w:rPr>
                <w:color w:val="000000"/>
              </w:rPr>
              <w:t>€/ton</w:t>
            </w:r>
            <w:r w:rsidRPr="00BD1D65">
              <w:rPr>
                <w:color w:val="000000"/>
                <w:vertAlign w:val="subscript"/>
              </w:rPr>
              <w:t>PET treated</w:t>
            </w:r>
          </w:p>
        </w:tc>
        <w:bookmarkStart w:id="18" w:name="_Hlk228872327"/>
        <w:tc>
          <w:tcPr>
            <w:tcW w:w="2170" w:type="dxa"/>
            <w:noWrap/>
            <w:hideMark/>
          </w:tcPr>
          <w:p w14:paraId="39296537" w14:textId="7142AEB4" w:rsidR="00E022AE" w:rsidRPr="00B060C5" w:rsidRDefault="00E022AE" w:rsidP="00BD1D65">
            <w:pPr>
              <w:jc w:val="both"/>
              <w:rPr>
                <w:color w:val="000000"/>
              </w:rPr>
            </w:pPr>
            <w:r>
              <w:rPr>
                <w:color w:val="000000"/>
              </w:rPr>
              <w:fldChar w:fldCharType="begin"/>
            </w:r>
            <w:r w:rsidR="002E57F4">
              <w:rPr>
                <w:color w:val="000000"/>
              </w:rPr>
              <w:instrText xml:space="preserve"> ADDIN ZOTERO_ITEM CSL_CITATION {"citationID":"2rDHyGRJ","properties":{"formattedCitation":"[24]","plainCitation":"[24]","noteIndex":0},"citationItems":[{"id":12269,"uris":["http://zotero.org/users/12598273/items/5L3LNNX4"],"itemData":{"id":12269,"type":"article-journal","citation-key":"castro-amoedoRoleSystemIntegration2024","container-title":"Resources, Conservation and Recycling","DOI":"10.1016/j.resconrec.2023.107295","ISSN":"09213449","journalAbbreviation":"Resources, Conservation and Recycling","language":"en","page":"107295","source":"DOI.org (Crossref)","title":"On the role of system integration in plastic waste management","volume":"201","author":[{"family":"Castro-Amoedo","given":"Rafael"},{"family":"Granacher","given":"Julia"},{"family":"Kantor","given":"Ivan"},{"family":"Dahmen","given":"Alina"},{"family":"Barbosa-Povoa","given":"Ana"},{"family":"Maréchal","given":"François"}],"issued":{"date-parts":[["2024",2]]}}}],"schema":"https://github.com/citation-style-language/schema/raw/master/csl-citation.json"} </w:instrText>
            </w:r>
            <w:r>
              <w:rPr>
                <w:color w:val="000000"/>
              </w:rPr>
              <w:fldChar w:fldCharType="separate"/>
            </w:r>
            <w:r w:rsidR="002E57F4">
              <w:rPr>
                <w:noProof/>
                <w:color w:val="000000"/>
              </w:rPr>
              <w:t>[24]</w:t>
            </w:r>
            <w:r>
              <w:rPr>
                <w:color w:val="000000"/>
              </w:rPr>
              <w:fldChar w:fldCharType="end"/>
            </w:r>
            <w:bookmarkEnd w:id="18"/>
          </w:p>
        </w:tc>
      </w:tr>
      <w:tr w:rsidR="008C0DBD" w:rsidRPr="00B060C5" w14:paraId="736EE391" w14:textId="77777777" w:rsidTr="00BD1D65">
        <w:trPr>
          <w:trHeight w:val="320"/>
        </w:trPr>
        <w:tc>
          <w:tcPr>
            <w:tcW w:w="3052" w:type="dxa"/>
            <w:noWrap/>
          </w:tcPr>
          <w:p w14:paraId="6E1796E7" w14:textId="222B27E8" w:rsidR="008C0DBD" w:rsidRDefault="008C0DBD" w:rsidP="00BD1D65">
            <w:pPr>
              <w:jc w:val="both"/>
              <w:rPr>
                <w:color w:val="000000"/>
              </w:rPr>
            </w:pPr>
            <w:r>
              <w:rPr>
                <w:color w:val="000000"/>
              </w:rPr>
              <w:t>Incineration with CCS and serpentine mineralisation</w:t>
            </w:r>
          </w:p>
        </w:tc>
        <w:tc>
          <w:tcPr>
            <w:tcW w:w="1135" w:type="dxa"/>
          </w:tcPr>
          <w:p w14:paraId="1A050DE3" w14:textId="0A77676A" w:rsidR="008C0DBD" w:rsidRPr="00B060C5" w:rsidRDefault="008C0DBD" w:rsidP="00BD1D65">
            <w:pPr>
              <w:jc w:val="both"/>
              <w:rPr>
                <w:color w:val="000000"/>
              </w:rPr>
            </w:pPr>
            <w:r>
              <w:rPr>
                <w:color w:val="000000"/>
              </w:rPr>
              <w:t>1490</w:t>
            </w:r>
          </w:p>
        </w:tc>
        <w:tc>
          <w:tcPr>
            <w:tcW w:w="1576" w:type="dxa"/>
          </w:tcPr>
          <w:p w14:paraId="4EF27B94" w14:textId="7EC6ED72" w:rsidR="008C0DBD" w:rsidRDefault="00BD1D65" w:rsidP="00BD1D65">
            <w:pPr>
              <w:jc w:val="both"/>
              <w:rPr>
                <w:color w:val="000000"/>
              </w:rPr>
            </w:pPr>
            <w:r>
              <w:rPr>
                <w:color w:val="000000"/>
              </w:rPr>
              <w:t>€/ton</w:t>
            </w:r>
            <w:r w:rsidRPr="00BD1D65">
              <w:rPr>
                <w:color w:val="000000"/>
                <w:vertAlign w:val="subscript"/>
              </w:rPr>
              <w:t>PET treated</w:t>
            </w:r>
          </w:p>
        </w:tc>
        <w:tc>
          <w:tcPr>
            <w:tcW w:w="2170" w:type="dxa"/>
            <w:noWrap/>
          </w:tcPr>
          <w:p w14:paraId="646DDB27" w14:textId="0D0D1DA5" w:rsidR="008C0DBD" w:rsidRPr="008C0DBD" w:rsidRDefault="008C0DBD" w:rsidP="00BD1D65">
            <w:pPr>
              <w:jc w:val="both"/>
              <w:rPr>
                <w:lang w:val="en-GB" w:eastAsia="zh-CN"/>
              </w:rPr>
            </w:pPr>
            <w:r>
              <w:rPr>
                <w:color w:val="000000"/>
              </w:rPr>
              <w:fldChar w:fldCharType="begin"/>
            </w:r>
            <w:r w:rsidR="002E57F4">
              <w:rPr>
                <w:color w:val="000000"/>
              </w:rPr>
              <w:instrText xml:space="preserve"> ADDIN ZOTERO_ITEM CSL_CITATION {"citationID":"NKdxGI8w","properties":{"formattedCitation":"[24]","plainCitation":"[24]","noteIndex":0},"citationItems":[{"id":12269,"uris":["http://zotero.org/users/12598273/items/5L3LNNX4"],"itemData":{"id":12269,"type":"article-journal","citation-key":"castro-amoedoRoleSystemIntegration2024","container-title":"Resources, Conservation and Recycling","DOI":"10.1016/j.resconrec.2023.107295","ISSN":"09213449","journalAbbreviation":"Resources, Conservation and Recycling","language":"en","page":"107295","source":"DOI.org (Crossref)","title":"On the role of system integration in plastic waste management","volume":"201","author":[{"family":"Castro-Amoedo","given":"Rafael"},{"family":"Granacher","given":"Julia"},{"family":"Kantor","given":"Ivan"},{"family":"Dahmen","given":"Alina"},{"family":"Barbosa-Povoa","given":"Ana"},{"family":"Maréchal","given":"François"}],"issued":{"date-parts":[["2024",2]]}}}],"schema":"https://github.com/citation-style-language/schema/raw/master/csl-citation.json"} </w:instrText>
            </w:r>
            <w:r>
              <w:rPr>
                <w:color w:val="000000"/>
              </w:rPr>
              <w:fldChar w:fldCharType="separate"/>
            </w:r>
            <w:r w:rsidR="002E57F4">
              <w:rPr>
                <w:noProof/>
                <w:color w:val="000000"/>
              </w:rPr>
              <w:t>[24]</w:t>
            </w:r>
            <w:r>
              <w:rPr>
                <w:color w:val="000000"/>
              </w:rPr>
              <w:fldChar w:fldCharType="end"/>
            </w:r>
            <w:r>
              <w:rPr>
                <w:color w:val="000000"/>
              </w:rPr>
              <w:t xml:space="preserve">, </w:t>
            </w:r>
            <w:r>
              <w:rPr>
                <w:lang w:val="en-GB" w:eastAsia="zh-CN"/>
              </w:rPr>
              <w:fldChar w:fldCharType="begin"/>
            </w:r>
            <w:r w:rsidR="002E57F4">
              <w:rPr>
                <w:lang w:val="en-GB" w:eastAsia="zh-CN"/>
              </w:rPr>
              <w:instrText xml:space="preserve"> ADDIN ZOTERO_ITEM CSL_CITATION {"citationID":"YXOacGOL","properties":{"formattedCitation":"[28]","plainCitation":"[28]","noteIndex":0},"citationItems":[{"id":13613,"uris":["http://zotero.org/users/12598273/items/GUE6KEE8"],"itemData":{"id":13613,"type":"article-journal","citation-key":"haggPilotDemonstrationreportingCO22017","container-title":"Energy Procedia","DOI":"10.1016/j.egypro.2017.03.1752","ISSN":"18766102","journalAbbreviation":"Energy Procedia","language":"en","page":"6150-6165","source":"DOI.org (Crossref)","title":"Pilot Demonstration-reporting on CO2 Capture from a Cement Plant Using Hollow Fiber Process","volume":"114","author":[{"family":"Hägg","given":"M.-B."},{"family":"Lindbråthen","given":"A."},{"family":"He","given":"X."},{"family":"Nodeland","given":"S.G."},{"family":"Cantero","given":"T."}],"issued":{"date-parts":[["2017",7]]}}}],"schema":"https://github.com/citation-style-language/schema/raw/master/csl-citation.json"} </w:instrText>
            </w:r>
            <w:r>
              <w:rPr>
                <w:lang w:val="en-GB" w:eastAsia="zh-CN"/>
              </w:rPr>
              <w:fldChar w:fldCharType="separate"/>
            </w:r>
            <w:r w:rsidR="002E57F4">
              <w:rPr>
                <w:noProof/>
                <w:lang w:val="en-GB" w:eastAsia="zh-CN"/>
              </w:rPr>
              <w:t>[28]</w:t>
            </w:r>
            <w:r>
              <w:rPr>
                <w:lang w:val="en-GB" w:eastAsia="zh-CN"/>
              </w:rPr>
              <w:fldChar w:fldCharType="end"/>
            </w:r>
            <w:r>
              <w:rPr>
                <w:lang w:val="en-GB" w:eastAsia="zh-CN"/>
              </w:rPr>
              <w:t xml:space="preserve">, </w:t>
            </w:r>
            <w:r w:rsidR="00F86DDA">
              <w:rPr>
                <w:lang w:val="en-GB" w:eastAsia="zh-CN"/>
              </w:rPr>
              <w:fldChar w:fldCharType="begin"/>
            </w:r>
            <w:r w:rsidR="002E57F4">
              <w:rPr>
                <w:lang w:val="en-GB" w:eastAsia="zh-CN"/>
              </w:rPr>
              <w:instrText xml:space="preserve"> ADDIN ZOTERO_ITEM CSL_CITATION {"citationID":"fYawkyzo","properties":{"formattedCitation":"[20]","plainCitation":"[20]","noteIndex":0},"citationItems":[{"id":8297,"uris":["http://zotero.org/users/12598273/items/I2FYAZXG"],"itemData":{"id":8297,"type":"article-journal","abstract":"Carbon capture and storage is acknowledged as a valuable technology for reducing industrial emissions. Its integration into industrial sectors, benefiting from multiple symbiosis, proved consequential from an economic and environmental perspective.\n          , \n            \n              Carbon capture and storage (CCS) is commonly acknowledged as a valuable technology for reducing industrial emissions. However, limited installation capacity raises questions about its ability to scale up effectively and promptly. This issue can, in part, be attributed to expensive and energy-intensive processes, as well as the poorly-understood role of heat- and material integration. Here, we show that net-zero and net-negative industrial sectors are possible by integrating capture and mineralization in cement production, steel manufacture, and waste incineration. These sectors feature large amounts of waste heat, alkaline solid residues, and process emissions. We estimate that the three sectors combined could reduce European emissions by 27% (\n              c.a.\n              860 Mton), with marginal abatement costs between 62 and 85 EUR per ton of CO\n              2\n              . These values compare favorably with deploying capture and storage separately, with economic benefits of up to 50%. Moreover, CCS needs to be considered within an industrial cluster to justify its economic and environmental deployment, with system integration being crucial when taking investment decisions.","citation-key":"castro-amoedoRoleSystemIntegration2023","container-title":"Energy &amp; Environmental Science","DOI":"10.1039/D3EE01803B","ISSN":"1754-5692, 1754-5706","issue":"10","journalAbbreviation":"Energy Environ. Sci.","language":"en","page":"4356-4372","source":"DOI.org (Crossref)","title":"On the role of system integration of carbon capture and mineralization in achieving net-negative emissions in industrial sectors","volume":"16","author":[{"family":"Castro-Amoedo","given":"Rafael"},{"family":"Granacher","given":"Julia"},{"family":"Daher","given":"Mouhannad Abou"},{"family":"Maréchal","given":"François"}],"issued":{"date-parts":[["2023"]]}}}],"schema":"https://github.com/citation-style-language/schema/raw/master/csl-citation.json"} </w:instrText>
            </w:r>
            <w:r w:rsidR="00F86DDA">
              <w:rPr>
                <w:lang w:val="en-GB" w:eastAsia="zh-CN"/>
              </w:rPr>
              <w:fldChar w:fldCharType="separate"/>
            </w:r>
            <w:r w:rsidR="002E57F4">
              <w:rPr>
                <w:noProof/>
                <w:lang w:val="en-GB" w:eastAsia="zh-CN"/>
              </w:rPr>
              <w:t>[20]</w:t>
            </w:r>
            <w:r w:rsidR="00F86DDA">
              <w:rPr>
                <w:lang w:val="en-GB" w:eastAsia="zh-CN"/>
              </w:rPr>
              <w:fldChar w:fldCharType="end"/>
            </w:r>
            <w:r w:rsidR="00F86DDA">
              <w:rPr>
                <w:lang w:val="en-GB" w:eastAsia="zh-CN"/>
              </w:rPr>
              <w:t xml:space="preserve">, </w:t>
            </w:r>
            <w:r w:rsidR="00F86DDA">
              <w:rPr>
                <w:lang w:val="en-GB" w:eastAsia="zh-CN"/>
              </w:rPr>
              <w:fldChar w:fldCharType="begin"/>
            </w:r>
            <w:r w:rsidR="002E57F4">
              <w:rPr>
                <w:lang w:val="en-GB" w:eastAsia="zh-CN"/>
              </w:rPr>
              <w:instrText xml:space="preserve"> ADDIN ZOTERO_ITEM CSL_CITATION {"citationID":"7Hvirath","properties":{"formattedCitation":"[29]","plainCitation":"[29]","noteIndex":0},"citationItems":[{"id":13608,"uris":["http://zotero.org/users/12598273/items/LPQHHLNW"],"itemData":{"id":13608,"type":"article-journal","citation-key":"huijgenCostEvaluationCO22007","container-title":"Energy Conversion and Management","DOI":"10.1016/j.enconman.2007.01.035","ISSN":"01968904","issue":"7","journalAbbreviation":"Energy Conversion and Management","language":"en","license":"https://www.elsevier.com/tdm/userlicense/1.0/","page":"1923-1935","source":"DOI.org (Crossref)","title":"Cost evaluation of CO2 sequestration by aqueous mineral carbonation","volume":"48","author":[{"family":"Huijgen","given":"Wouter J.J."},{"family":"Comans","given":"Rob N.J."},{"family":"Witkamp","given":"Geert-Jan"}],"issued":{"date-parts":[["2007",7]]}}}],"schema":"https://github.com/citation-style-language/schema/raw/master/csl-citation.json"} </w:instrText>
            </w:r>
            <w:r w:rsidR="00F86DDA">
              <w:rPr>
                <w:lang w:val="en-GB" w:eastAsia="zh-CN"/>
              </w:rPr>
              <w:fldChar w:fldCharType="separate"/>
            </w:r>
            <w:r w:rsidR="002E57F4">
              <w:rPr>
                <w:noProof/>
                <w:lang w:val="en-GB" w:eastAsia="zh-CN"/>
              </w:rPr>
              <w:t>[29]</w:t>
            </w:r>
            <w:r w:rsidR="00F86DDA">
              <w:rPr>
                <w:lang w:val="en-GB" w:eastAsia="zh-CN"/>
              </w:rPr>
              <w:fldChar w:fldCharType="end"/>
            </w:r>
          </w:p>
          <w:p w14:paraId="477BCCDC" w14:textId="657D4247" w:rsidR="008C0DBD" w:rsidRDefault="008C0DBD" w:rsidP="00BD1D65">
            <w:pPr>
              <w:jc w:val="both"/>
              <w:rPr>
                <w:color w:val="000000"/>
              </w:rPr>
            </w:pPr>
          </w:p>
        </w:tc>
      </w:tr>
      <w:tr w:rsidR="008C0DBD" w:rsidRPr="00B060C5" w14:paraId="65E68BCA" w14:textId="77777777" w:rsidTr="00BD1D65">
        <w:trPr>
          <w:trHeight w:val="320"/>
        </w:trPr>
        <w:tc>
          <w:tcPr>
            <w:tcW w:w="3052" w:type="dxa"/>
            <w:noWrap/>
            <w:hideMark/>
          </w:tcPr>
          <w:p w14:paraId="60ACC250" w14:textId="3343C46C" w:rsidR="008C0DBD" w:rsidRPr="00B060C5" w:rsidRDefault="008C0DBD" w:rsidP="00BD1D65">
            <w:pPr>
              <w:jc w:val="both"/>
              <w:rPr>
                <w:color w:val="000000"/>
              </w:rPr>
            </w:pPr>
            <w:r>
              <w:rPr>
                <w:color w:val="000000"/>
              </w:rPr>
              <w:lastRenderedPageBreak/>
              <w:t>Methanolysis</w:t>
            </w:r>
          </w:p>
        </w:tc>
        <w:tc>
          <w:tcPr>
            <w:tcW w:w="1135" w:type="dxa"/>
          </w:tcPr>
          <w:p w14:paraId="6D5B64D5" w14:textId="789BAFA3" w:rsidR="008C0DBD" w:rsidRPr="00B060C5" w:rsidRDefault="00C412A3" w:rsidP="00BD1D65">
            <w:pPr>
              <w:jc w:val="both"/>
              <w:rPr>
                <w:color w:val="000000"/>
              </w:rPr>
            </w:pPr>
            <w:r>
              <w:rPr>
                <w:color w:val="000000"/>
              </w:rPr>
              <w:t>667</w:t>
            </w:r>
          </w:p>
        </w:tc>
        <w:tc>
          <w:tcPr>
            <w:tcW w:w="1576" w:type="dxa"/>
          </w:tcPr>
          <w:p w14:paraId="73B4D179" w14:textId="2498C952" w:rsidR="008C0DBD" w:rsidRPr="00B060C5" w:rsidRDefault="00BD1D65" w:rsidP="00BD1D65">
            <w:pPr>
              <w:jc w:val="both"/>
              <w:rPr>
                <w:color w:val="000000"/>
              </w:rPr>
            </w:pPr>
            <w:r>
              <w:rPr>
                <w:color w:val="000000"/>
              </w:rPr>
              <w:t>€/ton</w:t>
            </w:r>
            <w:r w:rsidRPr="00BD1D65">
              <w:rPr>
                <w:color w:val="000000"/>
                <w:vertAlign w:val="subscript"/>
              </w:rPr>
              <w:t>PET treated</w:t>
            </w:r>
          </w:p>
        </w:tc>
        <w:tc>
          <w:tcPr>
            <w:tcW w:w="2170" w:type="dxa"/>
            <w:noWrap/>
            <w:hideMark/>
          </w:tcPr>
          <w:p w14:paraId="53C9203C" w14:textId="167C59EC" w:rsidR="008C0DBD" w:rsidRPr="00B060C5" w:rsidRDefault="008C0DBD" w:rsidP="00BD1D65">
            <w:pPr>
              <w:jc w:val="both"/>
              <w:rPr>
                <w:color w:val="000000"/>
              </w:rPr>
            </w:pPr>
            <w:r>
              <w:rPr>
                <w:color w:val="000000"/>
              </w:rPr>
              <w:t>This work.</w:t>
            </w:r>
          </w:p>
        </w:tc>
      </w:tr>
      <w:tr w:rsidR="008C0DBD" w:rsidRPr="00B060C5" w14:paraId="1080DE09" w14:textId="77777777" w:rsidTr="00BD1D65">
        <w:trPr>
          <w:trHeight w:val="320"/>
        </w:trPr>
        <w:tc>
          <w:tcPr>
            <w:tcW w:w="3052" w:type="dxa"/>
            <w:noWrap/>
            <w:hideMark/>
          </w:tcPr>
          <w:p w14:paraId="588DB719" w14:textId="4A678515" w:rsidR="008C0DBD" w:rsidRPr="00B060C5" w:rsidRDefault="008C0DBD" w:rsidP="00BD1D65">
            <w:pPr>
              <w:jc w:val="both"/>
              <w:rPr>
                <w:color w:val="000000"/>
              </w:rPr>
            </w:pPr>
            <w:r>
              <w:rPr>
                <w:color w:val="000000"/>
              </w:rPr>
              <w:t>Enzymatic hydrolysis</w:t>
            </w:r>
          </w:p>
        </w:tc>
        <w:tc>
          <w:tcPr>
            <w:tcW w:w="1135" w:type="dxa"/>
          </w:tcPr>
          <w:p w14:paraId="137C7074" w14:textId="15698630" w:rsidR="008C0DBD" w:rsidRPr="00B060C5" w:rsidRDefault="00C412A3" w:rsidP="00BD1D65">
            <w:pPr>
              <w:jc w:val="both"/>
              <w:rPr>
                <w:color w:val="000000"/>
              </w:rPr>
            </w:pPr>
            <w:r>
              <w:rPr>
                <w:color w:val="000000"/>
              </w:rPr>
              <w:t>1144</w:t>
            </w:r>
          </w:p>
        </w:tc>
        <w:tc>
          <w:tcPr>
            <w:tcW w:w="1576" w:type="dxa"/>
          </w:tcPr>
          <w:p w14:paraId="56E4F568" w14:textId="2D691EF2" w:rsidR="008C0DBD" w:rsidRPr="00B060C5" w:rsidRDefault="00BD1D65" w:rsidP="00BD1D65">
            <w:pPr>
              <w:jc w:val="both"/>
              <w:rPr>
                <w:color w:val="000000"/>
              </w:rPr>
            </w:pPr>
            <w:r>
              <w:rPr>
                <w:color w:val="000000"/>
              </w:rPr>
              <w:t>€/ton</w:t>
            </w:r>
            <w:r w:rsidRPr="00BD1D65">
              <w:rPr>
                <w:color w:val="000000"/>
                <w:vertAlign w:val="subscript"/>
              </w:rPr>
              <w:t>PET treated</w:t>
            </w:r>
          </w:p>
        </w:tc>
        <w:tc>
          <w:tcPr>
            <w:tcW w:w="2170" w:type="dxa"/>
            <w:noWrap/>
            <w:hideMark/>
          </w:tcPr>
          <w:p w14:paraId="17AE3055" w14:textId="476819ED" w:rsidR="008C0DBD" w:rsidRPr="00B060C5" w:rsidRDefault="008C0DBD" w:rsidP="00BD1D65">
            <w:pPr>
              <w:jc w:val="both"/>
              <w:rPr>
                <w:color w:val="000000"/>
              </w:rPr>
            </w:pPr>
            <w:r>
              <w:rPr>
                <w:color w:val="000000"/>
              </w:rPr>
              <w:t>This work.</w:t>
            </w:r>
          </w:p>
        </w:tc>
      </w:tr>
      <w:tr w:rsidR="008C0DBD" w:rsidRPr="00B060C5" w14:paraId="6736018D" w14:textId="77777777" w:rsidTr="00BD1D65">
        <w:trPr>
          <w:trHeight w:val="320"/>
        </w:trPr>
        <w:tc>
          <w:tcPr>
            <w:tcW w:w="3052" w:type="dxa"/>
            <w:noWrap/>
            <w:hideMark/>
          </w:tcPr>
          <w:p w14:paraId="3AD2B8BD" w14:textId="0BD23348" w:rsidR="008C0DBD" w:rsidRPr="00B060C5" w:rsidRDefault="008C0DBD" w:rsidP="00BD1D65">
            <w:pPr>
              <w:jc w:val="both"/>
              <w:rPr>
                <w:color w:val="000000"/>
              </w:rPr>
            </w:pPr>
            <w:r>
              <w:rPr>
                <w:color w:val="000000"/>
              </w:rPr>
              <w:t>Glycolysis</w:t>
            </w:r>
          </w:p>
        </w:tc>
        <w:tc>
          <w:tcPr>
            <w:tcW w:w="1135" w:type="dxa"/>
          </w:tcPr>
          <w:p w14:paraId="27D06D5B" w14:textId="408299C3" w:rsidR="008C0DBD" w:rsidRPr="00B060C5" w:rsidRDefault="00C412A3" w:rsidP="00BD1D65">
            <w:pPr>
              <w:jc w:val="both"/>
              <w:rPr>
                <w:color w:val="000000"/>
              </w:rPr>
            </w:pPr>
            <w:r>
              <w:rPr>
                <w:color w:val="000000"/>
              </w:rPr>
              <w:t>504</w:t>
            </w:r>
          </w:p>
        </w:tc>
        <w:tc>
          <w:tcPr>
            <w:tcW w:w="1576" w:type="dxa"/>
          </w:tcPr>
          <w:p w14:paraId="3CEE3A89" w14:textId="6AC7373D" w:rsidR="008C0DBD" w:rsidRPr="00B060C5" w:rsidRDefault="00BD1D65" w:rsidP="00BD1D65">
            <w:pPr>
              <w:jc w:val="both"/>
              <w:rPr>
                <w:color w:val="000000"/>
              </w:rPr>
            </w:pPr>
            <w:r>
              <w:rPr>
                <w:color w:val="000000"/>
              </w:rPr>
              <w:t>€/ton</w:t>
            </w:r>
            <w:r w:rsidRPr="00BD1D65">
              <w:rPr>
                <w:color w:val="000000"/>
                <w:vertAlign w:val="subscript"/>
              </w:rPr>
              <w:t>PET treated</w:t>
            </w:r>
          </w:p>
        </w:tc>
        <w:tc>
          <w:tcPr>
            <w:tcW w:w="2170" w:type="dxa"/>
            <w:noWrap/>
            <w:hideMark/>
          </w:tcPr>
          <w:p w14:paraId="20BBFF18" w14:textId="2452BF38" w:rsidR="008C0DBD" w:rsidRPr="00B060C5" w:rsidRDefault="008C0DBD" w:rsidP="00BD1D65">
            <w:pPr>
              <w:jc w:val="both"/>
              <w:rPr>
                <w:color w:val="000000"/>
              </w:rPr>
            </w:pPr>
            <w:r>
              <w:rPr>
                <w:color w:val="000000"/>
              </w:rPr>
              <w:t>This work.</w:t>
            </w:r>
          </w:p>
        </w:tc>
      </w:tr>
      <w:tr w:rsidR="008C0DBD" w:rsidRPr="00B060C5" w14:paraId="1DC7D1ED" w14:textId="77777777" w:rsidTr="00BD1D65">
        <w:trPr>
          <w:trHeight w:val="320"/>
        </w:trPr>
        <w:tc>
          <w:tcPr>
            <w:tcW w:w="3052" w:type="dxa"/>
            <w:noWrap/>
            <w:hideMark/>
          </w:tcPr>
          <w:p w14:paraId="1DE66327" w14:textId="7AAABED8" w:rsidR="008C0DBD" w:rsidRPr="00B060C5" w:rsidRDefault="008C0DBD" w:rsidP="00BD1D65">
            <w:pPr>
              <w:jc w:val="both"/>
              <w:rPr>
                <w:color w:val="000000"/>
              </w:rPr>
            </w:pPr>
            <w:r>
              <w:rPr>
                <w:color w:val="000000"/>
              </w:rPr>
              <w:t>Separate c</w:t>
            </w:r>
            <w:r w:rsidRPr="00B060C5">
              <w:rPr>
                <w:color w:val="000000"/>
              </w:rPr>
              <w:t>ollection</w:t>
            </w:r>
          </w:p>
        </w:tc>
        <w:tc>
          <w:tcPr>
            <w:tcW w:w="1135" w:type="dxa"/>
          </w:tcPr>
          <w:p w14:paraId="56CB1BF1" w14:textId="5C4DA48F" w:rsidR="008C0DBD" w:rsidRPr="00B060C5" w:rsidRDefault="008C0DBD" w:rsidP="00BD1D65">
            <w:pPr>
              <w:jc w:val="both"/>
              <w:rPr>
                <w:color w:val="000000"/>
              </w:rPr>
            </w:pPr>
            <w:r w:rsidRPr="00B060C5">
              <w:rPr>
                <w:color w:val="000000"/>
              </w:rPr>
              <w:t>130</w:t>
            </w:r>
          </w:p>
        </w:tc>
        <w:tc>
          <w:tcPr>
            <w:tcW w:w="1576" w:type="dxa"/>
          </w:tcPr>
          <w:p w14:paraId="667CD0E1" w14:textId="2EAE2285" w:rsidR="008C0DBD" w:rsidRPr="00B060C5" w:rsidRDefault="00BD1D65" w:rsidP="00BD1D65">
            <w:pPr>
              <w:jc w:val="both"/>
              <w:rPr>
                <w:color w:val="000000"/>
              </w:rPr>
            </w:pPr>
            <w:r>
              <w:rPr>
                <w:color w:val="000000"/>
              </w:rPr>
              <w:t>€/ton</w:t>
            </w:r>
            <w:r w:rsidRPr="00BD1D65">
              <w:rPr>
                <w:color w:val="000000"/>
                <w:vertAlign w:val="subscript"/>
              </w:rPr>
              <w:t>PET treated</w:t>
            </w:r>
          </w:p>
        </w:tc>
        <w:tc>
          <w:tcPr>
            <w:tcW w:w="2170" w:type="dxa"/>
            <w:noWrap/>
            <w:hideMark/>
          </w:tcPr>
          <w:p w14:paraId="2358B942" w14:textId="401C6B1D" w:rsidR="008C0DBD" w:rsidRPr="00B060C5" w:rsidRDefault="008C0DBD" w:rsidP="00BD1D65">
            <w:pPr>
              <w:jc w:val="both"/>
              <w:rPr>
                <w:color w:val="000000"/>
              </w:rPr>
            </w:pPr>
            <w:r>
              <w:rPr>
                <w:color w:val="000000"/>
              </w:rPr>
              <w:fldChar w:fldCharType="begin"/>
            </w:r>
            <w:r w:rsidR="002E57F4">
              <w:rPr>
                <w:color w:val="000000"/>
              </w:rPr>
              <w:instrText xml:space="preserve"> ADDIN ZOTERO_ITEM CSL_CITATION {"citationID":"D5FMJqcx","properties":{"formattedCitation":"[30]","plainCitation":"[30]","noteIndex":0},"citationItems":[{"id":13741,"uris":["http://zotero.org/groups/5859689/items/T8SU3329"],"itemData":{"id":13741,"type":"article-journal","citation-key":"uekertTechnicalEconomicEnvironmental2023","container-title":"ACS Sustainable Chemistry &amp; Engineering","DOI":"10.1021/acssuschemeng.2c05497","ISSN":"2168-0485, 2168-0485","issue":"3","journalAbbreviation":"ACS Sustainable Chem. Eng.","language":"en","license":"https://creativecommons.org/licenses/by/4.0/","page":"965-978","source":"DOI.org (Crossref)","title":"Technical, Economic, and Environmental Comparison of Closed-Loop Recycling Technologies for Common Plastics","volume":"11","author":[{"family":"Uekert","given":"Taylor"},{"family":"Singh","given":"Avantika"},{"family":"DesVeaux","given":"Jason S."},{"family":"Ghosh","given":"Tapajyoti"},{"family":"Bhatt","given":"Arpit"},{"family":"Yadav","given":"Geetanjali"},{"family":"Afzal","given":"Shaik"},{"family":"Walzberg","given":"Julien"},{"family":"Knauer","given":"Katrina M."},{"family":"Nicholson","given":"Scott R."},{"family":"Beckham","given":"Gregg T."},{"family":"Carpenter","given":"Alberta C."}],"issued":{"date-parts":[["2023",1,23]]}}}],"schema":"https://github.com/citation-style-language/schema/raw/master/csl-citation.json"} </w:instrText>
            </w:r>
            <w:r>
              <w:rPr>
                <w:color w:val="000000"/>
              </w:rPr>
              <w:fldChar w:fldCharType="separate"/>
            </w:r>
            <w:r w:rsidR="002E57F4">
              <w:rPr>
                <w:noProof/>
                <w:color w:val="000000"/>
              </w:rPr>
              <w:t>[30]</w:t>
            </w:r>
            <w:r>
              <w:rPr>
                <w:color w:val="000000"/>
              </w:rPr>
              <w:fldChar w:fldCharType="end"/>
            </w:r>
          </w:p>
        </w:tc>
      </w:tr>
    </w:tbl>
    <w:p w14:paraId="6CAC1F04" w14:textId="77777777" w:rsidR="00960195" w:rsidRDefault="00960195" w:rsidP="00BD1D65">
      <w:pPr>
        <w:pStyle w:val="NoSpacing"/>
        <w:jc w:val="both"/>
        <w:rPr>
          <w:lang w:val="en-GB"/>
        </w:rPr>
      </w:pPr>
    </w:p>
    <w:p w14:paraId="3E238D4D" w14:textId="011C6257" w:rsidR="00B25866" w:rsidRDefault="00960195" w:rsidP="00B25866">
      <w:pPr>
        <w:pStyle w:val="Caption"/>
      </w:pPr>
      <w:r w:rsidRPr="00206EE8">
        <w:rPr>
          <w:rStyle w:val="SubtleEmphasis"/>
          <w:b/>
          <w:bCs/>
          <w:i/>
          <w:iCs/>
          <w:color w:val="44546A" w:themeColor="text2"/>
        </w:rPr>
        <w:t xml:space="preserve">Table </w:t>
      </w:r>
      <w:r>
        <w:rPr>
          <w:rStyle w:val="SubtleEmphasis"/>
          <w:b/>
          <w:bCs/>
          <w:i/>
          <w:iCs/>
          <w:color w:val="44546A" w:themeColor="text2"/>
        </w:rPr>
        <w:t>7</w:t>
      </w:r>
      <w:r w:rsidRPr="00206EE8">
        <w:rPr>
          <w:rStyle w:val="SubtleEmphasis"/>
          <w:b/>
          <w:bCs/>
          <w:i/>
          <w:iCs/>
          <w:color w:val="44546A" w:themeColor="text2"/>
        </w:rPr>
        <w:t>:</w:t>
      </w:r>
      <w:r w:rsidRPr="00206EE8">
        <w:rPr>
          <w:rStyle w:val="SubtleEmphasis"/>
          <w:i/>
          <w:iCs/>
          <w:color w:val="44546A" w:themeColor="text2"/>
        </w:rPr>
        <w:t xml:space="preserve"> </w:t>
      </w:r>
      <w:r>
        <w:rPr>
          <w:rStyle w:val="SubtleEmphasis"/>
          <w:i/>
          <w:iCs/>
          <w:color w:val="44546A" w:themeColor="text2"/>
        </w:rPr>
        <w:t>CAPEX</w:t>
      </w:r>
      <w:r w:rsidRPr="00206EE8">
        <w:rPr>
          <w:rStyle w:val="SubtleEmphasis"/>
          <w:i/>
          <w:iCs/>
          <w:color w:val="44546A" w:themeColor="text2"/>
        </w:rPr>
        <w:t xml:space="preserve"> </w:t>
      </w:r>
      <w:r w:rsidR="001C334E">
        <w:rPr>
          <w:rStyle w:val="SubtleEmphasis"/>
          <w:i/>
          <w:iCs/>
          <w:color w:val="44546A" w:themeColor="text2"/>
        </w:rPr>
        <w:t>of</w:t>
      </w:r>
      <w:r>
        <w:rPr>
          <w:rStyle w:val="SubtleEmphasis"/>
          <w:i/>
          <w:iCs/>
          <w:color w:val="44546A" w:themeColor="text2"/>
        </w:rPr>
        <w:t xml:space="preserve"> the installations.</w:t>
      </w:r>
    </w:p>
    <w:p w14:paraId="571159F5" w14:textId="51AEE8BD" w:rsidR="008B1D60" w:rsidRPr="001D3ABE" w:rsidRDefault="002457DD" w:rsidP="00BD1D65">
      <w:pPr>
        <w:pStyle w:val="Heading2"/>
        <w:jc w:val="both"/>
      </w:pPr>
      <w:bookmarkStart w:id="19" w:name="_Toc234499927"/>
      <w:r>
        <w:t>S-M2.</w:t>
      </w:r>
      <w:r w:rsidR="00525407">
        <w:t xml:space="preserve">5 </w:t>
      </w:r>
      <w:r>
        <w:t>Impact scores calculation method</w:t>
      </w:r>
      <w:bookmarkEnd w:id="19"/>
    </w:p>
    <w:p w14:paraId="61AA2122" w14:textId="68285E95" w:rsidR="00D76E58" w:rsidRDefault="001D3ABE" w:rsidP="00D76E58">
      <w:pPr>
        <w:jc w:val="both"/>
      </w:pPr>
      <w:r>
        <w:t xml:space="preserve">Environmental impacts were quantified following a matrix-based LCA formulation, in which the life cycle inventory of each technology was </w:t>
      </w:r>
      <w:r w:rsidRPr="001D3ABE">
        <w:t xml:space="preserve">assembled in a technology matrix </w:t>
      </w:r>
      <m:oMath>
        <m:r>
          <m:rPr>
            <m:sty m:val="p"/>
          </m:rPr>
          <w:rPr>
            <w:rFonts w:ascii="Cambria Math" w:hAnsi="Cambria Math"/>
          </w:rPr>
          <m:t>A</m:t>
        </m:r>
      </m:oMath>
      <w:r w:rsidRPr="001D3ABE">
        <w:t xml:space="preserve">. </w:t>
      </w:r>
      <w:r w:rsidR="00D76E58">
        <w:t>Because the reference flow’s units of the modeled technologies may differ from the units used in ecoinvent, a scaling vector (s) was applied to ensure unit consistency between the technology model and the LCI data.</w:t>
      </w:r>
      <w:r w:rsidR="00D76E58" w:rsidRPr="00B0620D">
        <w:t xml:space="preserve"> </w:t>
      </w:r>
      <w:r w:rsidR="00D76E58">
        <w:t>(f) is the final demand vector representing the functional unit</w:t>
      </w:r>
      <w:r w:rsidR="00D75AE2">
        <w:t xml:space="preserve"> (Equations 4 and 5)</w:t>
      </w:r>
      <w:r w:rsidR="00D76E58">
        <w:t>.</w:t>
      </w:r>
    </w:p>
    <w:p w14:paraId="6FD8E0CA" w14:textId="77777777" w:rsidR="00D76E58" w:rsidRDefault="00D76E58" w:rsidP="00D76E58">
      <w:pPr>
        <w:jc w:val="both"/>
      </w:pPr>
    </w:p>
    <w:p w14:paraId="0276E939" w14:textId="68E013F5" w:rsidR="00D76E58" w:rsidRPr="00D76E58" w:rsidRDefault="00D76E58" w:rsidP="00D76E58">
      <w:pPr>
        <w:jc w:val="both"/>
      </w:pPr>
      <m:oMathPara>
        <m:oMath>
          <m:r>
            <m:rPr>
              <m:sty m:val="p"/>
            </m:rPr>
            <w:rPr>
              <w:rFonts w:ascii="Cambria Math" w:hAnsi="Cambria Math"/>
            </w:rPr>
            <m:t>As</m:t>
          </m:r>
          <m:r>
            <w:rPr>
              <w:rFonts w:ascii="Cambria Math" w:hAnsi="Cambria Math"/>
            </w:rPr>
            <m:t>=</m:t>
          </m:r>
          <m:r>
            <m:rPr>
              <m:sty m:val="p"/>
            </m:rPr>
            <w:rPr>
              <w:rFonts w:ascii="Cambria Math" w:hAnsi="Cambria Math"/>
            </w:rPr>
            <m:t xml:space="preserve">f    </m:t>
          </m:r>
          <m:d>
            <m:dPr>
              <m:ctrlPr>
                <w:rPr>
                  <w:rFonts w:ascii="Cambria Math" w:hAnsi="Cambria Math"/>
                </w:rPr>
              </m:ctrlPr>
            </m:dPr>
            <m:e>
              <m:r>
                <m:rPr>
                  <m:sty m:val="p"/>
                </m:rPr>
                <w:rPr>
                  <w:rFonts w:ascii="Cambria Math" w:hAnsi="Cambria Math"/>
                </w:rPr>
                <m:t>4</m:t>
              </m:r>
            </m:e>
          </m:d>
        </m:oMath>
      </m:oMathPara>
    </w:p>
    <w:p w14:paraId="1EDE6B0E" w14:textId="77777777" w:rsidR="00D76E58" w:rsidRPr="00D76E58" w:rsidRDefault="00D76E58" w:rsidP="00D76E58">
      <w:pPr>
        <w:jc w:val="both"/>
      </w:pPr>
    </w:p>
    <w:p w14:paraId="6A908C48" w14:textId="7628AD63" w:rsidR="00D76E58" w:rsidRPr="00D76E58" w:rsidRDefault="00D76E58" w:rsidP="00D76E58">
      <w:pPr>
        <w:jc w:val="both"/>
      </w:pPr>
      <m:oMathPara>
        <m:oMath>
          <m:r>
            <m:rPr>
              <m:sty m:val="p"/>
            </m:rPr>
            <w:rPr>
              <w:rFonts w:ascii="Cambria Math" w:hAnsi="Cambria Math"/>
            </w:rPr>
            <m:t>s</m:t>
          </m:r>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-1</m:t>
              </m:r>
            </m:sup>
          </m:sSup>
          <m:r>
            <m:rPr>
              <m:sty m:val="p"/>
            </m:rPr>
            <w:rPr>
              <w:rFonts w:ascii="Cambria Math" w:hAnsi="Cambria Math"/>
            </w:rPr>
            <m:t xml:space="preserve">f    </m:t>
          </m:r>
          <m:d>
            <m:dPr>
              <m:ctrlPr>
                <w:rPr>
                  <w:rFonts w:ascii="Cambria Math" w:hAnsi="Cambria Math"/>
                </w:rPr>
              </m:ctrlPr>
            </m:dPr>
            <m:e>
              <m:r>
                <m:rPr>
                  <m:sty m:val="p"/>
                </m:rPr>
                <w:rPr>
                  <w:rFonts w:ascii="Cambria Math" w:hAnsi="Cambria Math"/>
                </w:rPr>
                <m:t>5</m:t>
              </m:r>
            </m:e>
          </m:d>
        </m:oMath>
      </m:oMathPara>
    </w:p>
    <w:p w14:paraId="6B47CE96" w14:textId="56C61182" w:rsidR="00E4195D" w:rsidRDefault="00E4195D" w:rsidP="00BD1D65">
      <w:pPr>
        <w:jc w:val="both"/>
      </w:pPr>
    </w:p>
    <w:p w14:paraId="29058C36" w14:textId="77777777" w:rsidR="00E4195D" w:rsidRDefault="00E4195D" w:rsidP="00BD1D65">
      <w:pPr>
        <w:jc w:val="both"/>
      </w:pPr>
    </w:p>
    <w:p w14:paraId="11163458" w14:textId="0C80F071" w:rsidR="00D76E58" w:rsidRDefault="001D3ABE" w:rsidP="00D76E58">
      <w:pPr>
        <w:jc w:val="both"/>
      </w:pPr>
      <w:r w:rsidRPr="001D3ABE">
        <w:t xml:space="preserve">This matrix was combined with an impact characterization matrix </w:t>
      </w:r>
      <m:oMath>
        <m:r>
          <w:rPr>
            <w:rFonts w:ascii="Cambria Math" w:hAnsi="Cambria Math"/>
          </w:rPr>
          <m:t>B</m:t>
        </m:r>
      </m:oMath>
      <w:r w:rsidRPr="001D3ABE">
        <w:t xml:space="preserve">, based on </w:t>
      </w:r>
      <w:r w:rsidR="00BD04F6">
        <w:t>E</w:t>
      </w:r>
      <w:r w:rsidRPr="001D3ABE">
        <w:t>coinvent life cycle inventory data</w:t>
      </w:r>
      <w:r w:rsidR="00E4195D">
        <w:t xml:space="preserve"> (elementary flow matrix, before scaling)</w:t>
      </w:r>
      <w:r w:rsidR="00D76E58">
        <w:t>,</w:t>
      </w:r>
      <w:r w:rsidR="00E50B95">
        <w:t xml:space="preserve"> </w:t>
      </w:r>
      <w:r w:rsidR="00D76E58">
        <w:t>yielding a vector (g) containing the final impact scores of the system, as displayed in Equation (6).</w:t>
      </w:r>
    </w:p>
    <w:p w14:paraId="175FB9CF" w14:textId="77777777" w:rsidR="00E4195D" w:rsidRDefault="00E4195D" w:rsidP="00BD1D65">
      <w:pPr>
        <w:jc w:val="both"/>
      </w:pPr>
    </w:p>
    <w:p w14:paraId="72FCD1BF" w14:textId="77777777" w:rsidR="00B0620D" w:rsidRPr="001D3ABE" w:rsidRDefault="00B0620D" w:rsidP="00BD1D65">
      <w:pPr>
        <w:jc w:val="both"/>
      </w:pPr>
    </w:p>
    <w:p w14:paraId="4A30EADC" w14:textId="2E21FE3C" w:rsidR="00B25866" w:rsidRDefault="00D76E58" w:rsidP="00B25866">
      <w:pPr>
        <w:jc w:val="both"/>
      </w:pPr>
      <m:oMathPara>
        <m:oMath>
          <m:r>
            <m:rPr>
              <m:sty m:val="p"/>
            </m:rPr>
            <w:rPr>
              <w:rFonts w:ascii="Cambria Math" w:hAnsi="Cambria Math"/>
            </w:rPr>
            <m:t>g</m:t>
          </m:r>
          <m:r>
            <w:rPr>
              <w:rFonts w:ascii="Cambria Math" w:hAnsi="Cambria Math"/>
            </w:rPr>
            <m:t>=</m:t>
          </m:r>
          <m:r>
            <m:rPr>
              <m:sty m:val="p"/>
            </m:rPr>
            <w:rPr>
              <w:rFonts w:ascii="Cambria Math" w:hAnsi="Cambria Math"/>
            </w:rPr>
            <m:t>B</m:t>
          </m:r>
          <m:r>
            <m:rPr>
              <m:nor/>
            </m:rPr>
            <w:rPr>
              <w:rFonts w:ascii="Cambria Math"/>
            </w:rPr>
            <m:t xml:space="preserve">. </m:t>
          </m:r>
          <m:sSup>
            <m:sSupPr>
              <m:ctrlPr>
                <w:rPr>
                  <w:rFonts w:ascii="Cambria Math" w:hAnsi="Cambria Math"/>
                  <w:i/>
                </w:rPr>
              </m:ctrlPr>
            </m:sSupPr>
            <m:e>
              <m:r>
                <w:rPr>
                  <w:rFonts w:ascii="Cambria Math" w:hAnsi="Cambria Math"/>
                </w:rPr>
                <m:t>A</m:t>
              </m:r>
            </m:e>
            <m:sup>
              <m:r>
                <w:rPr>
                  <w:rFonts w:ascii="Cambria Math" w:hAnsi="Cambria Math"/>
                </w:rPr>
                <m:t>-1</m:t>
              </m:r>
            </m:sup>
          </m:sSup>
          <m:r>
            <m:rPr>
              <m:sty m:val="p"/>
            </m:rPr>
            <w:rPr>
              <w:rFonts w:ascii="Cambria Math" w:hAnsi="Cambria Math"/>
            </w:rPr>
            <m:t xml:space="preserve">.f    </m:t>
          </m:r>
          <m:d>
            <m:dPr>
              <m:ctrlPr>
                <w:rPr>
                  <w:rFonts w:ascii="Cambria Math" w:hAnsi="Cambria Math"/>
                </w:rPr>
              </m:ctrlPr>
            </m:dPr>
            <m:e>
              <m:r>
                <m:rPr>
                  <m:sty m:val="p"/>
                </m:rPr>
                <w:rPr>
                  <w:rFonts w:ascii="Cambria Math" w:hAnsi="Cambria Math"/>
                </w:rPr>
                <m:t>6</m:t>
              </m:r>
            </m:e>
          </m:d>
        </m:oMath>
      </m:oMathPara>
    </w:p>
    <w:p w14:paraId="6BB727E5" w14:textId="77777777" w:rsidR="00145BB2" w:rsidRDefault="00145BB2"/>
    <w:p w14:paraId="6C826996" w14:textId="5D7874D5" w:rsidR="00145BB2" w:rsidRPr="00BE2023" w:rsidRDefault="00145BB2" w:rsidP="002E66A0">
      <w:pPr>
        <w:pStyle w:val="Heading2"/>
      </w:pPr>
      <w:bookmarkStart w:id="20" w:name="_Hlk224550949"/>
      <w:r w:rsidRPr="00BE2023">
        <w:t>2</w:t>
      </w:r>
      <w:r w:rsidR="002E66A0">
        <w:t>-M</w:t>
      </w:r>
      <w:r w:rsidRPr="00BE2023">
        <w:t xml:space="preserve">3 </w:t>
      </w:r>
      <w:proofErr w:type="spellStart"/>
      <w:r w:rsidRPr="00BE2023">
        <w:t>Modeling</w:t>
      </w:r>
      <w:proofErr w:type="spellEnd"/>
      <w:r w:rsidRPr="00BE2023">
        <w:t xml:space="preserve"> of PET treatment, recycling technologies, and utility systems</w:t>
      </w:r>
    </w:p>
    <w:p w14:paraId="621980D3" w14:textId="77777777" w:rsidR="00145BB2" w:rsidRPr="00BE2023" w:rsidRDefault="00145BB2" w:rsidP="00145BB2">
      <w:pPr>
        <w:rPr>
          <w:lang w:val="en-GB"/>
        </w:rPr>
      </w:pPr>
      <w:r w:rsidRPr="00BE2023">
        <w:rPr>
          <w:lang w:val="en-GB"/>
        </w:rPr>
        <w:t xml:space="preserve">This section describes the PET processing technologies that were studied and </w:t>
      </w:r>
      <w:proofErr w:type="spellStart"/>
      <w:r w:rsidRPr="00BE2023">
        <w:rPr>
          <w:lang w:val="en-GB"/>
        </w:rPr>
        <w:t>modeled</w:t>
      </w:r>
      <w:proofErr w:type="spellEnd"/>
      <w:r w:rsidRPr="00BE2023">
        <w:rPr>
          <w:lang w:val="en-GB"/>
        </w:rPr>
        <w:t xml:space="preserve">. The distribution of material flows among the various technologies is shown in Figure 3. Mass and energy balance for each technology, and detailed Aspen Plus models for depolymerization units are available in </w:t>
      </w:r>
      <w:proofErr w:type="spellStart"/>
      <w:r w:rsidRPr="00BE2023">
        <w:rPr>
          <w:lang w:val="en-GB"/>
        </w:rPr>
        <w:t>SI_modeling</w:t>
      </w:r>
      <w:proofErr w:type="spellEnd"/>
      <w:r w:rsidRPr="00BE2023">
        <w:rPr>
          <w:lang w:val="en-GB"/>
        </w:rPr>
        <w:t xml:space="preserve"> and </w:t>
      </w:r>
      <w:proofErr w:type="spellStart"/>
      <w:r w:rsidRPr="00BE2023">
        <w:rPr>
          <w:lang w:val="en-GB"/>
        </w:rPr>
        <w:t>SI_data_technologies</w:t>
      </w:r>
      <w:proofErr w:type="spellEnd"/>
      <w:r w:rsidRPr="00BE2023">
        <w:rPr>
          <w:lang w:val="en-GB"/>
        </w:rPr>
        <w:t xml:space="preserve">. </w:t>
      </w:r>
    </w:p>
    <w:p w14:paraId="076FF6B2" w14:textId="77777777" w:rsidR="00145BB2" w:rsidRPr="00BE2023" w:rsidRDefault="00145BB2" w:rsidP="00145BB2">
      <w:pPr>
        <w:rPr>
          <w:lang w:val="en-GB"/>
        </w:rPr>
      </w:pPr>
    </w:p>
    <w:p w14:paraId="6D57CE8C" w14:textId="77777777" w:rsidR="00145BB2" w:rsidRPr="00BE2023" w:rsidRDefault="00145BB2" w:rsidP="002E66A0">
      <w:pPr>
        <w:pStyle w:val="Heading3"/>
      </w:pPr>
      <w:r w:rsidRPr="00BE2023">
        <w:t>2.3.1 Separated collection rates</w:t>
      </w:r>
    </w:p>
    <w:p w14:paraId="5C9BC06D" w14:textId="5ABC0926" w:rsidR="00145BB2" w:rsidRPr="00BE2023" w:rsidRDefault="00145BB2" w:rsidP="00145BB2">
      <w:pPr>
        <w:rPr>
          <w:i/>
          <w:iCs/>
          <w:lang w:val="en-GB"/>
        </w:rPr>
      </w:pPr>
      <w:r w:rsidRPr="00BE2023">
        <w:rPr>
          <w:lang w:val="en-GB"/>
        </w:rPr>
        <w:t xml:space="preserve">Current and achievable collection rates were used to evaluate alternative PET technological pathways. Baseline values represent actual collection rates in Switzerland </w:t>
      </w:r>
      <w:r w:rsidRPr="00BE2023">
        <w:rPr>
          <w:lang w:val="en-GB"/>
        </w:rPr>
        <w:fldChar w:fldCharType="begin"/>
      </w:r>
      <w:r w:rsidR="002E66A0">
        <w:rPr>
          <w:lang w:val="en-GB"/>
        </w:rPr>
        <w:instrText xml:space="preserve"> ADDIN ZOTERO_ITEM CSL_CITATION {"citationID":"LwANUcHj","properties":{"unsorted":false,"formattedCitation":"[1]","plainCitation":"[1]","noteIndex":0},"citationItems":[{"id":13861,"uris":["http://zotero.org/users/12598273/items/HAU5GTLV"],"itemData":{"id":13861,"type":"article-journal","citation-key":"klotzHighresolutionDatasetPlastic2022","container-title":"Data in Brief","DOI":"10.1016/j.dib.2022.108001","ISSN":"23523409","journalAbbreviation":"Data in Brief","language":"en","page":"108001","source":"DOI.org (Crossref)","title":"A high-resolution dataset on the plastic material flows in Switzerland","volume":"41","author":[{"family":"Klotz","given":"Magdalena"},{"family":"Haupt","given":"Melanie"}],"issued":{"date-parts":[["2022",4]]}}}],"schema":"https://github.com/citation-style-language/schema/raw/master/csl-citation.json"} </w:instrText>
      </w:r>
      <w:r w:rsidRPr="00BE2023">
        <w:rPr>
          <w:lang w:val="en-GB"/>
        </w:rPr>
        <w:fldChar w:fldCharType="separate"/>
      </w:r>
      <w:r w:rsidR="002E66A0">
        <w:rPr>
          <w:noProof/>
          <w:lang w:val="en-GB"/>
        </w:rPr>
        <w:t>[1]</w:t>
      </w:r>
      <w:r w:rsidRPr="00BE2023">
        <w:rPr>
          <w:lang w:val="en-GB"/>
        </w:rPr>
        <w:fldChar w:fldCharType="end"/>
      </w:r>
      <w:r w:rsidRPr="00BE2023">
        <w:rPr>
          <w:lang w:val="en-GB"/>
        </w:rPr>
        <w:t xml:space="preserve">, whereas achievable values correspond to prospective collection rates reported in the literature </w:t>
      </w:r>
      <w:r w:rsidRPr="00BE2023">
        <w:rPr>
          <w:lang w:val="en-GB"/>
        </w:rPr>
        <w:fldChar w:fldCharType="begin"/>
      </w:r>
      <w:r w:rsidR="002E66A0">
        <w:rPr>
          <w:lang w:val="en-GB"/>
        </w:rPr>
        <w:instrText xml:space="preserve"> ADDIN ZOTERO_ITEM CSL_CITATION {"citationID":"lUtvLaEQ","properties":{"unsorted":false,"formattedCitation":"[6]","plainCitation":"[6]","noteIndex":0},"citationItems":[{"id":13456,"uris":["http://zotero.org/users/12598273/items/IZ7YPLFM"],"itemData":{"id":13456,"type":"article-journal","abstract":"Plastics consumption continues to steeply increase worldwide, while resultant waste is currently mostly landfilled, discarded to the environment, or incinerated. This significantly contributes to global warming and causes negative health and ecosystem effects. Increasing the circularity of plastics can reduce these impacts. This study investigated to which extent plastics’ circularity can be increased by mechanical recycling. For this purpose, future scenarios involving increased waste collection, improved product design, and improved waste sorting were assessed. The system studied consists of 11 plastic types in 69 product groups consumed and arising as waste in Switzerland. By means of a material flow analysis, the amounts of consumption, waste, and secondary material utilizable in product manufacturing were quantified for the year 2040. For the waste not mechanically recycled, treatment situations mainly involving energy recovery in waste-to-energy plants and cement kilns were modeled. A life cycle assessment of the complete plastic material flow system was conducted. We found that the mechanical recycling rate calculated based on the utilizable secondary material can be increased to up to 31%. This can lower the plastic carbon footprint by one quarter (1.3% of today’s total Swiss carbon footprint) compared to no recycling. Important barriers to a further increase of the recycling rate were inaccessibility, the large diversity of plastic grades, and contamination. The remaining impact at maximum recycling is mainly caused by polyurethanes, polypropylene, and polystyrene production. In conclusion, the potential of mechanical plastic recycling is limited, but it can, as one of several measures, contribute to combating climate change.","citation-key":"klotzPotentialsLimitsMechanical2023","container-title":"Journal of Industrial Ecology","DOI":"10.1111/jiec.13393","ISSN":"1088-1980, 1530-9290","issue":"4","journalAbbreviation":"J of Industrial Ecology","language":"en","page":"1043-1059","source":"DOI.org (Crossref)","title":"Potentials and limits of mechanical plastic recycling","volume":"27","author":[{"family":"Klotz","given":"Magdalena"},{"family":"Haupt","given":"Melanie"},{"family":"Hellweg","given":"Stefanie"}],"issued":{"date-parts":[["2023",8]]}}}],"schema":"https://github.com/citation-style-language/schema/raw/master/csl-citation.json"} </w:instrText>
      </w:r>
      <w:r w:rsidRPr="00BE2023">
        <w:rPr>
          <w:lang w:val="en-GB"/>
        </w:rPr>
        <w:fldChar w:fldCharType="separate"/>
      </w:r>
      <w:r w:rsidR="002E66A0">
        <w:rPr>
          <w:noProof/>
          <w:lang w:val="en-GB"/>
        </w:rPr>
        <w:t>[6]</w:t>
      </w:r>
      <w:r w:rsidRPr="00BE2023">
        <w:rPr>
          <w:lang w:val="en-GB"/>
        </w:rPr>
        <w:fldChar w:fldCharType="end"/>
      </w:r>
      <w:r w:rsidRPr="00BE2023">
        <w:rPr>
          <w:lang w:val="en-GB"/>
        </w:rPr>
        <w:t>.</w:t>
      </w:r>
    </w:p>
    <w:bookmarkEnd w:id="20"/>
    <w:p w14:paraId="5E320145" w14:textId="77777777" w:rsidR="00145BB2" w:rsidRPr="00BE2023" w:rsidRDefault="00145BB2" w:rsidP="00145BB2">
      <w:pPr>
        <w:rPr>
          <w:rFonts w:ascii="-webkit-standard" w:hAnsi="-webkit-standard"/>
          <w:color w:val="000000"/>
          <w:sz w:val="27"/>
          <w:szCs w:val="27"/>
          <w:lang w:val="en-GB"/>
        </w:rPr>
      </w:pPr>
    </w:p>
    <w:p w14:paraId="3F678E95" w14:textId="77777777" w:rsidR="00145BB2" w:rsidRPr="00BE2023" w:rsidRDefault="00145BB2" w:rsidP="002E66A0">
      <w:pPr>
        <w:pStyle w:val="Heading3"/>
      </w:pPr>
      <w:r w:rsidRPr="00BE2023">
        <w:t>2.3.2 Waste incineration with point-source carbon capture and mineralization</w:t>
      </w:r>
    </w:p>
    <w:p w14:paraId="02D5ADCB" w14:textId="6175C340" w:rsidR="00145BB2" w:rsidRPr="00BE2023" w:rsidRDefault="00145BB2" w:rsidP="00145BB2">
      <w:pPr>
        <w:rPr>
          <w:lang w:val="en-GB"/>
        </w:rPr>
      </w:pPr>
      <w:r w:rsidRPr="00BE2023">
        <w:rPr>
          <w:lang w:val="en-GB"/>
        </w:rPr>
        <w:t xml:space="preserve">Incineration is particularly suited for the PET fractions that are difficult to sort separately or recycle, such as textiles or contaminated streams. The process is </w:t>
      </w:r>
      <w:proofErr w:type="spellStart"/>
      <w:r w:rsidRPr="00BE2023">
        <w:rPr>
          <w:lang w:val="en-GB"/>
        </w:rPr>
        <w:t>modeled</w:t>
      </w:r>
      <w:proofErr w:type="spellEnd"/>
      <w:r w:rsidRPr="00BE2023">
        <w:rPr>
          <w:lang w:val="en-GB"/>
        </w:rPr>
        <w:t xml:space="preserve"> in Aspen® Plus v11. Following combustion of the feedstock, the resulting ash is separated from the flue gas stream for disposal </w:t>
      </w:r>
      <w:r w:rsidRPr="00BE2023">
        <w:rPr>
          <w:lang w:val="en-GB"/>
        </w:rPr>
        <w:fldChar w:fldCharType="begin"/>
      </w:r>
      <w:r w:rsidR="002E66A0">
        <w:rPr>
          <w:lang w:val="en-GB"/>
        </w:rPr>
        <w:instrText xml:space="preserve"> ADDIN ZOTERO_ITEM CSL_CITATION {"citationID":"wJL9nhLi","properties":{"formattedCitation":"[31]","plainCitation":"[31]","noteIndex":0},"citationItems":[{"id":13971,"uris":["http://zotero.org/users/12598273/items/D4HW2FK6"],"itemData":{"id":13971,"type":"article-journal","abstract":"The disposal of sewage sludge poses significant challenges due to storage difficulties and the presence of pollutants and pathogens. Conventional treatment methods, such as incineration and anaerobic digestion (AD), are compared to advanced technologies like hydrothermal gasification (HTG) with syngas upgrading for methane production. Various indicators — i.e. environmental impacts, exergy efficiency, capital expenditures, and operational expenses — are assessed to evaluate these pathways. The scope of the life cycle assessment (LCA) accounts for the waste recovery, the treatement infrastructure, and material and energy flows. It additionally account for the substitution of valorized products. For instance, the methane produced is assumed to replace fossil methane with a substitution rate ranging from 100% (entire replacement of fossil methane) to 0%, considering either no substitution or future decarbonized energy systems. As a result, HTG achieves an exergy efficiency as low as 10.2 %. Yet, carbon management strategies, such as co-electrolysis (co-SOEC), can improve the exergy efficiency up to a value of 62.2 %. The most favourable routes in terms of GHG emissions are those mineralizing CO2 from sludge gasification ( 1,100 kg CO2-eq/FU) or maximizing sludge-to-methane conversion (e.g., HTG with co-SOEC, 790 kg CO2-eq/FU). However, this benefit reverses under a 0 % substitution scenario (+770 kg CO2-eq/FU). In contrast, AD-based routes with lower energy demand show impacts between 328 and + 70 kg CO2-eq/FU, also being more competitive in terms of costs. Beyond GHG emissions, trade-offs emerge across other impact categories, notably water scarcity, ecosystem quality, and fossil and nuclear energy use, particularly for routes involving CO2 mineralization and co-SOEC due to their high energy demand.","citation-key":"correLifeCycleAssessment2025","container-title":"Energy Conversion and Management","DOI":"10.1016/j.enconman.2025.120015","ISSN":"01968904","journalAbbreviation":"Energy Conversion and Management","language":"en","page":"120015","source":"DOI.org (Crossref)","title":"Life cycle assessment and techno-economic comparison of methane production routes from sewage sludge: Incineration vs. Hydrothermal Gasification and Anaerobic Digestion","title-short":"Life cycle assessment and techno-economic comparison of methane production routes from sewage sludge","volume":"341","author":[{"family":"Corre","given":"Soline"},{"family":"Gorete Ribeiro Domingos","given":"Meire Ellen"},{"family":"Florez-Orrego","given":"Daniel"},{"family":"Magnaval","given":"Gabriel"},{"family":"Margni","given":"Manuele"},{"family":"Maréchal","given":"François"}],"issued":{"date-parts":[["2025",10]]}}}],"schema":"https://github.com/citation-style-language/schema/raw/master/csl-citation.json"} </w:instrText>
      </w:r>
      <w:r w:rsidRPr="00BE2023">
        <w:rPr>
          <w:lang w:val="en-GB"/>
        </w:rPr>
        <w:fldChar w:fldCharType="separate"/>
      </w:r>
      <w:r w:rsidR="002E66A0">
        <w:rPr>
          <w:noProof/>
          <w:lang w:val="en-GB"/>
        </w:rPr>
        <w:t>[31]</w:t>
      </w:r>
      <w:r w:rsidRPr="00BE2023">
        <w:rPr>
          <w:lang w:val="en-GB"/>
        </w:rPr>
        <w:fldChar w:fldCharType="end"/>
      </w:r>
      <w:r w:rsidRPr="00BE2023">
        <w:rPr>
          <w:lang w:val="en-GB"/>
        </w:rPr>
        <w:t xml:space="preserve">, </w:t>
      </w:r>
      <w:r w:rsidRPr="00BE2023">
        <w:rPr>
          <w:lang w:val="en-GB"/>
        </w:rPr>
        <w:fldChar w:fldCharType="begin"/>
      </w:r>
      <w:r w:rsidR="002E66A0">
        <w:rPr>
          <w:lang w:val="en-GB"/>
        </w:rPr>
        <w:instrText xml:space="preserve"> ADDIN ZOTERO_ITEM CSL_CITATION {"citationID":"pWQIFuMl","properties":{"unsorted":false,"formattedCitation":"[28]","plainCitation":"[28]","noteIndex":0},"citationItems":[{"id":13613,"uris":["http://zotero.org/users/12598273/items/GUE6KEE8"],"itemData":{"id":13613,"type":"article-journal","citation-key":"haggPilotDemonstrationreportingCO22017","container-title":"Energy Procedia","DOI":"10.1016/j.egypro.2017.03.1752","ISSN":"18766102","journalAbbreviation":"Energy Procedia","language":"en","page":"6150-6165","source":"DOI.org (Crossref)","title":"Pilot Demonstration-reporting on CO2 Capture from a Cement Plant Using Hollow Fiber Process","volume":"114","author":[{"family":"Hägg","given":"M.-B."},{"family":"Lindbråthen","given":"A."},{"family":"He","given":"X."},{"family":"Nodeland","given":"S.G."},{"family":"Cantero","given":"T."}],"issued":{"date-parts":[["2017",7]]}}}],"schema":"https://github.com/citation-style-language/schema/raw/master/csl-citation.json"} </w:instrText>
      </w:r>
      <w:r w:rsidRPr="00BE2023">
        <w:rPr>
          <w:lang w:val="en-GB"/>
        </w:rPr>
        <w:fldChar w:fldCharType="separate"/>
      </w:r>
      <w:r w:rsidR="002E66A0">
        <w:rPr>
          <w:rFonts w:eastAsiaTheme="minorHAnsi"/>
          <w:lang w:val="en-GB" w:eastAsia="en-US"/>
        </w:rPr>
        <w:t>[28]</w:t>
      </w:r>
      <w:r w:rsidRPr="00BE2023">
        <w:rPr>
          <w:lang w:val="en-GB"/>
        </w:rPr>
        <w:fldChar w:fldCharType="end"/>
      </w:r>
      <w:r w:rsidRPr="00BE2023">
        <w:rPr>
          <w:lang w:val="en-GB"/>
        </w:rPr>
        <w:t xml:space="preserve">. A post-combustion carbon capture unit is also considered, using </w:t>
      </w:r>
      <w:proofErr w:type="spellStart"/>
      <w:r w:rsidRPr="00BE2023">
        <w:rPr>
          <w:lang w:val="en-GB"/>
        </w:rPr>
        <w:t>monoethanolamine</w:t>
      </w:r>
      <w:proofErr w:type="spellEnd"/>
      <w:r w:rsidRPr="00BE2023">
        <w:rPr>
          <w:lang w:val="en-GB"/>
        </w:rPr>
        <w:t xml:space="preserve"> membranes</w:t>
      </w:r>
      <w:r w:rsidRPr="00BE2023">
        <w:rPr>
          <w:rFonts w:ascii="Roboto" w:hAnsi="Roboto"/>
          <w:color w:val="151515"/>
          <w:shd w:val="clear" w:color="auto" w:fill="FFFFFF"/>
          <w:lang w:val="en-GB"/>
        </w:rPr>
        <w:t xml:space="preserve">, </w:t>
      </w:r>
      <w:r w:rsidRPr="00BE2023">
        <w:rPr>
          <w:lang w:val="en-GB"/>
        </w:rPr>
        <w:t xml:space="preserve"> enabling the recovery of 90% of the </w:t>
      </w:r>
      <w:bookmarkStart w:id="21" w:name="_Hlk224305974"/>
      <w:r w:rsidRPr="00BE2023">
        <w:rPr>
          <w:lang w:val="en-GB"/>
        </w:rPr>
        <w:t>CO</w:t>
      </w:r>
      <w:r w:rsidRPr="00BE2023">
        <w:rPr>
          <w:vertAlign w:val="subscript"/>
          <w:lang w:val="en-GB"/>
        </w:rPr>
        <w:t>2</w:t>
      </w:r>
      <w:bookmarkEnd w:id="21"/>
      <w:r w:rsidRPr="00BE2023">
        <w:rPr>
          <w:lang w:val="en-GB"/>
        </w:rPr>
        <w:t xml:space="preserve"> present in </w:t>
      </w:r>
      <w:r w:rsidRPr="00BE2023">
        <w:rPr>
          <w:lang w:val="en-GB"/>
        </w:rPr>
        <w:lastRenderedPageBreak/>
        <w:t xml:space="preserve">the flue gases </w:t>
      </w:r>
      <w:r w:rsidRPr="00BE2023">
        <w:rPr>
          <w:lang w:val="en-GB"/>
        </w:rPr>
        <w:fldChar w:fldCharType="begin"/>
      </w:r>
      <w:r w:rsidR="002E66A0">
        <w:rPr>
          <w:lang w:val="en-GB"/>
        </w:rPr>
        <w:instrText xml:space="preserve"> ADDIN ZOTERO_ITEM CSL_CITATION {"citationID":"DO6mia5H","properties":{"formattedCitation":"[31]","plainCitation":"[31]","noteIndex":0},"citationItems":[{"id":13971,"uris":["http://zotero.org/users/12598273/items/D4HW2FK6"],"itemData":{"id":13971,"type":"article-journal","abstract":"The disposal of sewage sludge poses significant challenges due to storage difficulties and the presence of pollutants and pathogens. Conventional treatment methods, such as incineration and anaerobic digestion (AD), are compared to advanced technologies like hydrothermal gasification (HTG) with syngas upgrading for methane production. Various indicators — i.e. environmental impacts, exergy efficiency, capital expenditures, and operational expenses — are assessed to evaluate these pathways. The scope of the life cycle assessment (LCA) accounts for the waste recovery, the treatement infrastructure, and material and energy flows. It additionally account for the substitution of valorized products. For instance, the methane produced is assumed to replace fossil methane with a substitution rate ranging from 100% (entire replacement of fossil methane) to 0%, considering either no substitution or future decarbonized energy systems. As a result, HTG achieves an exergy efficiency as low as 10.2 %. Yet, carbon management strategies, such as co-electrolysis (co-SOEC), can improve the exergy efficiency up to a value of 62.2 %. The most favourable routes in terms of GHG emissions are those mineralizing CO2 from sludge gasification ( 1,100 kg CO2-eq/FU) or maximizing sludge-to-methane conversion (e.g., HTG with co-SOEC, 790 kg CO2-eq/FU). However, this benefit reverses under a 0 % substitution scenario (+770 kg CO2-eq/FU). In contrast, AD-based routes with lower energy demand show impacts between 328 and + 70 kg CO2-eq/FU, also being more competitive in terms of costs. Beyond GHG emissions, trade-offs emerge across other impact categories, notably water scarcity, ecosystem quality, and fossil and nuclear energy use, particularly for routes involving CO2 mineralization and co-SOEC due to their high energy demand.","citation-key":"correLifeCycleAssessment2025","container-title":"Energy Conversion and Management","DOI":"10.1016/j.enconman.2025.120015","ISSN":"01968904","journalAbbreviation":"Energy Conversion and Management","language":"en","page":"120015","source":"DOI.org (Crossref)","title":"Life cycle assessment and techno-economic comparison of methane production routes from sewage sludge: Incineration vs. Hydrothermal Gasification and Anaerobic Digestion","title-short":"Life cycle assessment and techno-economic comparison of methane production routes from sewage sludge","volume":"341","author":[{"family":"Corre","given":"Soline"},{"family":"Gorete Ribeiro Domingos","given":"Meire Ellen"},{"family":"Florez-Orrego","given":"Daniel"},{"family":"Magnaval","given":"Gabriel"},{"family":"Margni","given":"Manuele"},{"family":"Maréchal","given":"François"}],"issued":{"date-parts":[["2025",10]]}}}],"schema":"https://github.com/citation-style-language/schema/raw/master/csl-citation.json"} </w:instrText>
      </w:r>
      <w:r w:rsidRPr="00BE2023">
        <w:rPr>
          <w:lang w:val="en-GB"/>
        </w:rPr>
        <w:fldChar w:fldCharType="separate"/>
      </w:r>
      <w:r w:rsidR="002E66A0" w:rsidRPr="002E66A0">
        <w:rPr>
          <w:noProof/>
          <w:lang w:val="en-GB"/>
        </w:rPr>
        <w:t>[31]</w:t>
      </w:r>
      <w:r w:rsidRPr="00BE2023">
        <w:rPr>
          <w:lang w:val="en-GB"/>
        </w:rPr>
        <w:fldChar w:fldCharType="end"/>
      </w:r>
      <w:r w:rsidRPr="002E66A0">
        <w:rPr>
          <w:lang w:val="en-GB"/>
        </w:rPr>
        <w:t xml:space="preserve">, </w:t>
      </w:r>
      <w:r w:rsidRPr="00BE2023">
        <w:rPr>
          <w:lang w:val="en-GB"/>
        </w:rPr>
        <w:fldChar w:fldCharType="begin"/>
      </w:r>
      <w:r w:rsidR="002E66A0" w:rsidRPr="002E66A0">
        <w:rPr>
          <w:lang w:val="en-GB"/>
        </w:rPr>
        <w:instrText xml:space="preserve"> ADDIN ZOTERO_ITEM CSL_CITATION {"citationID":"eLA1RxWj","properties":{"formattedCitation":"[32]","plainCitation":"[32]","noteIndex":0},"citationItems":[{"id":14044,"uris":["http://zotero.org/users/12598273/items/54GVHIRR"],"itemData":{"id":14044,"type":"article-journal","abstract":"Fluid Catalytic Cracking Units (FCCUs) are major contributors to refinery CO2 emissions, accounting for up to 30% of the total. While CCS is recognized as a key mitigation strategy, comparative evaluations of alternative capture technologies under consistent operating conditions remain limited. This study investigates three FCCU−CCS configurations: postcombustion chemical absorption with monoethanolamine (PCC-MEA), postcombustion polymeric membrane separation (PCC-Membrane), and oxy-combustion chemical absorption (OCC-MEA). Process simulations were developed in Aspen HYSYS v14, including flue gas conditioning, capture units, compression, and TEG dehydration. Key performance indicators, fixed capital investment (FCI), net present value (NPV), and a marginal abatement cost curve (MACC) were assessed using CAPCOST methodology. All scenarios achieved &gt;90% CO2 capture efficiency and &gt;99.9 mol % product purity. PCC-MEA and OCC-MEA reached </w:instrText>
      </w:r>
      <w:r w:rsidR="002E66A0" w:rsidRPr="002E66A0">
        <w:rPr>
          <w:rFonts w:ascii="Cambria Math" w:hAnsi="Cambria Math" w:cs="Cambria Math"/>
          <w:lang w:val="en-GB"/>
        </w:rPr>
        <w:instrText>∼</w:instrText>
      </w:r>
      <w:r w:rsidR="002E66A0" w:rsidRPr="002E66A0">
        <w:rPr>
          <w:lang w:val="en-GB"/>
        </w:rPr>
        <w:instrText xml:space="preserve">95% efficiency with 77.6 and 105.4 t·h−1 of CO2 captured, respectively, while the PCC-Membrane achieved 99.9% efficiency and 108.2 t·h−1 of CO2 captured. The economic analysis showed NPVs of −970.6 MMUSD (PCC-MEA), −1214 MMUSD (PCC-Membrane), and −1138.6 MMUSD (OCC-MEA), compared with −617.5 MMUSD for the base FCCU, resulting in abatement costs of 22−27 USD· t−1 CO2. The comparative analysis shows that PCC-MEA remains the most cost-effective option, membranes provide the highest capture efficiency at higher cost, and OCC-MEA offers a compromise benefiting from richer flue gas composition. These findings highlight both the technical feasibility and the economic challenges of deploying CCS in FCCUs, underlining the need for supportive policies and further optimization to enable large-scale implementation.","citation-key":"dealmeidaComparativeAnalysisMEA2026","container-title":"Energy &amp; Fuels","DOI":"10.1021/acs.energyfuels.6c00473","ISSN":"0887-0624, 1520-5029","journalAbbreviation":"Energy Fuels","language":"en","license":"https://creativecommons.org/licenses/by/4.0/","page":"acs.energyfuels.6c00473","source":"DOI.org (Crossref)","title":"Comparative Analysis of MEA Absorption and Membrane Separation for FCCU CO&lt;sub&gt;2&lt;/sub&gt; Capture: Process Simulation and Techno-Economic Evaluation","title-short":"Comparative Analysis of MEA Absorption and Membrane Separation for FCCU CO&lt;sub&gt;2&lt;/sub&gt; Capture","author":[{"family":"De Almeida","given":"Alexandre M."},{"family":"Cavalcante","given":"Raquel M."},{"family":"Young","given":"André F."}],"issued":{"date-parts":[["2026",4,23]]}}}],"schema":"https://github.com/citation-style-language/schema/raw/master/csl-citation.json"} </w:instrText>
      </w:r>
      <w:r w:rsidRPr="00BE2023">
        <w:rPr>
          <w:lang w:val="en-GB"/>
        </w:rPr>
        <w:fldChar w:fldCharType="separate"/>
      </w:r>
      <w:r w:rsidR="002E66A0" w:rsidRPr="002E66A0">
        <w:rPr>
          <w:noProof/>
          <w:lang w:val="en-GB"/>
        </w:rPr>
        <w:t>[32]</w:t>
      </w:r>
      <w:r w:rsidRPr="00BE2023">
        <w:rPr>
          <w:lang w:val="en-GB"/>
        </w:rPr>
        <w:fldChar w:fldCharType="end"/>
      </w:r>
      <w:r w:rsidRPr="002E66A0">
        <w:rPr>
          <w:lang w:val="en-GB"/>
        </w:rPr>
        <w:t>. To illustrate a storage pathway that keeps carbon within the economy (the minerals produced can be used in construction), recovered CO</w:t>
      </w:r>
      <w:r w:rsidRPr="002E66A0">
        <w:rPr>
          <w:vertAlign w:val="subscript"/>
          <w:lang w:val="en-GB"/>
        </w:rPr>
        <w:t>2</w:t>
      </w:r>
      <w:r w:rsidRPr="002E66A0">
        <w:rPr>
          <w:lang w:val="en-GB"/>
        </w:rPr>
        <w:t xml:space="preserve"> is subsequently mineralized using serpentine, providing a pathway for long-term fossil-based carbon storage </w:t>
      </w:r>
      <w:r w:rsidRPr="00BE2023">
        <w:rPr>
          <w:lang w:val="en-GB"/>
        </w:rPr>
        <w:fldChar w:fldCharType="begin"/>
      </w:r>
      <w:r w:rsidR="002E66A0" w:rsidRPr="002E66A0">
        <w:rPr>
          <w:lang w:val="en-GB"/>
        </w:rPr>
        <w:instrText xml:space="preserve"> ADDIN ZOTERO_ITEM CSL_CITATION {"citationID":"03FgTNnl","properties":{"formattedCitation":"[20]","plainCitation":"[20]","noteIndex":0},"citationItems":[{"id":8297,"uris":["http://zotero.org/users/12598273/items/I2FYAZXG"],"itemData":{"id":8297,"type":"article-journal","abstract":"Carbon capture and storage is acknowledged as a valuable technology for reducing industrial emissions. Its integration into industrial sectors, benefiting from multiple symbiosis, proved consequential from an economic and environmental perspective.\n          , \n            \n              Carbon capture and storage (CCS) is commonly acknowledged as a valuable technology for reducing industrial emissions. However, limited installation capacity raises questions about its ability to scale up effectively and promptly. This issue can, in part, be attributed to expensive and energy-intensive processes, as well as the poorly-understood role of heat- and material integration. Here, we show that net-zero and net-negative industrial sectors are possible by integrating capture and mineralization in cement production, steel manufacture, and waste incineration. These sectors feature large amounts of waste heat, alkaline solid residues, and process emissions. We estimate</w:instrText>
      </w:r>
      <w:r w:rsidR="002E66A0">
        <w:rPr>
          <w:lang w:val="fr-CH"/>
        </w:rPr>
        <w:instrText xml:space="preserve"> that the three sectors combined could reduce European emissions by 27% (\n              c.a.\n              860 Mton), with marginal abatement costs between 62 and 85 EUR per ton of CO\n              2\n              . These values compare favorably with deploying capture and storage separately, with economic benefits of up to 50%. Moreover, CCS needs to be considered within an industrial cluster to justify its economic and environmental deployment, with system integration being crucial when taking investment decisions.","citation-key":"castro-amoedoRoleSystemIntegration2023","container-title":"Energy &amp; Environmental Science","DOI":"10.1039/D3EE01803B","ISSN":"1754-5692, 1754-5706","issue":"10","journalAbbreviation":"Energy Environ. Sci.","language":"en","page":"4356-4372","source":"DOI.org (Crossref)","title":"On the role of system integration of carbon capture and mineralization in achieving net-negative emissions in industrial sectors","volume":"16","author":[{"family":"Castro-Amoedo","given":"Rafael"},{"family":"Granacher","given":"Julia"},{"family":"Daher","given":"Mouhannad Abou"},{"family":"Maréchal","given":"François"}],"issued":{"date-parts":[["2023"]]}}}],"schema":"https://github.com/citation-style-language/schema/raw/master/csl-citation.json"} </w:instrText>
      </w:r>
      <w:r w:rsidRPr="00BE2023">
        <w:rPr>
          <w:lang w:val="en-GB"/>
        </w:rPr>
        <w:fldChar w:fldCharType="separate"/>
      </w:r>
      <w:r w:rsidR="002E66A0">
        <w:rPr>
          <w:noProof/>
          <w:lang w:val="en-GB"/>
        </w:rPr>
        <w:t>[20]</w:t>
      </w:r>
      <w:r w:rsidRPr="00BE2023">
        <w:rPr>
          <w:lang w:val="en-GB"/>
        </w:rPr>
        <w:fldChar w:fldCharType="end"/>
      </w:r>
      <w:r w:rsidRPr="00BE2023">
        <w:rPr>
          <w:lang w:val="en-GB"/>
        </w:rPr>
        <w:t xml:space="preserve">, </w:t>
      </w:r>
      <w:r w:rsidRPr="00BE2023">
        <w:rPr>
          <w:lang w:val="en-GB"/>
        </w:rPr>
        <w:fldChar w:fldCharType="begin"/>
      </w:r>
      <w:r w:rsidR="002E66A0">
        <w:rPr>
          <w:lang w:val="en-GB"/>
        </w:rPr>
        <w:instrText xml:space="preserve"> ADDIN ZOTERO_ITEM CSL_CITATION {"citationID":"kxLfLf5f","properties":{"unsorted":false,"formattedCitation":"[29]","plainCitation":"[29]","noteIndex":0},"citationItems":[{"id":13608,"uris":["http://zotero.org/users/12598273/items/LPQHHLNW"],"itemData":{"id":13608,"type":"article-journal","citation-key":"huijgenCostEvaluationCO22007","container-title":"Energy Conversion and Management","DOI":"10.1016/j.enconman.2007.01.035","ISSN":"01968904","issue":"7","journalAbbreviation":"Energy Conversion and Management","language":"en","license":"https://www.elsevier.com/tdm/userlicense/1.0/","page":"1923-1935","source":"DOI.org (Crossref)","title":"Cost evaluation of CO2 sequestration by aqueous mineral carbonation","volume":"48","author":[{"family":"Huijgen","given":"Wouter J.J."},{"family":"Comans","given":"Rob N.J."},{"family":"Witkamp","given":"Geert-Jan"}],"issued":{"date-parts":[["2007",7]]}}}],"schema":"https://github.com/citation-style-language/schema/raw/master/csl-citation.json"} </w:instrText>
      </w:r>
      <w:r w:rsidRPr="00BE2023">
        <w:rPr>
          <w:lang w:val="en-GB"/>
        </w:rPr>
        <w:fldChar w:fldCharType="separate"/>
      </w:r>
      <w:r w:rsidR="002E66A0">
        <w:rPr>
          <w:noProof/>
          <w:lang w:val="en-GB"/>
        </w:rPr>
        <w:t>[29]</w:t>
      </w:r>
      <w:r w:rsidRPr="00BE2023">
        <w:rPr>
          <w:lang w:val="en-GB"/>
        </w:rPr>
        <w:fldChar w:fldCharType="end"/>
      </w:r>
      <w:r w:rsidRPr="00BE2023">
        <w:rPr>
          <w:lang w:val="en-GB"/>
        </w:rPr>
        <w:t xml:space="preserve">. </w:t>
      </w:r>
    </w:p>
    <w:p w14:paraId="5A78F90B" w14:textId="77777777" w:rsidR="00145BB2" w:rsidRPr="00BE2023" w:rsidRDefault="00145BB2" w:rsidP="00145BB2">
      <w:pPr>
        <w:rPr>
          <w:lang w:val="en-GB"/>
        </w:rPr>
      </w:pPr>
    </w:p>
    <w:p w14:paraId="6DF712F5" w14:textId="77777777" w:rsidR="00145BB2" w:rsidRPr="00BE2023" w:rsidRDefault="00145BB2" w:rsidP="002E66A0">
      <w:pPr>
        <w:pStyle w:val="Heading3"/>
      </w:pPr>
      <w:r w:rsidRPr="00BE2023">
        <w:t>2.3.3 Mechanical recycling unit</w:t>
      </w:r>
    </w:p>
    <w:p w14:paraId="3A9F2A6E" w14:textId="4A52C0C5" w:rsidR="00145BB2" w:rsidRPr="00145BB2" w:rsidRDefault="00145BB2" w:rsidP="00145BB2">
      <w:pPr>
        <w:rPr>
          <w:lang w:val="fr-CH"/>
        </w:rPr>
      </w:pPr>
      <w:r w:rsidRPr="00BE2023">
        <w:rPr>
          <w:lang w:val="en-GB"/>
        </w:rPr>
        <w:t xml:space="preserve">Mechanical recycling allows the plastic to be recycled without altering its structure, as there is no chemical reaction. This technology is suitable only for packaging PET waste streams and requires sorting to prevent contamination by other plastics and impurities </w:t>
      </w:r>
      <w:r w:rsidRPr="00BE2023">
        <w:rPr>
          <w:lang w:val="en-GB"/>
        </w:rPr>
        <w:fldChar w:fldCharType="begin"/>
      </w:r>
      <w:r w:rsidR="002E66A0">
        <w:rPr>
          <w:lang w:val="en-GB"/>
        </w:rPr>
        <w:instrText xml:space="preserve"> ADDIN ZOTERO_ITEM CSL_CITATION {"citationID":"ECmfxoww","properties":{"formattedCitation":"[6]","plainCitation":"[6]","noteIndex":0},"citationItems":[{"id":13456,"uris":["http://zotero.org/users/12598273/items/IZ7YPLFM"],"itemData":{"id":13456,"type":"article-journal","abstract":"Plastics consumption continues to steeply increase worldwide, while resultant waste is currently mostly landfilled, discarded to the environment, or incinerated. This significantly contributes to global warming and causes negative health and ecosystem effects. Increasing the circularity of plastics can reduce these impacts. This study investigated to which extent plastics’ circularity can be increased by mechanical recycling. For this purpose, future scenarios involving increased waste collection, improved product design, and improved waste sorting were assessed. The system studied consists of 11 plastic types in 69 product groups consumed and arising as waste in Switzerland. By means of a material flow analysis, the amounts of consumption, waste, and secondary material utilizable in product manufacturing were quantified for the year 2040. For the waste not mechanically recycled, treatment situations mainly involving energy recovery in waste-to-energy plants and cement kilns were modeled. A life cycle assessment of the complete plastic material flow system was conducted. We found that the mechanical recycling rate calculated based on the utilizable secondary material can be increased to up to 31%. This can lower the plastic carbon footprint by one quarter (1.3% of today’s total Swiss carbon footprint) compared to no recycling. Important barriers to a further increase of the recycling rate were inaccessibility, the large diversity of plastic grades, and contamination. The remaining impact at maximum recycling is mainly caused by polyurethanes, polypropylene, and polystyrene production. In conclusion, the potential of mechanical plastic recycling is limited, but it can, as one of several measures, contribute to combating climate change.","citation-key":"klotzPotentialsLimitsMechanical2023","container-title":"Journal of Industrial Ecology","DOI":"10.1111/jiec.13393","ISSN":"1088-1980, 1530-9290","issue":"4","journalAbbreviation":"J of Industrial Ecology","language":"en","page":"1043-1059","source":"DOI.org (Crossref)","title":"Potentials and limits of mechanical plastic recycling","volume":"27","author":[{"family":"Klotz","given":"Magdalena"},{"family":"Haupt","given":"Melanie"},{"family":"Hellweg","given":"Stefanie"}],"issued":{"date-parts":[["2023",8]]}}}],"schema":"https://github.com/citation-style-language/schema/raw/master/csl-citation.json"} </w:instrText>
      </w:r>
      <w:r w:rsidRPr="00BE2023">
        <w:rPr>
          <w:lang w:val="en-GB"/>
        </w:rPr>
        <w:fldChar w:fldCharType="separate"/>
      </w:r>
      <w:r w:rsidR="002E66A0">
        <w:rPr>
          <w:noProof/>
          <w:lang w:val="en-GB"/>
        </w:rPr>
        <w:t>[6]</w:t>
      </w:r>
      <w:r w:rsidRPr="00BE2023">
        <w:rPr>
          <w:lang w:val="en-GB"/>
        </w:rPr>
        <w:fldChar w:fldCharType="end"/>
      </w:r>
      <w:r w:rsidRPr="00BE2023">
        <w:rPr>
          <w:lang w:val="en-GB"/>
        </w:rPr>
        <w:t xml:space="preserve">. Compared to chemical recycling processes, this process operates at reduced temperatures, resulting in lower energy consumption </w:t>
      </w:r>
      <w:r w:rsidRPr="00BE2023">
        <w:rPr>
          <w:lang w:val="en-GB"/>
        </w:rPr>
        <w:fldChar w:fldCharType="begin"/>
      </w:r>
      <w:r w:rsidR="002E66A0">
        <w:rPr>
          <w:lang w:val="en-GB"/>
        </w:rPr>
        <w:instrText xml:space="preserve"> ADDIN ZOTERO_ITEM CSL_CITATION {"citationID":"eOibhUct","properties":{"formattedCitation":"[33]","plainCitation":"[33]","noteIndex":0},"citationItems":[{"id":13769,"uris":["http://zotero.org/groups/5859689/items/58UTA954"],"itemData":{"id":13769,"type":"report","citation-key":"quickerStatusPotentialsRisks2023","publisher":"FOEN","publisher-place":"Cologne","title":"Status, potentials and risks of   Chemical recycling of waste plastics","author":[{"family":"Quicker","given":"Peter"}],"issued":{"date-parts":[["2023"]]}}}],"schema":"https://github.com/citation-style-language/schema/raw/master/csl-citation.json"} </w:instrText>
      </w:r>
      <w:r w:rsidRPr="00BE2023">
        <w:rPr>
          <w:lang w:val="en-GB"/>
        </w:rPr>
        <w:fldChar w:fldCharType="separate"/>
      </w:r>
      <w:r w:rsidR="002E66A0">
        <w:rPr>
          <w:noProof/>
          <w:lang w:val="en-GB"/>
        </w:rPr>
        <w:t>[33]</w:t>
      </w:r>
      <w:r w:rsidRPr="00BE2023">
        <w:rPr>
          <w:lang w:val="en-GB"/>
        </w:rPr>
        <w:fldChar w:fldCharType="end"/>
      </w:r>
      <w:r w:rsidRPr="00BE2023">
        <w:rPr>
          <w:lang w:val="en-GB"/>
        </w:rPr>
        <w:t xml:space="preserve">. Mechanical recycling consists of several stages, and the process used in this work follows these steps: shredding, washing, milling, float-sink separation, mechanical and thermal drying, wind shifting, milling, and extrusion </w:t>
      </w:r>
      <w:r w:rsidRPr="00BE2023">
        <w:rPr>
          <w:lang w:val="en-GB"/>
        </w:rPr>
        <w:fldChar w:fldCharType="begin"/>
      </w:r>
      <w:r w:rsidR="002E66A0">
        <w:rPr>
          <w:lang w:val="en-GB"/>
        </w:rPr>
        <w:instrText xml:space="preserve"> ADDIN ZOTERO_ITEM CSL_CITATION {"citationID":"ohwGfAO7","properties":{"formattedCitation":"[34]","plainCitation":"[34]","noteIndex":0},"citationItems":[{"id":13465,"uris":["http://zotero.org/users/12598273/items/LXPVJQUE"],"itemData":{"id":13465,"type":"article-journal","abstract":"Increasing plastic recycling rates is crucial to tackle plastic pollution and reduce consumption of fossil resources. Recycling routes for post-consumer plastic fractions that are technologically and economically feasible remain a challenge. Profitable value chains for recycling mixed film and tray-like plastics have hardly been implemented today, in sharp contrast to recycling of relatively pure fractions such as polyethylene terephthalate and highdensity polyethylene bottles.","citation-key":"larrainTechnoeconomicAssessmentMechanical2021","container-title":"Resources, Conservation and Recycling","DOI":"10.1016/j.resconrec.2021.105607","ISSN":"09213449","journalAbbreviation":"Resources, Conservation and Recycling","language":"en","page":"105607","source":"DOI.org (Crossref)","title":"Techno-economic assessment of mechanical recycling of challenging post-consumer plastic packaging waste","volume":"170","author":[{"family":"Larrain","given":"Macarena"},{"family":"Van Passel","given":"Steven"},{"family":"Thomassen","given":"Gwenny"},{"family":"Van Gorp","given":"Bart"},{"family":"Nhu","given":"Trang T."},{"family":"Huysveld","given":"Sophie"},{"family":"Van Geem","given":"Kevin M."},{"family":"De Meester","given":"Steven"},{"family":"Billen","given":"Pieter"}],"issued":{"date-parts":[["2021",7]]}}}],"schema":"https://github.com/citation-style-language/schema/raw/master/csl-citation.json"} </w:instrText>
      </w:r>
      <w:r w:rsidRPr="00BE2023">
        <w:rPr>
          <w:lang w:val="en-GB"/>
        </w:rPr>
        <w:fldChar w:fldCharType="separate"/>
      </w:r>
      <w:r w:rsidR="002E66A0">
        <w:rPr>
          <w:noProof/>
          <w:lang w:val="fr-CH"/>
        </w:rPr>
        <w:t>[34]</w:t>
      </w:r>
      <w:r w:rsidRPr="00BE2023">
        <w:rPr>
          <w:lang w:val="en-GB"/>
        </w:rPr>
        <w:fldChar w:fldCharType="end"/>
      </w:r>
      <w:r w:rsidRPr="00145BB2">
        <w:rPr>
          <w:lang w:val="fr-CH"/>
        </w:rPr>
        <w:t xml:space="preserve">, </w:t>
      </w:r>
      <w:r w:rsidRPr="00BE2023">
        <w:rPr>
          <w:lang w:val="en-GB"/>
        </w:rPr>
        <w:fldChar w:fldCharType="begin"/>
      </w:r>
      <w:r w:rsidR="002E66A0">
        <w:rPr>
          <w:lang w:val="fr-CH"/>
        </w:rPr>
        <w:instrText xml:space="preserve"> ADDIN ZOTERO_ITEM CSL_CITATION {"citationID":"31nzJml0","properties":{"formattedCitation":"[35]","plainCitation":"[35]","noteIndex":0},"citationItems":[{"id":13396,"uris":["http://zotero.org/users/12598273/items/UL6MQQCP"],"itemData":{"id":13396,"type":"article-journal","abstract":"Plastic packaging waste faces increasingly stringent sustainability targets such as recycling rates of 55% imposed by the European Commission. To realize the vision of a circular economy, chemical recycling is advocated as a large-scale avenue to decrease fossil resource depletion and greenhouse gas (GHG) emissions. In this work, we develop a theoretical model for chemical recycling technologies assuming ideal performance. The theoretical model allows us to compute the minimal environmental impacts for chemical recycling technologies and compare them to real-case benchmark waste treatments. Thereby, we robustly identify chemical recycling technologies that will not result in environmental benefits, since their minimal environmental impacts are al­ ready higher than those of current benchmark waste treatments. In this way, we show that PET, HDPE, LDPE, PP and PS should not be recycled chemically to refinery feedstock or fuel products and rather be treated by me­ chanical recycling and energy recovery in cement kilns in order to reduce global warming impacts. In contrast, chemical recycling to monomers or value-added products could potentially reduce global warming impacts compared to all benchmark waste treatments by up to 4.3 kg CO2-eq per kg treated PET packaging waste. By analyzing 75 waste treatment scenarios for 5 environmental impacts, our analysis offers guidance to stake­ holders involved in chemical recycling to identify the most promising as well as the least promising chemical recycling technologies.","citation-key":"meysCircularEconomyPlastic2020a","container-title":"Resources, Conservation and Recycling","DOI":"10.1016/j.resconrec.2020.105010","ISSN":"09213449","journalAbbreviation":"Resources, Conservation and Recycling","language":"en","page":"105010","source":"DOI.org (Crossref)","title":"Towards a circular economy for plastic packaging wastes – the environmental potential of chemical recycling","volume":"162","author":[{"family":"Meys","given":"Raoul"},{"family":"Frick","given":"Felicitas"},{"family":"Westhues","given":"Stefan"},{"family":"Sternberg","given":"André"},{"family":"Klankermayer","given":"Jürgen"},{"family":"Bardow","given":"André"}],"issued":{"date-parts":[["2020",11]]}}}],"schema":"https://github.com/citation-style-language/schema/raw/master/csl-citation.json"} </w:instrText>
      </w:r>
      <w:r w:rsidRPr="00BE2023">
        <w:rPr>
          <w:lang w:val="en-GB"/>
        </w:rPr>
        <w:fldChar w:fldCharType="separate"/>
      </w:r>
      <w:r w:rsidR="002E66A0">
        <w:rPr>
          <w:noProof/>
          <w:lang w:val="fr-CH"/>
        </w:rPr>
        <w:t>[35]</w:t>
      </w:r>
      <w:r w:rsidRPr="00BE2023">
        <w:rPr>
          <w:lang w:val="en-GB"/>
        </w:rPr>
        <w:fldChar w:fldCharType="end"/>
      </w:r>
      <w:r w:rsidRPr="00145BB2">
        <w:rPr>
          <w:lang w:val="fr-CH"/>
        </w:rPr>
        <w:t xml:space="preserve">, </w:t>
      </w:r>
      <w:r w:rsidRPr="00BE2023">
        <w:rPr>
          <w:lang w:val="en-GB"/>
        </w:rPr>
        <w:fldChar w:fldCharType="begin"/>
      </w:r>
      <w:r w:rsidR="002E66A0">
        <w:rPr>
          <w:lang w:val="fr-CH"/>
        </w:rPr>
        <w:instrText xml:space="preserve"> ADDIN ZOTERO_ITEM CSL_CITATION {"citationID":"3ELPb6Ti","properties":{"formattedCitation":"[36]","plainCitation":"[36]","noteIndex":0},"citationItems":[{"id":13452,"uris":["http://zotero.org/users/12598273/items/77LQ6EVC"],"itemData":{"id":13452,"type":"article-journal","abstract":"The recycling network of post-consumer plastic packaging waste (PCPPW) was studied for the Netherlands in 2017 with material ﬂow analysis (MFA) and data reconciliation techniques. In comparison to the previous MFA of the PCPPW recycling network in 2014, the predominant change is the expansion of the collection portfolio from only plastic packages to plastic packages, beverage cartons and metal objects. The analysis shows that the amounts of recycled plastics products (as main washed milled goods) increased from 75 to 103 Gg net and the average polymeric purity of the recycled products remained nearly constant. Furthermore, the rise in the amounts of recycled products was accompanied with a rise in the total amount of rejected materials at cross docking facilities and sorting residues at the sorting facilities. This total amount grew from 19 Gg in 2014 to 70 Gg gross in 2017 and is over-proportional to the rise in recycled products. Hence, there is a clear trade-off between the growth in recycled plastics produced and the growth in rejects and residues. Additionally, since the polymeric purity of the recycled plastics did not signiﬁcantly improve during the last years, most of the recycled plastics from PCPPW are still only suited for open-loop recycling. Although this recycling system for PCPPW is relatively advanced in Europe, it cannot be considered circular, since the net recycling yield is only 26 ± 2% and the average polymeric purity of the recycled plastics is 90 ± 7%.","citation-key":"brouwerImpactCollectionPortfolio2019","container-title":"Waste Management","language":"en","source":"Zotero","title":"The impact of collection portfolio expansion on key performance indicators of the Dutch recycling system for Post-Consumer Plastic Packaging Waste, a comparison between 2014 and 2017","author":[{"family":"Brouwer","given":"Marieke"}],"issued":{"date-parts":[["2019"]]}}}],"schema":"https://github.com/citation-style-language/schema/raw/master/csl-citation.json"} </w:instrText>
      </w:r>
      <w:r w:rsidRPr="00BE2023">
        <w:rPr>
          <w:lang w:val="en-GB"/>
        </w:rPr>
        <w:fldChar w:fldCharType="separate"/>
      </w:r>
      <w:r w:rsidR="002E66A0">
        <w:rPr>
          <w:noProof/>
          <w:lang w:val="fr-CH"/>
        </w:rPr>
        <w:t>[36]</w:t>
      </w:r>
      <w:r w:rsidRPr="00BE2023">
        <w:rPr>
          <w:lang w:val="en-GB"/>
        </w:rPr>
        <w:fldChar w:fldCharType="end"/>
      </w:r>
      <w:r w:rsidRPr="00145BB2">
        <w:rPr>
          <w:lang w:val="fr-CH"/>
        </w:rPr>
        <w:t>.</w:t>
      </w:r>
    </w:p>
    <w:p w14:paraId="072B8752" w14:textId="77777777" w:rsidR="00145BB2" w:rsidRPr="00145BB2" w:rsidRDefault="00145BB2" w:rsidP="00145BB2">
      <w:pPr>
        <w:rPr>
          <w:i/>
          <w:iCs/>
          <w:lang w:val="fr-CH"/>
        </w:rPr>
      </w:pPr>
    </w:p>
    <w:p w14:paraId="2BF30199" w14:textId="77777777" w:rsidR="00145BB2" w:rsidRPr="002E66A0" w:rsidRDefault="00145BB2" w:rsidP="002E66A0">
      <w:pPr>
        <w:pStyle w:val="Heading3"/>
      </w:pPr>
      <w:r w:rsidRPr="002E66A0">
        <w:t>2.3.4 Chemical recycling</w:t>
      </w:r>
    </w:p>
    <w:p w14:paraId="249115E3" w14:textId="4081D85C" w:rsidR="00145BB2" w:rsidRPr="00BE2023" w:rsidRDefault="00145BB2" w:rsidP="00145BB2">
      <w:pPr>
        <w:rPr>
          <w:b/>
          <w:bCs/>
          <w:lang w:val="en-GB"/>
        </w:rPr>
      </w:pPr>
      <w:r w:rsidRPr="00BE2023">
        <w:rPr>
          <w:lang w:val="en-GB"/>
        </w:rPr>
        <w:t xml:space="preserve">The chemical recycling routes studied rely on the depolymerization of PET into its primary monomers and repolymerisation of them </w:t>
      </w:r>
      <w:r w:rsidRPr="00BE2023">
        <w:rPr>
          <w:lang w:val="en-GB"/>
        </w:rPr>
        <w:fldChar w:fldCharType="begin"/>
      </w:r>
      <w:r w:rsidR="002E66A0">
        <w:rPr>
          <w:lang w:val="en-GB"/>
        </w:rPr>
        <w:instrText xml:space="preserve"> ADDIN ZOTERO_ITEM CSL_CITATION {"citationID":"QqappE8P","properties":{"formattedCitation":"[37]","plainCitation":"[37]","noteIndex":0},"citationItems":[{"id":13113,"uris":["http://zotero.org/users/12598273/items/WBF4HRAX"],"itemData":{"id":13113,"type":"article-journal","abstract":"Poly(ethylene terephthalate) (PET) is the most widely produced thermoplastic and is used in drink bottles, packaging, and textiles. Chemical depolymerization represents a way to recycle PET that is robust to the low purity and quality of some waste PET sources. This work investigates the three primary routes to depolymerize PET into feedstocks used to produce the PET polymer: methanolysis, glycolysis, and hydrolysis. This work is unique in providing a thorough review of the depolymerization thermodynamics, chemistry, purification strategies, and design of PET depolymerization processes from an industrial perspective. This work provides detailed descriptions of different variants of PET depolymerization processes. We summarize available data necessary to design a PET depolymerization process and indicate where gaps in data exist. We demonstrate the importance of separation and purification sections of the process, which are rarely addressed in academic literature. We also demonstrate different designs and strategies that industrial technologies employ to address challenges.","citation-key":"mcneeleyAssessmentPETDepolymerization2024a","container-title":"Industrial &amp; Engineering Chemistry Research","DOI":"10.1021/acs.iecr.3c04000","ISSN":"0888-5885, 1520-5045","issue":"8","journalAbbreviation":"Ind. Eng. Chem. Res.","language":"en","license":"https://doi.org/10.15223/policy-029","page":"3355-3399","source":"DOI.org (Crossref)","title":"Assessment of PET Depolymerization Processes for Circular Economy. 1. Thermodynamics, Chemistry, Purification, and Process Design","volume":"63","author":[{"family":"McNeeley","given":"Adam"},{"family":"Liu","given":"Y. A."}],"issued":{"date-parts":[["2024",2,28]]}}}],"schema":"https://github.com/citation-style-language/schema/raw/master/csl-citation.json"} </w:instrText>
      </w:r>
      <w:r w:rsidRPr="00BE2023">
        <w:rPr>
          <w:lang w:val="en-GB"/>
        </w:rPr>
        <w:fldChar w:fldCharType="separate"/>
      </w:r>
      <w:r w:rsidR="002E66A0">
        <w:rPr>
          <w:noProof/>
          <w:lang w:val="en-GB"/>
        </w:rPr>
        <w:t>[37]</w:t>
      </w:r>
      <w:r w:rsidRPr="00BE2023">
        <w:rPr>
          <w:lang w:val="en-GB"/>
        </w:rPr>
        <w:fldChar w:fldCharType="end"/>
      </w:r>
      <w:r w:rsidRPr="00BE2023">
        <w:rPr>
          <w:lang w:val="en-GB"/>
        </w:rPr>
        <w:t xml:space="preserve">, </w:t>
      </w:r>
      <w:r w:rsidRPr="00BE2023">
        <w:rPr>
          <w:lang w:val="en-GB"/>
        </w:rPr>
        <w:fldChar w:fldCharType="begin"/>
      </w:r>
      <w:r w:rsidR="002E66A0">
        <w:rPr>
          <w:lang w:val="en-GB"/>
        </w:rPr>
        <w:instrText xml:space="preserve"> ADDIN ZOTERO_ITEM CSL_CITATION {"citationID":"OUBsHFF1","properties":{"formattedCitation":"[30]","plainCitation":"[30]","noteIndex":0},"citationItems":[{"id":13741,"uris":["http://zotero.org/groups/5859689/items/T8SU3329"],"itemData":{"id":13741,"type":"article-journal","citation-key":"uekertTechnicalEconomicEnvironmental2023","container-title":"ACS Sustainable Chemistry &amp; Engineering","DOI":"10.1021/acssuschemeng.2c05497","ISSN":"2168-0485, 2168-0485","issue":"3","journalAbbreviation":"ACS Sustainable Chem. Eng.","language":"en","license":"https://creativecommons.org/licenses/by/4.0/","page":"965-978","source":"DOI.org (Crossref)","title":"Technical, Economic, and Environmental Comparison of Closed-Loop Recycling Technologies for Common Plastics","volume":"11","author":[{"family":"Uekert","given":"Taylor"},{"family":"Singh","given":"Avantika"},{"family":"DesVeaux","given":"Jason S."},{"family":"Ghosh","given":"Tapajyoti"},{"family":"Bhatt","given":"Arpit"},{"family":"Yadav","given":"Geetanjali"},{"family":"Afzal","given":"Shaik"},{"family":"Walzberg","given":"Julien"},{"family":"Knauer","given":"Katrina M."},{"family":"Nicholson","given":"Scott R."},{"family":"Beckham","given":"Gregg T."},{"family":"Carpenter","given":"Alberta C."}],"issued":{"date-parts":[["2023",1,23]]}}}],"schema":"https://github.com/citation-style-language/schema/raw/master/csl-citation.json"} </w:instrText>
      </w:r>
      <w:r w:rsidRPr="00BE2023">
        <w:rPr>
          <w:lang w:val="en-GB"/>
        </w:rPr>
        <w:fldChar w:fldCharType="separate"/>
      </w:r>
      <w:r w:rsidR="002E66A0">
        <w:rPr>
          <w:noProof/>
          <w:lang w:val="en-GB"/>
        </w:rPr>
        <w:t>[30]</w:t>
      </w:r>
      <w:r w:rsidRPr="00BE2023">
        <w:rPr>
          <w:lang w:val="en-GB"/>
        </w:rPr>
        <w:fldChar w:fldCharType="end"/>
      </w:r>
      <w:r w:rsidRPr="00BE2023">
        <w:rPr>
          <w:lang w:val="en-GB"/>
        </w:rPr>
        <w:t xml:space="preserve">. These processes are applicable to all types of PET wastes, as they can handle contaminated and multi-material wastes </w:t>
      </w:r>
      <w:r w:rsidRPr="00BE2023">
        <w:rPr>
          <w:lang w:val="en-GB"/>
        </w:rPr>
        <w:fldChar w:fldCharType="begin"/>
      </w:r>
      <w:r w:rsidR="002E66A0">
        <w:rPr>
          <w:lang w:val="en-GB"/>
        </w:rPr>
        <w:instrText xml:space="preserve"> ADDIN ZOTERO_ITEM CSL_CITATION {"citationID":"NezdMWku","properties":{"formattedCitation":"[38]","plainCitation":"[38]","noteIndex":0},"citationItems":[{"id":13989,"uris":["http://zotero.org/users/12598273/items/5HG6TNBZ"],"itemData":{"id":13989,"type":"article-journal","citation-key":"tanakaLowtemperatureCatalyticMethanolysis2025","container-title":"Journal of the Japan Petroleum Institute","DOI":"10.1627/jpi.68.195","ISSN":"1346-8804, 1349-273X","issue":"5","journalAbbreviation":"J. Jpn. Petrol. Inst.","language":"en","page":"195-201","source":"DOI.org (Crossref)","title":"Low-temperature Catalytic Methanolysis of Polyesters Promoted by Abundant Methyl Esters","volume":"68","author":[{"family":"Tanaka","given":"Shinji"},{"family":"Kuragano","given":"Takashi"},{"family":"Choi","given":"Jun-Chul"}],"issued":{"date-parts":[["2025",9,1]]}}}],"schema":"https://github.com/citation-style-language/schema/raw/master/csl-citation.json"} </w:instrText>
      </w:r>
      <w:r w:rsidRPr="00BE2023">
        <w:rPr>
          <w:lang w:val="en-GB"/>
        </w:rPr>
        <w:fldChar w:fldCharType="separate"/>
      </w:r>
      <w:r w:rsidR="002E66A0">
        <w:rPr>
          <w:noProof/>
          <w:lang w:val="en-GB"/>
        </w:rPr>
        <w:t>[38]</w:t>
      </w:r>
      <w:r w:rsidRPr="00BE2023">
        <w:rPr>
          <w:lang w:val="en-GB"/>
        </w:rPr>
        <w:fldChar w:fldCharType="end"/>
      </w:r>
      <w:r w:rsidRPr="00BE2023">
        <w:rPr>
          <w:lang w:val="en-GB"/>
        </w:rPr>
        <w:t xml:space="preserve">, </w:t>
      </w:r>
      <w:r w:rsidRPr="00BE2023">
        <w:rPr>
          <w:lang w:val="en-GB"/>
        </w:rPr>
        <w:fldChar w:fldCharType="begin"/>
      </w:r>
      <w:r w:rsidR="002E66A0">
        <w:rPr>
          <w:lang w:val="en-GB"/>
        </w:rPr>
        <w:instrText xml:space="preserve"> ADDIN ZOTERO_ITEM CSL_CITATION {"citationID":"8NTxqSVI","properties":{"formattedCitation":"[39]","plainCitation":"[39]","noteIndex":0},"citationItems":[{"id":13990,"uris":["http://zotero.org/users/12598273/items/3J7W2DXS"],"itemData":{"id":13990,"type":"article-journal","citation-key":"crippaPETDepolymerizationNovel2020","DOI":"https://doi.org/10.1016/B978-0-444-64337-7.00012-4","page":"pp. 215-229","publisher":"Studies in surface science and catalysis","title":"PET depolymerization: a novel process for plastic waste chemical recycling","volume":"179","author":[{"family":"Crippa","given":"M"},{"family":"Morico","given":"B"}],"issued":{"date-parts":[["2020"]]}}}],"schema":"https://github.com/citation-style-language/schema/raw/master/csl-citation.json"} </w:instrText>
      </w:r>
      <w:r w:rsidRPr="00BE2023">
        <w:rPr>
          <w:lang w:val="en-GB"/>
        </w:rPr>
        <w:fldChar w:fldCharType="separate"/>
      </w:r>
      <w:r w:rsidR="002E66A0">
        <w:rPr>
          <w:noProof/>
          <w:lang w:val="en-GB"/>
        </w:rPr>
        <w:t>[39]</w:t>
      </w:r>
      <w:r w:rsidRPr="00BE2023">
        <w:rPr>
          <w:lang w:val="en-GB"/>
        </w:rPr>
        <w:fldChar w:fldCharType="end"/>
      </w:r>
      <w:r w:rsidRPr="00BE2023">
        <w:rPr>
          <w:lang w:val="en-GB"/>
        </w:rPr>
        <w:t xml:space="preserve">. Three conversion pathways are considered in this study and were first </w:t>
      </w:r>
      <w:proofErr w:type="spellStart"/>
      <w:r w:rsidRPr="00BE2023">
        <w:rPr>
          <w:lang w:val="en-GB"/>
        </w:rPr>
        <w:t>modeled</w:t>
      </w:r>
      <w:proofErr w:type="spellEnd"/>
      <w:r w:rsidRPr="00BE2023">
        <w:rPr>
          <w:lang w:val="en-GB"/>
        </w:rPr>
        <w:t xml:space="preserve"> in Aspen® Plus v11: enzymatic hydrolysis, glycolysis, and methanolysis. Detailed process descriptions, including process flow diagrams, Aspen models, and mass balance diagrams, are provided in </w:t>
      </w:r>
      <w:proofErr w:type="spellStart"/>
      <w:r w:rsidRPr="00BE2023">
        <w:rPr>
          <w:lang w:val="en-GB"/>
        </w:rPr>
        <w:t>SI_modeling</w:t>
      </w:r>
      <w:proofErr w:type="spellEnd"/>
      <w:r w:rsidRPr="00BE2023">
        <w:rPr>
          <w:lang w:val="en-GB"/>
        </w:rPr>
        <w:t xml:space="preserve"> and </w:t>
      </w:r>
      <w:proofErr w:type="spellStart"/>
      <w:r w:rsidRPr="00BE2023">
        <w:rPr>
          <w:lang w:val="en-GB"/>
        </w:rPr>
        <w:t>SI_data_technologies</w:t>
      </w:r>
      <w:proofErr w:type="spellEnd"/>
      <w:r w:rsidRPr="00BE2023">
        <w:rPr>
          <w:color w:val="EE0000"/>
          <w:lang w:val="en-GB"/>
        </w:rPr>
        <w:t xml:space="preserve"> </w:t>
      </w:r>
      <w:r w:rsidRPr="00BE2023">
        <w:rPr>
          <w:color w:val="000000" w:themeColor="text1"/>
          <w:lang w:val="en-GB"/>
        </w:rPr>
        <w:fldChar w:fldCharType="begin"/>
      </w:r>
      <w:r w:rsidR="002E66A0">
        <w:rPr>
          <w:color w:val="000000" w:themeColor="text1"/>
          <w:lang w:val="en-GB"/>
        </w:rPr>
        <w:instrText xml:space="preserve"> ADDIN ZOTERO_ITEM CSL_CITATION {"citationID":"SgvAZ3NG","properties":{"formattedCitation":"[8]","plainCitation":"[8]","noteIndex":0},"citationItems":[{"id":416,"uris":["http://zotero.org/groups/278069/items/B2WSA4DW"],"itemData":{"id":416,"type":"book","citation-key":"towlerPrinciplesPracticeEconomics2012a","ISBN":"978-0-7506-8423-1","note":"ZSCC: 0000002","title":"Principles, practice and economics of plant and process design","volume":"2nd ed. Butterworth-Heinemann","author":[{"family":"Towler","given":"Gavin P."},{"family":"Sinnott","given":"Ray"}],"issued":{"date-parts":[["2012"]]}}}],"schema":"https://github.com/citation-style-language/schema/raw/master/csl-citation.json"} </w:instrText>
      </w:r>
      <w:r w:rsidRPr="00BE2023">
        <w:rPr>
          <w:color w:val="000000" w:themeColor="text1"/>
          <w:lang w:val="en-GB"/>
        </w:rPr>
        <w:fldChar w:fldCharType="separate"/>
      </w:r>
      <w:r w:rsidR="002E66A0">
        <w:rPr>
          <w:noProof/>
          <w:color w:val="000000" w:themeColor="text1"/>
          <w:lang w:val="en-GB"/>
        </w:rPr>
        <w:t>[8]</w:t>
      </w:r>
      <w:r w:rsidRPr="00BE2023">
        <w:rPr>
          <w:color w:val="000000" w:themeColor="text1"/>
          <w:lang w:val="en-GB"/>
        </w:rPr>
        <w:fldChar w:fldCharType="end"/>
      </w:r>
      <w:r w:rsidRPr="00BE2023">
        <w:rPr>
          <w:color w:val="000000" w:themeColor="text1"/>
          <w:lang w:val="en-GB"/>
        </w:rPr>
        <w:t xml:space="preserve">, </w:t>
      </w:r>
      <w:r w:rsidRPr="00BE2023">
        <w:rPr>
          <w:color w:val="000000" w:themeColor="text1"/>
          <w:lang w:val="en-GB"/>
        </w:rPr>
        <w:fldChar w:fldCharType="begin"/>
      </w:r>
      <w:r w:rsidR="002E66A0">
        <w:rPr>
          <w:color w:val="000000" w:themeColor="text1"/>
          <w:lang w:val="en-GB"/>
        </w:rPr>
        <w:instrText xml:space="preserve"> ADDIN ZOTERO_ITEM CSL_CITATION {"citationID":"6w7Zgk1d","properties":{"formattedCitation":"[40]","plainCitation":"[40]","noteIndex":0},"citationItems":[{"id":9424,"uris":["http://zotero.org/groups/278069/items/678LMPKU"],"itemData":{"id":9424,"type":"article-journal","citation-key":"dardor2023rosmose","container-title":"Proceedings of ECOS 2023","title":"ROSMOSE: A web-based optimization tool to aid decision-making for the design and operation of industrial and urban energy systems","author":[{"family":"Dardor","given":"Dareen"},{"family":"Florez Orrego","given":"Daniel Alexander"},{"family":"Terrier","given":"Cédric"},{"family":"Ribeiro Domingos","given":"Meire Ellen Gorete"},{"family":"Lopez","given":"Michel"},{"family":"Maréchal","given":"François"}],"issued":{"date-parts":[["2023"]]}}}],"schema":"https://github.com/citation-style-language/schema/raw/master/csl-citation.json"} </w:instrText>
      </w:r>
      <w:r w:rsidRPr="00BE2023">
        <w:rPr>
          <w:color w:val="000000" w:themeColor="text1"/>
          <w:lang w:val="en-GB"/>
        </w:rPr>
        <w:fldChar w:fldCharType="separate"/>
      </w:r>
      <w:r w:rsidR="002E66A0">
        <w:rPr>
          <w:noProof/>
          <w:color w:val="000000" w:themeColor="text1"/>
          <w:lang w:val="en-GB"/>
        </w:rPr>
        <w:t>[40]</w:t>
      </w:r>
      <w:r w:rsidRPr="00BE2023">
        <w:rPr>
          <w:color w:val="000000" w:themeColor="text1"/>
          <w:lang w:val="en-GB"/>
        </w:rPr>
        <w:fldChar w:fldCharType="end"/>
      </w:r>
      <w:r w:rsidRPr="00BE2023">
        <w:rPr>
          <w:lang w:val="en-GB"/>
        </w:rPr>
        <w:t xml:space="preserve">. Prior to depolymerization, PET waste in the form of postconsumer plastic bale is mechanically pretreated into small flakes. </w:t>
      </w:r>
    </w:p>
    <w:p w14:paraId="6D016DFE" w14:textId="77777777" w:rsidR="00145BB2" w:rsidRPr="00BE2023" w:rsidRDefault="00145BB2" w:rsidP="00145BB2">
      <w:pPr>
        <w:rPr>
          <w:lang w:val="en-GB"/>
        </w:rPr>
      </w:pPr>
    </w:p>
    <w:p w14:paraId="6AE5A2E1" w14:textId="77777777" w:rsidR="00145BB2" w:rsidRPr="00BE2023" w:rsidRDefault="00145BB2" w:rsidP="00145BB2">
      <w:pPr>
        <w:pStyle w:val="NoSpacing"/>
        <w:rPr>
          <w:b/>
          <w:bCs/>
          <w:lang w:val="en-GB"/>
        </w:rPr>
      </w:pPr>
      <w:r w:rsidRPr="00BE2023">
        <w:rPr>
          <w:b/>
          <w:bCs/>
          <w:lang w:val="en-GB"/>
        </w:rPr>
        <w:t>Enzymatic PET depolymerisation</w:t>
      </w:r>
    </w:p>
    <w:p w14:paraId="06A68A74" w14:textId="1684F85B" w:rsidR="00145BB2" w:rsidRPr="002E66A0" w:rsidRDefault="00145BB2" w:rsidP="00145BB2">
      <w:pPr>
        <w:pStyle w:val="NoSpacing"/>
        <w:jc w:val="both"/>
        <w:rPr>
          <w:color w:val="000000"/>
          <w:lang w:val="fr-CH"/>
        </w:rPr>
      </w:pPr>
      <w:r w:rsidRPr="00BE2023">
        <w:rPr>
          <w:lang w:val="en-GB"/>
        </w:rPr>
        <w:t xml:space="preserve">Enzymatic PET depolymerization is </w:t>
      </w:r>
      <w:proofErr w:type="spellStart"/>
      <w:r w:rsidRPr="00BE2023">
        <w:rPr>
          <w:lang w:val="en-GB"/>
        </w:rPr>
        <w:t>modeled</w:t>
      </w:r>
      <w:proofErr w:type="spellEnd"/>
      <w:r w:rsidRPr="00BE2023">
        <w:rPr>
          <w:lang w:val="en-GB"/>
        </w:rPr>
        <w:t xml:space="preserve"> using esterase-type enzymes (</w:t>
      </w:r>
      <w:proofErr w:type="spellStart"/>
      <w:r w:rsidRPr="00BE2023">
        <w:rPr>
          <w:lang w:val="en-GB"/>
        </w:rPr>
        <w:t>cutinase</w:t>
      </w:r>
      <w:proofErr w:type="spellEnd"/>
      <w:r w:rsidRPr="00BE2023">
        <w:rPr>
          <w:lang w:val="en-GB"/>
        </w:rPr>
        <w:t xml:space="preserve">) </w:t>
      </w:r>
      <w:proofErr w:type="spellStart"/>
      <w:r w:rsidRPr="00BE2023">
        <w:rPr>
          <w:lang w:val="en-GB"/>
        </w:rPr>
        <w:t>catalyzing</w:t>
      </w:r>
      <w:proofErr w:type="spellEnd"/>
      <w:r w:rsidRPr="00BE2023">
        <w:rPr>
          <w:lang w:val="en-GB"/>
        </w:rPr>
        <w:t xml:space="preserve"> the hydrolysis of PET into terephthalic acid (TPA) and ethylene glycol (EG), following Reaction 1 (R1) </w:t>
      </w:r>
      <w:r w:rsidRPr="00BE2023">
        <w:rPr>
          <w:lang w:val="en-GB"/>
        </w:rPr>
        <w:fldChar w:fldCharType="begin"/>
      </w:r>
      <w:r w:rsidR="002E66A0">
        <w:rPr>
          <w:lang w:val="en-GB"/>
        </w:rPr>
        <w:instrText xml:space="preserve"> ADDIN ZOTERO_ITEM CSL_CITATION {"citationID":"FkGKEwzu","properties":{"formattedCitation":"[41]","plainCitation":"[41]","noteIndex":0},"citationItems":[{"id":13973,"uris":["http://zotero.org/users/12598273/items/QFQRDVWX"],"itemData":{"id":13973,"type":"article-journal","abstract":"Plastic or microplastic pollution is a global threat affecting ecosystems, with the current generation reaching as much as 400 metric tons per/year. Soil ecosystems comprising agricultural lands act as microplastics sinks, though the impact could be unexpectedly more far-reaching. This is troubling as most plastic forms, such as polyethylene terephthalate (PET), formed from polymerized terephthalic acid (TPA) and ethylene glycol (EG) monomers, are non-biodegradable environmental pollutants. The current approach to use mechanical, thermal, and chemical-based treatments to reduce PET waste remains cost-prohibitive and could potentially produce toxic secondary pollutants. Thus, better remediation methods must be developed to deal with plastic pollutants in marine and terrestrial environments. Enzymatic treatments could be a plausible avenue to overcome plastic pollutants, given the near-ambient conditions under which enzymes function without the need for chemicals. The discovery of several PET hydrolases, along with further modiﬁcation of the enzymes, has considerably aided efforts to improve their ability to degrade the ester bond of PET. Hence, this review emphasizes PET-degrading microbial hydrolases and their contribution to alleviating environmental microplastics. Information on the molecular and degradation mechanisms of PET is also highlighted in this review, which might be useful in the future rational engineering of PEThydrolyzing enzymes.","citation-key":"khairulanuarOverviewPolyethyleneTerephthalate2022","container-title":"International Journal of Molecular Sciences","DOI":"10.3390/ijms232012644","ISSN":"1422-0067","issue":"20","journalAbbreviation":"IJMS","language":"en","page":"12644","source":"DOI.org (Crossref)","title":"An Overview into Polyethylene Terephthalate (PET) Hydrolases and Efforts in Tailoring Enzymes for Improved Plastic Degradation","volume":"23","author":[{"family":"Khairul Anuar","given":"Nurul Fatin Syamimi"},{"family":"Huyop","given":"Fahrul"},{"family":"Ur-Rehman","given":"Ghani"},{"family":"Abdullah","given":"Faizuan"},{"family":"Normi","given":"Yahaya M."},{"family":"Sabullah","given":"Mohd Khalizan"},{"family":"Abdul Wahab","given":"Roswanira"}],"issued":{"date-parts":[["2022",10,20]]}}}],"schema":"https://github.com/citation-style-language/schema/raw/master/csl-citation.json"} </w:instrText>
      </w:r>
      <w:r w:rsidRPr="00BE2023">
        <w:rPr>
          <w:lang w:val="en-GB"/>
        </w:rPr>
        <w:fldChar w:fldCharType="separate"/>
      </w:r>
      <w:r w:rsidR="002E66A0">
        <w:rPr>
          <w:noProof/>
          <w:lang w:val="en-GB"/>
        </w:rPr>
        <w:t>[41]</w:t>
      </w:r>
      <w:r w:rsidRPr="00BE2023">
        <w:rPr>
          <w:lang w:val="en-GB"/>
        </w:rPr>
        <w:fldChar w:fldCharType="end"/>
      </w:r>
      <w:r w:rsidRPr="00BE2023">
        <w:rPr>
          <w:lang w:val="en-GB"/>
        </w:rPr>
        <w:t xml:space="preserve">, </w:t>
      </w:r>
      <w:r w:rsidRPr="00BE2023">
        <w:rPr>
          <w:lang w:val="en-GB"/>
        </w:rPr>
        <w:fldChar w:fldCharType="begin"/>
      </w:r>
      <w:r w:rsidR="002E66A0">
        <w:rPr>
          <w:lang w:val="en-GB"/>
        </w:rPr>
        <w:instrText xml:space="preserve"> ADDIN ZOTERO_ITEM CSL_CITATION {"citationID":"mIlNRO2D","properties":{"formattedCitation":"[42]","plainCitation":"[42]","noteIndex":0},"citationItems":[{"id":13975,"uris":["http://zotero.org/users/12598273/items/QTJH492C"],"itemData":{"id":13975,"type":"article-journal","abstract":"Polyethylene terephthalate (PET) hydrolase is a challenging target as PET is a commonly used plastic that is extremely resistant to enzymatic attack. Since the discovery of a PET hydrolase from Thermobif ida f usca in 2005, novel PET hydrolases and their availability toward waste PET have been investigated. At present, at least four thermophilic cutinases are known as PET hydrolases that could be used for the management of amorphous PET waste, such as packaging materials. Heat-labile PETase from Ideonella sakaiensis and its homologues from mesophilic bacteria exist in the environment. However, PET can be eﬃciently hydrolyzed with thermophilic hydrolases. This Review focuses on the current state of PET hydrolases and the potential of their application. Contrary to an amorphous PET, the enzymatic hydrolysis of crystalline PET (particularly PET bottles) remains to be fully elucidated. It cannot be assured whether the biorecycling of general PET would be put into practice in the near future, but the plan is getting closer to the goal. PET hydrolases can be versatile polyesterases as they can hydrolyze not only PET but also other polyesters. Additionally, the thermostability of PET hydrolases is advantageous to their application in terms of reaction speed and durability.","citation-key":"kawaiCurrentStatePerspectives2020","container-title":"ACS Sustainable Chemistry &amp; Engineering","DOI":"10.1021/acssuschemeng.0c01638","ISSN":"2168-0485, 2168-0485","issue":"24","journalAbbreviation":"ACS Sustainable Chem. Eng.","language":"en","license":"https://doi.org/10.15223/policy-029","page":"8894-8908","source":"DOI.org (Crossref)","title":"Current State and Perspectives Related to the Polyethylene Terephthalate Hydrolases Available for Biorecycling","volume":"8","author":[{"family":"Kawai","given":"Fusako"},{"family":"Kawabata","given":"Takeshi"},{"family":"Oda","given":"Masayuki"}],"issued":{"date-parts":[["2020",6,22]]}}}],"schema":"https://github.com/citation-style-language/schema/raw/master/csl-citation.json"} </w:instrText>
      </w:r>
      <w:r w:rsidRPr="00BE2023">
        <w:rPr>
          <w:lang w:val="en-GB"/>
        </w:rPr>
        <w:fldChar w:fldCharType="separate"/>
      </w:r>
      <w:r w:rsidR="002E66A0">
        <w:rPr>
          <w:noProof/>
          <w:lang w:val="fr-CH"/>
        </w:rPr>
        <w:t>[42]</w:t>
      </w:r>
      <w:r w:rsidRPr="00BE2023">
        <w:rPr>
          <w:lang w:val="en-GB"/>
        </w:rPr>
        <w:fldChar w:fldCharType="end"/>
      </w:r>
      <w:r w:rsidRPr="002E66A0">
        <w:rPr>
          <w:lang w:val="fr-CH"/>
        </w:rPr>
        <w:t xml:space="preserve">, </w:t>
      </w:r>
      <w:r w:rsidRPr="00BE2023">
        <w:rPr>
          <w:lang w:val="en-GB"/>
        </w:rPr>
        <w:fldChar w:fldCharType="begin"/>
      </w:r>
      <w:r w:rsidR="002E66A0">
        <w:rPr>
          <w:lang w:val="fr-CH"/>
        </w:rPr>
        <w:instrText xml:space="preserve"> ADDIN ZOTERO_ITEM CSL_CITATION {"citationID":"0SkT9iDW","properties":{"formattedCitation":"[43]","plainCitation":"[43]","noteIndex":0},"citationItems":[{"id":13977,"uris":["http://zotero.org/users/12598273/items/TEWBE2QF"],"itemData":{"id":13977,"type":"article-journal","abstract":"Pollution by plastics such as polyethylene (PE), polypropylene (PP), polyvinyl chloride (PVC), polyurethane (PUR), polyamide (PA), polystyrene (PS), and poly(ethylene terephthalate) (PET) is now gaining worldwide attention as a critical environmental issue, closely linked to climate change. Among them, PET is particularly prone to hydrolysis, breaking down into its constituents, ethylene glycol (EG) and terephthalate (TPA). Biorecycling or bioupcycling stands out as one of the most promising methods for addressing PET pollution. For dealing with pollution by the macrosize PET, a French company Carbios has developed a pilot-scale plant for biorecycling waste PET beverage bottles into new bottles using derivatives of thermophilic leaf compost cutinase (LCC). However, this system still provides significant challenges in its practical implementation. For the micro- or nanosize PET pollution that poses significant human health risks, including cancer, no industrial-scale approach has been established so far, despite the need to develop such technologies. In this Perspective, we explore the enhancement of the low activity and thermostability of the enzyme PETase to match that of LCC, along with the potential application of microbes and enzymes for the treatment of waste PET as microplastics. Additionally, we discuss the shortcomings of the current biorecycling protocols from a life cycle assessment perspective, covering aspects such as the diversity of PET-hydrolyzing enzymes in nature, the catalytic mechanism for crystallized PET, and more. We also provide an overview of the Ideonella sakaiensis system, highlighting its ability to operate and grow at moderate temperatures, in contrast to hightemperature processes.","citation-key":"odaDevelopmentEnzymeBasedApproaches2024","container-title":"Biochemistry","DOI":"10.1021/acs.biochem.3c00554","ISSN":"0006-2960, 1520-4995","journalAbbreviation":"Biochemistry","language":"en","license":"https://doi.org/10.15223/policy-029","page":"acs.biochem.3c00554","source":"DOI.org (Crossref)","title":"Development of Enzyme-Based Approaches for Recycling PET on an Industrial Scale","author":[{"family":"Oda","given":"Kohei"},{"family":"Wlodawer","given":"Alexander"}],"issued":{"date-parts":[["2024",1,29]]}}}],"schema":"https://github.com/citation-style-language/schema/raw/master/csl-citation.json"} </w:instrText>
      </w:r>
      <w:r w:rsidRPr="00BE2023">
        <w:rPr>
          <w:lang w:val="en-GB"/>
        </w:rPr>
        <w:fldChar w:fldCharType="separate"/>
      </w:r>
      <w:r w:rsidR="002E66A0">
        <w:rPr>
          <w:noProof/>
          <w:lang w:val="fr-CH"/>
        </w:rPr>
        <w:t>[43]</w:t>
      </w:r>
      <w:r w:rsidRPr="00BE2023">
        <w:rPr>
          <w:lang w:val="en-GB"/>
        </w:rPr>
        <w:fldChar w:fldCharType="end"/>
      </w:r>
      <w:r w:rsidRPr="002E66A0">
        <w:rPr>
          <w:lang w:val="fr-CH"/>
        </w:rPr>
        <w:t xml:space="preserve">. </w:t>
      </w:r>
      <w:r w:rsidRPr="002E66A0">
        <w:rPr>
          <w:color w:val="000000"/>
          <w:lang w:val="en-GB"/>
        </w:rPr>
        <w:t xml:space="preserve">Depolymerisation occurs at 68 °C and 1 bar, close to the PET glass transition temperature to enhance polymer chain mobility and ensure enzyme accessibility </w:t>
      </w:r>
      <w:r w:rsidRPr="00BE2023">
        <w:rPr>
          <w:color w:val="000000"/>
          <w:lang w:val="en-GB"/>
        </w:rPr>
        <w:fldChar w:fldCharType="begin"/>
      </w:r>
      <w:r w:rsidR="002E66A0" w:rsidRPr="002E66A0">
        <w:rPr>
          <w:color w:val="000000"/>
          <w:lang w:val="en-GB"/>
        </w:rPr>
        <w:instrText xml:space="preserve"> ADDIN ZOTERO_ITEM CSL_CITATION {"citationID":"2bNZlocP","properties":{"formattedCitation":"[44]","plainCitation":"[44]","noteIndex":0},"citationItems":[{"id":13979,"uris":["http://zotero.org/users/12598273/items/DS2I8GTJ"],"itemData":{"id":13979,"type":"article-journal","abstract":"In recent years, enzymatic recycling of the widely used polyester polyethylene terephthalate (PET) has become a complementary solution to current thermomechanical recycling for colored, opaque, and mixed PET. A large set of promising hydrolases that depolymerize PET have been found and enhanced by worldwide initiatives using various methods of protein engineering. Despite the achievements made in these works, it remains difficult to compare enzymes’ performance and their applicability to large-scale reactions due to a lack of homogeneity between the experimental protocols used. Here, we pave the way for a standardized enzymatic PET hydrolysis protocol using reaction conditions relevant for larger scale hydrolysis and apply these parameters to four recently reported PET hydrolases (LCCICCG, FAST-PETase, HotPETase, and PES-H1L92F/Q94Y). We show that FAST-PETase and HotPETase have intrinsic limitations that may not permit their application on larger reaction scales, mainly due to their relatively low depolymerization rates. With 80% PET depolymer</w:instrText>
      </w:r>
      <w:r w:rsidR="002E66A0">
        <w:rPr>
          <w:color w:val="000000"/>
          <w:lang w:val="fr-CH"/>
        </w:rPr>
        <w:instrText xml:space="preserve">ization, PES-H1L92F/Q94Y may be a suitable candidate for industrial reaction scales upon further rounds of enzyme evolution. LCCICCG outperforms the other enzymes, converting 98% of PET into the monomeric products terephthalic acid (TPA) and ethylene glycol (EG) in 24 h. In addition, we optimized the reaction conditions of LCCICCG toward economic viability, reducing the required amount of enzyme by a factor of 3 and the temperature of the reaction from 72 to 68 °C. We anticipate our findings to advance enzymatic PET hydrolysis toward a coherent assessment of the enzymes and materialize feasibility at larger reaction scales.","citation-key":"arnalAssessmentFourEngineered2023","container-title":"ACS Catalysis","DOI":"10.1021/acscatal.3c02922","ISSN":"2155-5435, 2155-5435","issue":"20","journalAbbreviation":"ACS Catal.","language":"en","license":"https://creativecommons.org/licenses/by/4.0/","page":"13156-13166","source":"DOI.org (Crossref)","title":"Assessment of Four Engineered PET Degrading Enzymes Considering Large-Scale Industrial Applications","volume":"13","author":[{"family":"Arnal","given":"Grégory"},{"family":"Anglade","given":"Julien"},{"family":"Gavalda","given":"Sabine"},{"family":"Tournier","given":"Vincent"},{"family":"Chabot","given":"Nicolas"},{"family":"Bornscheuer","given":"Uwe T."},{"family":"Weber","given":"Gert"},{"family":"Marty","given":"Alain"}],"issued":{"date-parts":[["2023",10,20]]}}}],"schema":"https://github.com/citation-style-language/schema/raw/master/csl-citation.json"} </w:instrText>
      </w:r>
      <w:r w:rsidRPr="00BE2023">
        <w:rPr>
          <w:color w:val="000000"/>
          <w:lang w:val="en-GB"/>
        </w:rPr>
        <w:fldChar w:fldCharType="separate"/>
      </w:r>
      <w:r w:rsidR="002E66A0">
        <w:rPr>
          <w:noProof/>
          <w:color w:val="000000"/>
          <w:lang w:val="fr-CH"/>
        </w:rPr>
        <w:t>[44]</w:t>
      </w:r>
      <w:r w:rsidRPr="00BE2023">
        <w:rPr>
          <w:color w:val="000000"/>
          <w:lang w:val="en-GB"/>
        </w:rPr>
        <w:fldChar w:fldCharType="end"/>
      </w:r>
      <w:r w:rsidRPr="002E66A0">
        <w:rPr>
          <w:color w:val="000000"/>
          <w:lang w:val="fr-CH"/>
        </w:rPr>
        <w:t xml:space="preserve">, </w:t>
      </w:r>
      <w:r w:rsidRPr="00BE2023">
        <w:rPr>
          <w:color w:val="000000"/>
          <w:lang w:val="en-GB"/>
        </w:rPr>
        <w:fldChar w:fldCharType="begin"/>
      </w:r>
      <w:r w:rsidR="002E66A0">
        <w:rPr>
          <w:color w:val="000000"/>
          <w:lang w:val="fr-CH"/>
        </w:rPr>
        <w:instrText xml:space="preserve"> ADDIN ZOTERO_ITEM CSL_CITATION {"citationID":"r02S1KnT","properties":{"formattedCitation":"[45]","plainCitation":"[45]","noteIndex":0},"citationItems":[{"id":13981,"uris":["http://zotero.org/users/12598273/items/DDTV57BU"],"itemData":{"id":13981,"type":"article-journal","abstract":"In recent years, several plastic-degrading enzymes with efficient depolymerization abilities for PET have been reported. Here, we report a bioprocess for mixed PET waste depolymerization using crude extracellularly expressed enzymes in E. coli. The enzymes, namely FastPETase, LCC, and LCCICCG, were screened to depolymerize amorphous PET powder and films of different sizes and crystallinity. FastPETase, LCC, and LCCICCG achieved approximately 25, 34, and 70% depolymerization, respectively, when applied to 13 g L−1 of PET film, powder, or mixed waste in optimized enzyme conditions without any pH control. The yield of terephthalic acid in the hydrolytic process was maximum for LCCICCG followed by LCC and FastPETase. Finally, extracellular LCCICCG-producing E. coli cells were cultivated using minimal media supplemented with 0.1% ammonium chloride and 1% glycerol as nitrogen and carbon sources in a bioreactor with a final protein content and specific activity of 119 ± 5 mg L−1 and 1232 ± 18 U mg−1, respectively. Nearly complete depolymerization of 13 g L−1 PET and 23.8 g L−1 post-consumer PET was achieved in 50 h using crude LCCICCG supernatant, without enzyme purification, at 62 ◦C. A bioprocess was thus developed to depolymerize 100 g L−1 mixed PET trays and bottle waste (MW1 and MW2), reaching 78% and 50% yield at 62 ◦C with a crude enzyme loading of 2.32 mg g−1 PET in 60 h. The results demonstrate an easy PET depolymerization strategy that could be exploited in large-scale facilities for efficient plastic waste treatment.","citation-key":"kumarEfficientBioprocessMixed2025","container-title":"Polymers","DOI":"10.3390/polym17060763","ISSN":"2073-4360","issue":"6","journalAbbreviation":"Polymers","language":"en","page":"763","source":"DOI.org (Crossref)","title":"Efficient Bioprocess for Mixed PET Waste Depolymerization Using Crude Cutinase","volume":"17","author":[{"family":"Kumar","given":"Virender"},{"family":"Wimmer","given":"Reinhard"},{"family":"Varrone","given":"Cristiano"}],"issued":{"date-parts":[["2025",3,14]]}}}],"schema":"https://github.com/citation-style-language/schema/raw/master/csl-citation.json"} </w:instrText>
      </w:r>
      <w:r w:rsidRPr="00BE2023">
        <w:rPr>
          <w:color w:val="000000"/>
          <w:lang w:val="en-GB"/>
        </w:rPr>
        <w:fldChar w:fldCharType="separate"/>
      </w:r>
      <w:r w:rsidR="002E66A0">
        <w:rPr>
          <w:noProof/>
          <w:color w:val="000000"/>
          <w:lang w:val="fr-CH"/>
        </w:rPr>
        <w:t>[45]</w:t>
      </w:r>
      <w:r w:rsidRPr="00BE2023">
        <w:rPr>
          <w:color w:val="000000"/>
          <w:lang w:val="en-GB"/>
        </w:rPr>
        <w:fldChar w:fldCharType="end"/>
      </w:r>
      <w:r w:rsidRPr="002E66A0">
        <w:rPr>
          <w:color w:val="000000"/>
          <w:lang w:val="fr-CH"/>
        </w:rPr>
        <w:t xml:space="preserve">. </w:t>
      </w:r>
      <w:r w:rsidRPr="002E66A0">
        <w:rPr>
          <w:color w:val="000000"/>
          <w:lang w:val="en-GB"/>
        </w:rPr>
        <w:t xml:space="preserve">Sodium hydroxide is added to maintain appropriate pH conditions and solubilize TPA. </w:t>
      </w:r>
      <w:r w:rsidRPr="00BE2023">
        <w:rPr>
          <w:color w:val="000000"/>
          <w:lang w:val="en-GB"/>
        </w:rPr>
        <w:t xml:space="preserve">Unreacted PET is recovered by filtration and recycled, while the enzyme is separated by ultrafiltration. TPA is recovered by acidification using sulfuric acid, crystallization, and drying, whereas EG is purified by distillation </w:t>
      </w:r>
      <w:r w:rsidRPr="00BE2023">
        <w:rPr>
          <w:color w:val="000000"/>
          <w:lang w:val="en-GB"/>
        </w:rPr>
        <w:fldChar w:fldCharType="begin"/>
      </w:r>
      <w:r w:rsidR="002E66A0">
        <w:rPr>
          <w:color w:val="000000"/>
          <w:lang w:val="en-GB"/>
        </w:rPr>
        <w:instrText xml:space="preserve"> ADDIN ZOTERO_ITEM CSL_CITATION {"citationID":"qIGezTgL","properties":{"formattedCitation":"[16]","plainCitation":"[16]","noteIndex":0},"citationItems":[{"id":13983,"uris":["http://zotero.org/users/12598273/items/DAFZGX2D"],"itemData":{"id":13983,"type":"article-journal","abstract":"Esterases have emerged as important biocatalysts for enzymebased polyester recycling of poly(ethylene terephthalate) (PET) to terephthalic acid (TPA) and ethylene glycol (EG). Here, we present process modeling, techno-economic, life-cycle, and socioeconomic impact analyses for an enzymatic PET depolymerization-based recycling process, which we compare with virgin TPA manufacturing. We predict that enzymatically recycled TPA (rTPA) can be cost-competitive and highlight key areas to achieve this. In addition to favorable long-term socioeconomic beneﬁts, rTPA can reduce total supply chain energy use by 69%–83% and greenhouse gas emissions by 17%–43% per kg of TPA. An economy-wide assessment for the US estimates that the TPA recycling process can reduce environmental impacts by up to 95% while generating up to 45% more socioeconomic beneﬁts, also relative to virgin TPA production. Sensitivity analyses highlight impactful research opportunities to pursue toward realizing biological PET recycling and upcycling.","citation-key":"singhTechnoeconomicLifecycleSocioeconomic2021","container-title":"Joule","DOI":"10.1016/j.joule.2021.06.015","ISSN":"25424351","issue":"9","journalAbbreviation":"Joule","language":"en","page":"2479-2503","source":"DOI.org (Crossref)","title":"Techno-economic, life-cycle, and socioeconomic impact analysis of enzymatic recycling of poly(ethylene terephthalate)","volume":"5","author":[{"family":"Singh","given":"Avantika"},{"family":"Rorrer","given":"Nicholas A."},{"family":"Nicholson","given":"Scott R."},{"family":"Erickson","given":"Erika"},{"family":"DesVeaux","given":"Jason S."},{"family":"Avelino","given":"Andre F.T."},{"family":"Lamers","given":"Patrick"},{"family":"Bhatt","given":"Arpit"},{"family":"Zhang","given":"Yimin"},{"family":"Avery","given":"Greg"},{"family":"Tao","given":"Ling"},{"family":"Pickford","given":"Andrew R."},{"family":"Carpenter","given":"Alberta C."},{"family":"McGeehan","given":"John E."},{"family":"Beckham","given":"Gregg T."}],"issued":{"date-parts":[["2021",9]]}}}],"schema":"https://github.com/citation-style-language/schema/raw/master/csl-citation.json"} </w:instrText>
      </w:r>
      <w:r w:rsidRPr="00BE2023">
        <w:rPr>
          <w:color w:val="000000"/>
          <w:lang w:val="en-GB"/>
        </w:rPr>
        <w:fldChar w:fldCharType="separate"/>
      </w:r>
      <w:r w:rsidR="002E66A0">
        <w:rPr>
          <w:noProof/>
          <w:color w:val="000000"/>
          <w:lang w:val="fr-CH"/>
        </w:rPr>
        <w:t>[16]</w:t>
      </w:r>
      <w:r w:rsidRPr="00BE2023">
        <w:rPr>
          <w:color w:val="000000"/>
          <w:lang w:val="en-GB"/>
        </w:rPr>
        <w:fldChar w:fldCharType="end"/>
      </w:r>
      <w:r w:rsidRPr="002E66A0">
        <w:rPr>
          <w:color w:val="000000"/>
          <w:lang w:val="fr-CH"/>
        </w:rPr>
        <w:t>.</w:t>
      </w:r>
    </w:p>
    <w:p w14:paraId="3E1A293B" w14:textId="77777777" w:rsidR="00145BB2" w:rsidRPr="002E66A0" w:rsidRDefault="00145BB2" w:rsidP="00145BB2">
      <w:pPr>
        <w:pStyle w:val="NoSpacing"/>
        <w:jc w:val="both"/>
        <w:rPr>
          <w:color w:val="000000"/>
          <w:lang w:val="fr-CH"/>
        </w:rPr>
      </w:pPr>
    </w:p>
    <w:p w14:paraId="0CAC92E8" w14:textId="77777777" w:rsidR="00145BB2" w:rsidRPr="002E66A0" w:rsidRDefault="00145BB2" w:rsidP="00145BB2">
      <w:pPr>
        <w:pStyle w:val="NoSpacing"/>
        <w:jc w:val="both"/>
        <w:rPr>
          <w:lang w:val="en-GB"/>
        </w:rPr>
      </w:pPr>
      <m:oMath>
        <m:r>
          <w:rPr>
            <w:rFonts w:ascii="Cambria Math" w:hAnsi="Cambria Math"/>
            <w:lang w:val="en-GB"/>
          </w:rPr>
          <m:t>PET</m:t>
        </m:r>
        <m:r>
          <w:rPr>
            <w:rFonts w:ascii="Cambria Math" w:hAnsi="Cambria Math"/>
            <w:lang w:val="en-GB"/>
          </w:rPr>
          <m:t xml:space="preserve"> (</m:t>
        </m:r>
        <m:r>
          <w:rPr>
            <w:rFonts w:ascii="Cambria Math" w:hAnsi="Cambria Math"/>
            <w:lang w:val="en-GB"/>
          </w:rPr>
          <m:t>s</m:t>
        </m:r>
        <m:r>
          <w:rPr>
            <w:rFonts w:ascii="Cambria Math" w:hAnsi="Cambria Math"/>
            <w:lang w:val="en-GB"/>
          </w:rPr>
          <m:t xml:space="preserve">)+ 2 </m:t>
        </m:r>
        <m:sSub>
          <m:sSubPr>
            <m:ctrlPr>
              <w:rPr>
                <w:rFonts w:ascii="Cambria Math" w:hAnsi="Cambria Math"/>
                <w:i/>
                <w:lang w:val="en-GB"/>
              </w:rPr>
            </m:ctrlPr>
          </m:sSubPr>
          <m:e>
            <m:r>
              <w:rPr>
                <w:rFonts w:ascii="Cambria Math" w:hAnsi="Cambria Math"/>
                <w:lang w:val="en-GB"/>
              </w:rPr>
              <m:t>H</m:t>
            </m:r>
          </m:e>
          <m:sub>
            <m:r>
              <w:rPr>
                <w:rFonts w:ascii="Cambria Math" w:hAnsi="Cambria Math"/>
                <w:lang w:val="en-GB"/>
              </w:rPr>
              <m:t>2</m:t>
            </m:r>
          </m:sub>
        </m:sSub>
        <m:r>
          <w:rPr>
            <w:rFonts w:ascii="Cambria Math" w:hAnsi="Cambria Math"/>
            <w:lang w:val="en-GB"/>
          </w:rPr>
          <m:t>O</m:t>
        </m:r>
        <m:r>
          <w:rPr>
            <w:rFonts w:ascii="Cambria Math" w:hAnsi="Cambria Math"/>
            <w:lang w:val="en-GB"/>
          </w:rPr>
          <m:t xml:space="preserve"> (</m:t>
        </m:r>
        <m:r>
          <w:rPr>
            <w:rFonts w:ascii="Cambria Math" w:hAnsi="Cambria Math"/>
            <w:lang w:val="en-GB"/>
          </w:rPr>
          <m:t>l</m:t>
        </m:r>
        <m:r>
          <w:rPr>
            <w:rFonts w:ascii="Cambria Math" w:hAnsi="Cambria Math"/>
            <w:lang w:val="en-GB"/>
          </w:rPr>
          <m:t xml:space="preserve">) </m:t>
        </m:r>
        <m:box>
          <m:boxPr>
            <m:opEmu m:val="1"/>
            <m:ctrlPr>
              <w:rPr>
                <w:rFonts w:ascii="Cambria Math" w:hAnsi="Cambria Math"/>
                <w:i/>
                <w:lang w:val="en-GB"/>
              </w:rPr>
            </m:ctrlPr>
          </m:boxPr>
          <m:e>
            <m:groupChr>
              <m:groupChrPr>
                <m:chr m:val="→"/>
                <m:vertJc m:val="bot"/>
                <m:ctrlPr>
                  <w:rPr>
                    <w:rFonts w:ascii="Cambria Math" w:hAnsi="Cambria Math"/>
                    <w:i/>
                    <w:lang w:val="en-GB"/>
                  </w:rPr>
                </m:ctrlPr>
              </m:groupChrPr>
              <m:e>
                <m:r>
                  <w:rPr>
                    <w:rFonts w:ascii="Cambria Math" w:hAnsi="Cambria Math"/>
                    <w:lang w:val="en-GB"/>
                  </w:rPr>
                  <m:t>cutinase</m:t>
                </m:r>
              </m:e>
            </m:groupChr>
          </m:e>
        </m:box>
        <m:r>
          <w:rPr>
            <w:rFonts w:ascii="Cambria Math" w:hAnsi="Cambria Math"/>
            <w:lang w:val="en-GB"/>
          </w:rPr>
          <m:t xml:space="preserve"> </m:t>
        </m:r>
        <m:r>
          <w:rPr>
            <w:rFonts w:ascii="Cambria Math" w:hAnsi="Cambria Math"/>
            <w:lang w:val="en-GB"/>
          </w:rPr>
          <m:t>TPA</m:t>
        </m:r>
        <m:r>
          <w:rPr>
            <w:rFonts w:ascii="Cambria Math" w:hAnsi="Cambria Math"/>
            <w:lang w:val="en-GB"/>
          </w:rPr>
          <m:t xml:space="preserve"> (</m:t>
        </m:r>
        <m:r>
          <w:rPr>
            <w:rFonts w:ascii="Cambria Math" w:hAnsi="Cambria Math"/>
            <w:lang w:val="en-GB"/>
          </w:rPr>
          <m:t>s</m:t>
        </m:r>
        <m:r>
          <w:rPr>
            <w:rFonts w:ascii="Cambria Math" w:hAnsi="Cambria Math"/>
            <w:lang w:val="en-GB"/>
          </w:rPr>
          <m:t xml:space="preserve">)+ </m:t>
        </m:r>
        <m:r>
          <w:rPr>
            <w:rFonts w:ascii="Cambria Math" w:hAnsi="Cambria Math"/>
            <w:lang w:val="en-GB"/>
          </w:rPr>
          <m:t>EG</m:t>
        </m:r>
        <m:r>
          <w:rPr>
            <w:rFonts w:ascii="Cambria Math" w:hAnsi="Cambria Math"/>
            <w:lang w:val="en-GB"/>
          </w:rPr>
          <m:t xml:space="preserve"> (</m:t>
        </m:r>
        <m:r>
          <w:rPr>
            <w:rFonts w:ascii="Cambria Math" w:hAnsi="Cambria Math"/>
            <w:lang w:val="en-GB"/>
          </w:rPr>
          <m:t>aq</m:t>
        </m:r>
        <m:r>
          <w:rPr>
            <w:rFonts w:ascii="Cambria Math" w:hAnsi="Cambria Math"/>
            <w:lang w:val="en-GB"/>
          </w:rPr>
          <m:t xml:space="preserve">)+ </m:t>
        </m:r>
        <m:r>
          <w:rPr>
            <w:rFonts w:ascii="Cambria Math" w:hAnsi="Cambria Math"/>
            <w:lang w:val="en-GB"/>
          </w:rPr>
          <m:t>unreacted</m:t>
        </m:r>
        <m:r>
          <w:rPr>
            <w:rFonts w:ascii="Cambria Math" w:hAnsi="Cambria Math"/>
            <w:lang w:val="en-GB"/>
          </w:rPr>
          <m:t xml:space="preserve"> </m:t>
        </m:r>
        <m:r>
          <w:rPr>
            <w:rFonts w:ascii="Cambria Math" w:hAnsi="Cambria Math"/>
            <w:lang w:val="en-GB"/>
          </w:rPr>
          <m:t>PET</m:t>
        </m:r>
        <m:r>
          <w:rPr>
            <w:rFonts w:ascii="Cambria Math" w:hAnsi="Cambria Math"/>
            <w:lang w:val="en-GB"/>
          </w:rPr>
          <m:t xml:space="preserve"> (</m:t>
        </m:r>
        <m:r>
          <w:rPr>
            <w:rFonts w:ascii="Cambria Math" w:hAnsi="Cambria Math"/>
            <w:lang w:val="en-GB"/>
          </w:rPr>
          <m:t>s</m:t>
        </m:r>
        <m:r>
          <w:rPr>
            <w:rFonts w:ascii="Cambria Math" w:hAnsi="Cambria Math"/>
            <w:lang w:val="en-GB"/>
          </w:rPr>
          <m:t>)</m:t>
        </m:r>
      </m:oMath>
      <w:r w:rsidRPr="002E66A0">
        <w:rPr>
          <w:lang w:val="en-GB"/>
        </w:rPr>
        <w:tab/>
        <w:t>(R1)</w:t>
      </w:r>
    </w:p>
    <w:p w14:paraId="538C72EC" w14:textId="77777777" w:rsidR="00145BB2" w:rsidRPr="002E66A0" w:rsidRDefault="00145BB2" w:rsidP="00145BB2">
      <w:pPr>
        <w:pStyle w:val="NoSpacing"/>
        <w:jc w:val="both"/>
        <w:rPr>
          <w:lang w:val="en-GB"/>
        </w:rPr>
      </w:pPr>
    </w:p>
    <w:p w14:paraId="4E219AC1" w14:textId="4ED6E57B" w:rsidR="00145BB2" w:rsidRPr="00BE2023" w:rsidRDefault="00145BB2" w:rsidP="00145BB2">
      <w:pPr>
        <w:pStyle w:val="NoSpacing"/>
        <w:jc w:val="both"/>
        <w:rPr>
          <w:color w:val="000000"/>
          <w:lang w:val="en-GB"/>
        </w:rPr>
      </w:pPr>
      <w:r w:rsidRPr="00BE2023">
        <w:rPr>
          <w:color w:val="000000"/>
          <w:lang w:val="en-GB"/>
        </w:rPr>
        <w:t xml:space="preserve">Recovered TPA and EG were subsequently repolymerized into PET via esterification to form bis(2-hydroxyethyl) terephthalate (BHET), followed by polycondensation under vacuum to increase molecular weight, yielding 0.9 t of recycled PET for each ton of waste PET treated </w:t>
      </w:r>
      <w:r w:rsidRPr="00BE2023">
        <w:rPr>
          <w:color w:val="000000"/>
          <w:lang w:val="en-GB"/>
        </w:rPr>
        <w:fldChar w:fldCharType="begin"/>
      </w:r>
      <w:r w:rsidR="002E66A0">
        <w:rPr>
          <w:color w:val="000000"/>
          <w:lang w:val="en-GB"/>
        </w:rPr>
        <w:instrText xml:space="preserve"> ADDIN ZOTERO_ITEM CSL_CITATION {"citationID":"NetdLSLK","properties":{"formattedCitation":"[46]","plainCitation":"[46]","noteIndex":0},"citationItems":[{"id":13985,"uris":["http://zotero.org/users/12598273/items/P7YNZV36"],"itemData":{"id":13985,"type":"article-journal","citation-key":"quentinPETOuPolyethyleneterephtalate2004","journalAbbreviation":"Techniques de l'ingenieur","publisher":"Techniques de l'ingénieur","source":"Zotero","title":"PET ou polyéthylènetéréphtalate","volume":"J6488V1","author":[{"family":"Quentin","given":"Jean-Pierre"}],"issued":{"date-parts":[["2004",10,6]]}}}],"schema":"https://github.com/citation-style-language/schema/raw/master/csl-citation.json"} </w:instrText>
      </w:r>
      <w:r w:rsidRPr="00BE2023">
        <w:rPr>
          <w:color w:val="000000"/>
          <w:lang w:val="en-GB"/>
        </w:rPr>
        <w:fldChar w:fldCharType="separate"/>
      </w:r>
      <w:r w:rsidR="002E66A0">
        <w:rPr>
          <w:noProof/>
          <w:color w:val="000000"/>
          <w:lang w:val="en-GB"/>
        </w:rPr>
        <w:t>[46]</w:t>
      </w:r>
      <w:r w:rsidRPr="00BE2023">
        <w:rPr>
          <w:color w:val="000000"/>
          <w:lang w:val="en-GB"/>
        </w:rPr>
        <w:fldChar w:fldCharType="end"/>
      </w:r>
      <w:r w:rsidRPr="00BE2023">
        <w:rPr>
          <w:color w:val="000000"/>
          <w:lang w:val="en-GB"/>
        </w:rPr>
        <w:t>.</w:t>
      </w:r>
    </w:p>
    <w:p w14:paraId="7A3AC1D7" w14:textId="77777777" w:rsidR="00145BB2" w:rsidRPr="00BE2023" w:rsidRDefault="00145BB2" w:rsidP="00145BB2">
      <w:pPr>
        <w:pStyle w:val="NoSpacing"/>
        <w:jc w:val="both"/>
        <w:rPr>
          <w:color w:val="000000"/>
          <w:lang w:val="en-GB"/>
        </w:rPr>
      </w:pPr>
    </w:p>
    <w:p w14:paraId="3B2B4C3E" w14:textId="77777777" w:rsidR="00145BB2" w:rsidRPr="00BE2023" w:rsidRDefault="00145BB2" w:rsidP="00145BB2">
      <w:pPr>
        <w:pStyle w:val="NoSpacing"/>
        <w:rPr>
          <w:b/>
          <w:bCs/>
          <w:lang w:val="en-GB"/>
        </w:rPr>
      </w:pPr>
      <w:r w:rsidRPr="00BE2023">
        <w:rPr>
          <w:b/>
          <w:bCs/>
          <w:lang w:val="en-GB"/>
        </w:rPr>
        <w:t>Glycolysis</w:t>
      </w:r>
    </w:p>
    <w:p w14:paraId="0718B906" w14:textId="205F27D4" w:rsidR="00145BB2" w:rsidRPr="002E66A0" w:rsidRDefault="00145BB2" w:rsidP="00145BB2">
      <w:pPr>
        <w:pStyle w:val="NoSpacing"/>
        <w:jc w:val="both"/>
        <w:rPr>
          <w:color w:val="000000"/>
          <w:lang w:val="en-GB"/>
        </w:rPr>
      </w:pPr>
      <w:r w:rsidRPr="00BE2023">
        <w:rPr>
          <w:color w:val="000000"/>
          <w:lang w:val="en-GB"/>
        </w:rPr>
        <w:t xml:space="preserve">Glycolysis is a depolymerization process in which PET reacts with EG to produce BHET, following Reaction 2 (R2). The process is  </w:t>
      </w:r>
      <w:proofErr w:type="spellStart"/>
      <w:r w:rsidRPr="00BE2023">
        <w:rPr>
          <w:color w:val="000000"/>
          <w:lang w:val="en-GB"/>
        </w:rPr>
        <w:t>modeled</w:t>
      </w:r>
      <w:proofErr w:type="spellEnd"/>
      <w:r w:rsidRPr="00BE2023">
        <w:rPr>
          <w:color w:val="000000"/>
          <w:lang w:val="en-GB"/>
        </w:rPr>
        <w:t xml:space="preserve"> using three reactors in series with an EG/PET ratio of 4 to enhance PET conversion </w:t>
      </w:r>
      <w:r w:rsidRPr="00BE2023">
        <w:rPr>
          <w:color w:val="000000"/>
          <w:lang w:val="en-GB"/>
        </w:rPr>
        <w:fldChar w:fldCharType="begin"/>
      </w:r>
      <w:r w:rsidR="002E66A0">
        <w:rPr>
          <w:color w:val="000000"/>
          <w:lang w:val="en-GB"/>
        </w:rPr>
        <w:instrText xml:space="preserve"> ADDIN ZOTERO_ITEM CSL_CITATION {"citationID":"2kpRBBJB","properties":{"formattedCitation":"[37]","plainCitation":"[37]","noteIndex":0},"citationItems":[{"id":13113,"uris":["http://zotero.org/users/12598273/items/WBF4HRAX"],"itemData":{"id":13113,"type":"article-journal","abstract":"Poly(ethylene terephthalate) (PET) is the most widely produced thermoplastic and is used in drink bottles, packaging, and textiles. Chemical depolymerization represents a way to recycle PET that is robust to the low purity and quality of some waste PET sources. This work investigates the three primary routes to depolymerize PET into feedstocks used to produce the PET polymer: methanolysis, glycolysis, and hydrolysis. This work is unique in providing a thorough review of the depolymerization thermodynamics, chemistry, purification strategies, and design of PET depolymerization processes from an industrial perspective. This work provides detailed descriptions of different variants of PET depolymerization processes. We summarize available data necessary to design a PET depolymerization process and indicate where gaps in data exist. We demonstrate the importance of separation and purification sections of the process, which are rarely addressed in academic literature. We also demonstrate different designs and strategies that industrial technologies employ to address challenges.","citation-key":"mcneeleyAssessmentPETDepolymerization2024a","container-title":"Industrial &amp; Engineering Chemistry Research","DOI":"10.1021/acs.iecr.3c04000","ISSN":"0888-5885, 1520-5045","issue":"8","journalAbbreviation":"Ind. Eng. Chem. Res.","language":"en","license":"https://doi.org/10.15223/policy-029","page":"3355-3399","source":"DOI.org (Crossref)","title":"Assessment of PET Depolymerization Processes for Circular Economy. 1. Thermodynamics, Chemistry, Purification, and Process Design","volume":"63","author":[{"family":"McNeeley","given":"Adam"},{"family":"Liu","given":"Y. A."}],"issued":{"date-parts":[["2024",2,28]]}}}],"schema":"https://github.com/citation-style-language/schema/raw/master/csl-citation.json"} </w:instrText>
      </w:r>
      <w:r w:rsidRPr="00BE2023">
        <w:rPr>
          <w:color w:val="000000"/>
          <w:lang w:val="en-GB"/>
        </w:rPr>
        <w:fldChar w:fldCharType="separate"/>
      </w:r>
      <w:r w:rsidR="002E66A0">
        <w:rPr>
          <w:noProof/>
          <w:color w:val="000000"/>
          <w:lang w:val="en-GB"/>
        </w:rPr>
        <w:t>[37]</w:t>
      </w:r>
      <w:r w:rsidRPr="00BE2023">
        <w:rPr>
          <w:color w:val="000000"/>
          <w:lang w:val="en-GB"/>
        </w:rPr>
        <w:fldChar w:fldCharType="end"/>
      </w:r>
      <w:r w:rsidRPr="00BE2023">
        <w:rPr>
          <w:color w:val="000000"/>
          <w:lang w:val="en-GB"/>
        </w:rPr>
        <w:t xml:space="preserve">. The reaction operates at approximately 220 °C, allowing partial vaporization of EG that is subsequently recovered and recycled to the </w:t>
      </w:r>
      <w:r w:rsidRPr="00BE2023">
        <w:rPr>
          <w:color w:val="000000"/>
          <w:lang w:val="en-GB"/>
        </w:rPr>
        <w:lastRenderedPageBreak/>
        <w:t xml:space="preserve">reactors. A catalyst is used to reduce reaction time (≈20 min) and achieve PET-to-BHET conversion above 80% </w:t>
      </w:r>
      <w:r w:rsidRPr="00BE2023">
        <w:rPr>
          <w:color w:val="000000"/>
          <w:lang w:val="en-GB"/>
        </w:rPr>
        <w:fldChar w:fldCharType="begin"/>
      </w:r>
      <w:r w:rsidR="002E66A0">
        <w:rPr>
          <w:color w:val="000000"/>
          <w:lang w:val="en-GB"/>
        </w:rPr>
        <w:instrText xml:space="preserve"> ADDIN ZOTERO_ITEM CSL_CITATION {"citationID":"LLu02Mvd","properties":{"formattedCitation":"[47]","plainCitation":"[47]","noteIndex":0},"citationItems":[{"id":13699,"uris":["http://zotero.org/groups/5859689/items/DYCRYK8E"],"itemData":{"id":13699,"type":"article-journal","citation-key":"liuLewisAcidBase2019","container-title":"ACS Sustainable Chemistry &amp; Engineering","DOI":"10.1021/acssuschemeng.8b05324","ISSN":"2168-0485, 2168-0485","issue":"3","journalAbbreviation":"ACS Sustainable Chem. Eng.","language":"en","page":"3292-3300","source":"DOI.org (Crossref)","title":"Lewis Acid–Base Synergistic Catalysis for Polyethylene Terephthalate Degradation by 1,3-Dimethylurea/Zn(OAc)&lt;sub&gt;2&lt;/sub&gt; Deep Eutectic Solvent","volume":"7","author":[{"family":"Liu","given":"Bo"},{"family":"Fu","given":"Wenzhao"},{"family":"Lu","given":"Xingmei"},{"family":"Zhou","given":"Qing"},{"family":"Zhang","given":"Suojiang"}],"issued":{"date-parts":[["2019",2,4]]}}}],"schema":"https://github.com/citation-style-language/schema/raw/master/csl-citation.json"} </w:instrText>
      </w:r>
      <w:r w:rsidRPr="00BE2023">
        <w:rPr>
          <w:color w:val="000000"/>
          <w:lang w:val="en-GB"/>
        </w:rPr>
        <w:fldChar w:fldCharType="separate"/>
      </w:r>
      <w:r w:rsidR="002E66A0">
        <w:rPr>
          <w:noProof/>
          <w:color w:val="000000"/>
          <w:lang w:val="en-GB"/>
        </w:rPr>
        <w:t>[47]</w:t>
      </w:r>
      <w:r w:rsidRPr="00BE2023">
        <w:rPr>
          <w:color w:val="000000"/>
          <w:lang w:val="en-GB"/>
        </w:rPr>
        <w:fldChar w:fldCharType="end"/>
      </w:r>
      <w:r w:rsidRPr="00BE2023">
        <w:rPr>
          <w:color w:val="000000"/>
          <w:lang w:val="en-GB"/>
        </w:rPr>
        <w:t xml:space="preserve">, </w:t>
      </w:r>
      <w:r w:rsidRPr="00BE2023">
        <w:rPr>
          <w:color w:val="000000"/>
          <w:lang w:val="en-GB"/>
        </w:rPr>
        <w:fldChar w:fldCharType="begin"/>
      </w:r>
      <w:r w:rsidR="002E66A0">
        <w:rPr>
          <w:color w:val="000000"/>
          <w:lang w:val="en-GB"/>
        </w:rPr>
        <w:instrText xml:space="preserve"> ADDIN ZOTERO_ITEM CSL_CITATION {"citationID":"MVND8IYX","properties":{"formattedCitation":"[48]","plainCitation":"[48]","noteIndex":0},"citationItems":[{"id":13707,"uris":["http://zotero.org/groups/5859689/items/6YHRMQ4Z"],"itemData":{"id":13707,"type":"article-journal","abstract":"The reaction kinetics of the glycolysis of polyethylene terephthalate (PET) in ethylene glycol (EG) solvent using zinc acetate as a catalyst were investigated. The experimental results show that stirring rate, EG/PET mass ratio, and catalyst dosage all influence the glycolysis rate. The reaction temperature has a decisive effect on the glycolysis rate and the yield of the target product, bis(2-hydroxyethyl) terephthalate (BHET). By tracking the distribution of PET repeat units in the products and combining the heterogeneous shrinking core model and homogeneous reaction model, a reaction kinetic model for PET glycolysis was developed. The model accurately predicts the equilibrium product distribution at high temperature and the reaction behavior of large PET particles. The activation energy for the depolymerization of PET to oligomers is 172.71 kJ/mol, making it the rate-determining step of the entire reaction network. The standard reaction enthalpy and entropy change for this step are 22.58 kJ/mol and 16.46 J/mol·K, respectively, indicating that PET glycolysis is an entropy-driven process that requires high temperatures. Increasing the reaction temperature significantly reduces the sensitivity of the reaction rate to PET particle diameter. When conducting PET glycolysis in a series of continuous stirred tank reactors, it is necessary to use both high temperatures and small PET particle sizes to minimize reactor volume and reduce the number of reactors in series.","citation-key":"wangReactionKineticModel2025","container-title":"Chemical Engineering Science","DOI":"10.1016/j.ces.2025.121463","ISSN":"0009-2509","journalAbbreviation":"Chemical Engineering Science","page":"121463","source":"ScienceDirect","title":"Reaction kinetic model of glycolysis of polyethylene terephthalate","volume":"309","author":[{"family":"Wang","given":"Ling-Han"},{"family":"Lan","given":"Sen"},{"family":"Huang","given":"Zi-Bin"},{"family":"Yang","given":"Jing-Yi"},{"family":"Gong","given":"Jian-Hong"},{"family":"Yuan","given":"Pei-Qing"}],"issued":{"date-parts":[["2025",5,1]]}}}],"schema":"https://github.com/citation-style-language/schema/raw/master/csl-citation.json"} </w:instrText>
      </w:r>
      <w:r w:rsidRPr="00BE2023">
        <w:rPr>
          <w:color w:val="000000"/>
          <w:lang w:val="en-GB"/>
        </w:rPr>
        <w:fldChar w:fldCharType="separate"/>
      </w:r>
      <w:r w:rsidR="002E66A0" w:rsidRPr="002E66A0">
        <w:rPr>
          <w:noProof/>
          <w:color w:val="000000"/>
          <w:lang w:val="en-GB"/>
        </w:rPr>
        <w:t>[48]</w:t>
      </w:r>
      <w:r w:rsidRPr="00BE2023">
        <w:rPr>
          <w:color w:val="000000"/>
          <w:lang w:val="en-GB"/>
        </w:rPr>
        <w:fldChar w:fldCharType="end"/>
      </w:r>
      <w:r w:rsidRPr="002E66A0">
        <w:rPr>
          <w:color w:val="000000"/>
          <w:lang w:val="en-GB"/>
        </w:rPr>
        <w:t xml:space="preserve">, </w:t>
      </w:r>
      <w:r w:rsidRPr="00BE2023">
        <w:rPr>
          <w:color w:val="000000"/>
          <w:lang w:val="en-GB"/>
        </w:rPr>
        <w:fldChar w:fldCharType="begin"/>
      </w:r>
      <w:r w:rsidR="002E66A0" w:rsidRPr="002E66A0">
        <w:rPr>
          <w:color w:val="000000"/>
          <w:lang w:val="en-GB"/>
        </w:rPr>
        <w:instrText xml:space="preserve"> ADDIN ZOTERO_ITEM CSL_CITATION {"citationID":"vDlUDZZ2","properties":{"formattedCitation":"[37]","plainCitation":"[37]","noteIndex":0},"citationItems":[{"id":13113,"uris":["http://zotero.org/users/12598273/items/WBF4HRAX"],"itemData":{"id":13113,"type":"article-journal","abstract":"Poly(ethylene terephthalate) (PET) is the most widely produced thermoplastic and is used in drink bottles, packaging, and textiles. Chemical depolymerization represents a way to recycle PET that is robust to the low purity and quality of some waste PET sources. This work investigates the three primary routes to depolymerize PET into feedstocks used to produce the PET polymer: methanolysis, glycolysis, and hydrolysis. This work is unique in providing a thorough review of the depolymerization thermodynamics, chemistry, purification strategies, and design of PET depolymerization processes from an industrial perspective. This work provides detailed descriptions of different variants of PET depolymerization processes. We summarize available data necessary to design a PET depolymerization process and indicate where gaps in data exist. We demonstrate the importance of separation and purification sections of the process, which are rarely addressed in academic literature. We also demonstrate different designs and strategies that industrial technologies employ to address challenges.","citation-key":"mcneeleyAssessmentPETDepolymerization2024a","container-title":"Industrial &amp; Engineering Chemistry Research","DOI":"10.1021/acs.iecr.3c04000","ISSN":"0888-5885, 1520-5045","issue":"8","journalAbbreviation":"Ind. Eng. Chem. Res.","language":"en","license":"https://doi.org/10.15223/policy-029","page":"3355-3399","source":"DOI.org (Crossref)","title":"Assessment of PET Depolymerization Processes for Circular Economy. 1. Thermodynamics, Chemistry, Purification, and Process Design","volume":"63","author":[{"family":"McNeeley","given":"Adam"},{"family":"Liu","given":"Y. A."}],"issued":{"date-parts":[["2024",2,28]]}}}],"schema":"https://github.com/citation-style-language/schema/raw/master/csl-citation.json"} </w:instrText>
      </w:r>
      <w:r w:rsidRPr="00BE2023">
        <w:rPr>
          <w:color w:val="000000"/>
          <w:lang w:val="en-GB"/>
        </w:rPr>
        <w:fldChar w:fldCharType="separate"/>
      </w:r>
      <w:r w:rsidR="002E66A0" w:rsidRPr="002E66A0">
        <w:rPr>
          <w:noProof/>
          <w:color w:val="000000"/>
          <w:lang w:val="en-GB"/>
        </w:rPr>
        <w:t>[37]</w:t>
      </w:r>
      <w:r w:rsidRPr="00BE2023">
        <w:rPr>
          <w:color w:val="000000"/>
          <w:lang w:val="en-GB"/>
        </w:rPr>
        <w:fldChar w:fldCharType="end"/>
      </w:r>
      <w:r w:rsidRPr="002E66A0">
        <w:rPr>
          <w:color w:val="000000"/>
          <w:lang w:val="en-GB"/>
        </w:rPr>
        <w:t xml:space="preserve">.  </w:t>
      </w:r>
    </w:p>
    <w:p w14:paraId="5A7ECE21" w14:textId="77777777" w:rsidR="00145BB2" w:rsidRPr="002E66A0" w:rsidRDefault="00145BB2" w:rsidP="00145BB2">
      <w:pPr>
        <w:pStyle w:val="NoSpacing"/>
        <w:jc w:val="both"/>
        <w:rPr>
          <w:color w:val="000000"/>
          <w:lang w:val="en-GB"/>
        </w:rPr>
      </w:pPr>
    </w:p>
    <w:p w14:paraId="4DB6B59C" w14:textId="77777777" w:rsidR="00145BB2" w:rsidRPr="002E66A0" w:rsidRDefault="00145BB2" w:rsidP="00145BB2">
      <w:pPr>
        <w:jc w:val="center"/>
        <w:rPr>
          <w:lang w:val="en-GB"/>
        </w:rPr>
      </w:pPr>
      <m:oMath>
        <m:r>
          <w:rPr>
            <w:rFonts w:ascii="Cambria Math" w:hAnsi="Cambria Math"/>
            <w:lang w:val="en-GB"/>
          </w:rPr>
          <m:t>PET</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r>
          <w:rPr>
            <w:rFonts w:ascii="Cambria Math" w:hAnsi="Cambria Math"/>
            <w:lang w:val="en-GB"/>
          </w:rPr>
          <m:t>EG</m:t>
        </m:r>
        <m:d>
          <m:dPr>
            <m:ctrlPr>
              <w:rPr>
                <w:rFonts w:ascii="Cambria Math" w:hAnsi="Cambria Math"/>
                <w:i/>
                <w:lang w:val="en-GB"/>
              </w:rPr>
            </m:ctrlPr>
          </m:dPr>
          <m:e>
            <m:r>
              <w:rPr>
                <w:rFonts w:ascii="Cambria Math" w:hAnsi="Cambria Math"/>
                <w:lang w:val="en-GB"/>
              </w:rPr>
              <m:t>l</m:t>
            </m:r>
          </m:e>
        </m:d>
        <m:box>
          <m:boxPr>
            <m:opEmu m:val="1"/>
            <m:ctrlPr>
              <w:rPr>
                <w:rFonts w:ascii="Cambria Math" w:hAnsi="Cambria Math"/>
                <w:i/>
                <w:lang w:val="en-GB"/>
              </w:rPr>
            </m:ctrlPr>
          </m:boxPr>
          <m:e>
            <m:groupChr>
              <m:groupChrPr>
                <m:chr m:val="→"/>
                <m:vertJc m:val="bot"/>
                <m:ctrlPr>
                  <w:rPr>
                    <w:rFonts w:ascii="Cambria Math" w:hAnsi="Cambria Math"/>
                    <w:i/>
                    <w:lang w:val="en-GB"/>
                  </w:rPr>
                </m:ctrlPr>
              </m:groupChrPr>
              <m:e>
                <m:r>
                  <w:rPr>
                    <w:rFonts w:ascii="Cambria Math" w:hAnsi="Cambria Math"/>
                    <w:lang w:val="en-GB"/>
                  </w:rPr>
                  <m:t>1,3-</m:t>
                </m:r>
                <m:r>
                  <w:rPr>
                    <w:rFonts w:ascii="Cambria Math" w:hAnsi="Cambria Math"/>
                    <w:lang w:val="en-GB"/>
                  </w:rPr>
                  <m:t>DMUZn</m:t>
                </m:r>
                <m:sSub>
                  <m:sSubPr>
                    <m:ctrlPr>
                      <w:rPr>
                        <w:rFonts w:ascii="Cambria Math" w:hAnsi="Cambria Math"/>
                        <w:i/>
                        <w:lang w:val="en-GB"/>
                      </w:rPr>
                    </m:ctrlPr>
                  </m:sSubPr>
                  <m:e>
                    <m:d>
                      <m:dPr>
                        <m:ctrlPr>
                          <w:rPr>
                            <w:rFonts w:ascii="Cambria Math" w:hAnsi="Cambria Math"/>
                            <w:i/>
                            <w:lang w:val="en-GB"/>
                          </w:rPr>
                        </m:ctrlPr>
                      </m:dPr>
                      <m:e>
                        <m:r>
                          <w:rPr>
                            <w:rFonts w:ascii="Cambria Math" w:hAnsi="Cambria Math"/>
                            <w:lang w:val="en-GB"/>
                          </w:rPr>
                          <m:t>OAc</m:t>
                        </m:r>
                      </m:e>
                    </m:d>
                  </m:e>
                  <m:sub>
                    <m:r>
                      <w:rPr>
                        <w:rFonts w:ascii="Cambria Math" w:hAnsi="Cambria Math"/>
                        <w:lang w:val="en-GB"/>
                      </w:rPr>
                      <m:t>2</m:t>
                    </m:r>
                  </m:sub>
                </m:sSub>
              </m:e>
            </m:groupChr>
            <m:r>
              <w:rPr>
                <w:rFonts w:ascii="Cambria Math" w:hAnsi="Cambria Math"/>
                <w:lang w:val="en-GB"/>
              </w:rPr>
              <m:t>BHET</m:t>
            </m:r>
            <m:d>
              <m:dPr>
                <m:ctrlPr>
                  <w:rPr>
                    <w:rFonts w:ascii="Cambria Math" w:hAnsi="Cambria Math"/>
                    <w:i/>
                    <w:lang w:val="en-GB"/>
                  </w:rPr>
                </m:ctrlPr>
              </m:dPr>
              <m:e>
                <m:r>
                  <w:rPr>
                    <w:rFonts w:ascii="Cambria Math" w:hAnsi="Cambria Math"/>
                    <w:lang w:val="en-GB"/>
                  </w:rPr>
                  <m:t>s</m:t>
                </m:r>
              </m:e>
            </m:d>
            <m:r>
              <w:rPr>
                <w:rFonts w:ascii="Cambria Math" w:hAnsi="Cambria Math"/>
                <w:lang w:val="en-GB"/>
              </w:rPr>
              <m:t>+</m:t>
            </m:r>
            <m:r>
              <w:rPr>
                <w:rFonts w:ascii="Cambria Math" w:hAnsi="Cambria Math"/>
                <w:lang w:val="en-GB"/>
              </w:rPr>
              <m:t>oligomers</m:t>
            </m:r>
          </m:e>
        </m:box>
      </m:oMath>
      <w:r w:rsidRPr="002E66A0">
        <w:rPr>
          <w:lang w:val="en-GB"/>
        </w:rPr>
        <w:t xml:space="preserve"> </w:t>
      </w:r>
      <w:r w:rsidRPr="002E66A0">
        <w:rPr>
          <w:lang w:val="en-GB"/>
        </w:rPr>
        <w:tab/>
      </w:r>
      <w:r w:rsidRPr="002E66A0">
        <w:rPr>
          <w:lang w:val="en-GB"/>
        </w:rPr>
        <w:tab/>
        <w:t>(R2)</w:t>
      </w:r>
    </w:p>
    <w:p w14:paraId="7561F18B" w14:textId="77777777" w:rsidR="00145BB2" w:rsidRPr="002E66A0" w:rsidRDefault="00145BB2" w:rsidP="00145BB2">
      <w:pPr>
        <w:rPr>
          <w:color w:val="000000"/>
          <w:lang w:val="en-GB"/>
        </w:rPr>
      </w:pPr>
    </w:p>
    <w:p w14:paraId="497C5376" w14:textId="18781906" w:rsidR="00145BB2" w:rsidRPr="00BE2023" w:rsidRDefault="00145BB2" w:rsidP="00145BB2">
      <w:pPr>
        <w:rPr>
          <w:lang w:val="en-GB"/>
        </w:rPr>
      </w:pPr>
      <w:r w:rsidRPr="00BE2023">
        <w:rPr>
          <w:color w:val="000000"/>
          <w:lang w:val="en-GB"/>
        </w:rPr>
        <w:t xml:space="preserve">In addition to BHET, minor by-products such as acetaldehyde, diethylene glycol (DEG), and water are formed. Product separation is </w:t>
      </w:r>
      <w:proofErr w:type="spellStart"/>
      <w:r w:rsidRPr="00BE2023">
        <w:rPr>
          <w:color w:val="000000"/>
          <w:lang w:val="en-GB"/>
        </w:rPr>
        <w:t>modeled</w:t>
      </w:r>
      <w:proofErr w:type="spellEnd"/>
      <w:r w:rsidRPr="00BE2023">
        <w:rPr>
          <w:color w:val="000000"/>
          <w:lang w:val="en-GB"/>
        </w:rPr>
        <w:t xml:space="preserve"> using flash separation and distillation, enabling the recovery of EG, BHET, and residual PET. BHET is subsequently purified by crystallization, filtration, and drying, reaching a purity of approximately 98% before repolymerization </w:t>
      </w:r>
      <w:r w:rsidRPr="00BE2023">
        <w:rPr>
          <w:color w:val="000000"/>
          <w:lang w:val="en-GB"/>
        </w:rPr>
        <w:fldChar w:fldCharType="begin"/>
      </w:r>
      <w:r w:rsidR="002E66A0">
        <w:rPr>
          <w:color w:val="000000"/>
          <w:lang w:val="en-GB"/>
        </w:rPr>
        <w:instrText xml:space="preserve"> ADDIN ZOTERO_ITEM CSL_CITATION {"citationID":"8jHpqmj3","properties":{"formattedCitation":"[49]","plainCitation":"[49]","noteIndex":0},"citationItems":[{"id":13695,"uris":["http://zotero.org/groups/5859689/items/FJT53T37"],"itemData":{"id":13695,"type":"article-journal","citation-key":"yaoSolubilityDeterminationThermodynamic2022","container-title":"Chinese Journal of Chemical Engineering","DOI":"10.1016/j.cjche.2021.03.024","ISSN":"10049541","journalAbbreviation":"Chinese Journal of Chemical Engineering","language":"en","page":"294-300","source":"DOI.org (Crossref)","title":"Solubility determination and thermodynamic modeling of bis-2-hydroxyethyl terephthalate (BHET) in different solvents","volume":"45","author":[{"family":"Yao","given":"Haoyu"},{"family":"Yan","given":"Dongxia"},{"family":"Lu","given":"Xingmei"},{"family":"Zhou","given":"Qing"},{"family":"Bao","given":"Yinan"},{"family":"Xu","given":"Junli"}],"issued":{"date-parts":[["2022",5]]}}}],"schema":"https://github.com/citation-style-language/schema/raw/master/csl-citation.json"} </w:instrText>
      </w:r>
      <w:r w:rsidRPr="00BE2023">
        <w:rPr>
          <w:color w:val="000000"/>
          <w:lang w:val="en-GB"/>
        </w:rPr>
        <w:fldChar w:fldCharType="separate"/>
      </w:r>
      <w:r w:rsidR="002E66A0">
        <w:rPr>
          <w:noProof/>
          <w:color w:val="000000"/>
          <w:lang w:val="en-GB"/>
        </w:rPr>
        <w:t>[49]</w:t>
      </w:r>
      <w:r w:rsidRPr="00BE2023">
        <w:rPr>
          <w:color w:val="000000"/>
          <w:lang w:val="en-GB"/>
        </w:rPr>
        <w:fldChar w:fldCharType="end"/>
      </w:r>
      <w:r w:rsidRPr="00BE2023">
        <w:rPr>
          <w:color w:val="000000"/>
          <w:lang w:val="en-GB"/>
        </w:rPr>
        <w:t xml:space="preserve">, </w:t>
      </w:r>
      <w:r w:rsidRPr="00BE2023">
        <w:rPr>
          <w:color w:val="000000"/>
          <w:lang w:val="en-GB"/>
        </w:rPr>
        <w:fldChar w:fldCharType="begin"/>
      </w:r>
      <w:r w:rsidR="002E66A0">
        <w:rPr>
          <w:color w:val="000000"/>
          <w:lang w:val="en-GB"/>
        </w:rPr>
        <w:instrText xml:space="preserve"> ADDIN ZOTERO_ITEM CSL_CITATION {"citationID":"yQVEWXFQ","properties":{"formattedCitation":"[50]","plainCitation":"[50]","noteIndex":0},"citationItems":[{"id":13764,"uris":["http://zotero.org/groups/5859689/items/D7EVD5FW"],"itemData":{"id":13764,"type":"thesis","citation-key":"konidisDesignDirectHeated","genre":"Master's Thesis","publisher":"Concordia University","publisher-place":"Montreal","title":"Design of Direct Heated Rotary Dryers","author":[{"family":"Konidis","given":"Jordan"}]}}],"schema":"https://github.com/citation-style-language/schema/raw/master/csl-citation.json"} </w:instrText>
      </w:r>
      <w:r w:rsidRPr="00BE2023">
        <w:rPr>
          <w:color w:val="000000"/>
          <w:lang w:val="en-GB"/>
        </w:rPr>
        <w:fldChar w:fldCharType="separate"/>
      </w:r>
      <w:r w:rsidR="002E66A0">
        <w:rPr>
          <w:noProof/>
          <w:color w:val="000000"/>
          <w:lang w:val="en-GB"/>
        </w:rPr>
        <w:t>[50]</w:t>
      </w:r>
      <w:r w:rsidRPr="00BE2023">
        <w:rPr>
          <w:color w:val="000000"/>
          <w:lang w:val="en-GB"/>
        </w:rPr>
        <w:fldChar w:fldCharType="end"/>
      </w:r>
      <w:r w:rsidRPr="00BE2023">
        <w:rPr>
          <w:color w:val="000000"/>
          <w:lang w:val="en-GB"/>
        </w:rPr>
        <w:t xml:space="preserve">, </w:t>
      </w:r>
      <w:r w:rsidRPr="00BE2023">
        <w:rPr>
          <w:color w:val="000000"/>
          <w:lang w:val="en-GB"/>
        </w:rPr>
        <w:fldChar w:fldCharType="begin"/>
      </w:r>
      <w:r w:rsidR="002E66A0">
        <w:rPr>
          <w:color w:val="000000"/>
          <w:lang w:val="en-GB"/>
        </w:rPr>
        <w:instrText xml:space="preserve"> ADDIN ZOTERO_ITEM CSL_CITATION {"citationID":"S7gBIqaQ","properties":{"formattedCitation":"[46]","plainCitation":"[46]","noteIndex":0},"citationItems":[{"id":13985,"uris":["http://zotero.org/users/12598273/items/P7YNZV36"],"itemData":{"id":13985,"type":"article-journal","citation-key":"quentinPETOuPolyethyleneterephtalate2004","journalAbbreviation":"Techniques de l'ingenieur","publisher":"Techniques de l'ingénieur","source":"Zotero","title":"PET ou polyéthylènetéréphtalate","volume":"J6488V1","author":[{"family":"Quentin","given":"Jean-Pierre"}],"issued":{"date-parts":[["2004",10,6]]}}}],"schema":"https://github.com/citation-style-language/schema/raw/master/csl-citation.json"} </w:instrText>
      </w:r>
      <w:r w:rsidRPr="00BE2023">
        <w:rPr>
          <w:color w:val="000000"/>
          <w:lang w:val="en-GB"/>
        </w:rPr>
        <w:fldChar w:fldCharType="separate"/>
      </w:r>
      <w:r w:rsidR="002E66A0">
        <w:rPr>
          <w:noProof/>
          <w:color w:val="000000"/>
          <w:lang w:val="en-GB"/>
        </w:rPr>
        <w:t>[46]</w:t>
      </w:r>
      <w:r w:rsidRPr="00BE2023">
        <w:rPr>
          <w:color w:val="000000"/>
          <w:lang w:val="en-GB"/>
        </w:rPr>
        <w:fldChar w:fldCharType="end"/>
      </w:r>
      <w:r w:rsidRPr="00BE2023">
        <w:rPr>
          <w:color w:val="000000"/>
          <w:lang w:val="en-GB"/>
        </w:rPr>
        <w:t xml:space="preserve">, </w:t>
      </w:r>
      <w:r w:rsidRPr="00BE2023">
        <w:rPr>
          <w:color w:val="000000"/>
          <w:lang w:val="en-GB"/>
        </w:rPr>
        <w:fldChar w:fldCharType="begin"/>
      </w:r>
      <w:r w:rsidR="002E66A0">
        <w:rPr>
          <w:color w:val="000000"/>
          <w:lang w:val="en-GB"/>
        </w:rPr>
        <w:instrText xml:space="preserve"> ADDIN ZOTERO_ITEM CSL_CITATION {"citationID":"B5iwWtWC","properties":{"formattedCitation":"[37]","plainCitation":"[37]","noteIndex":0},"citationItems":[{"id":13113,"uris":["http://zotero.org/users/12598273/items/WBF4HRAX"],"itemData":{"id":13113,"type":"article-journal","abstract":"Poly(ethylene terephthalate) (PET) is the most widely produced thermoplastic and is used in drink bottles, packaging, and textiles. Chemical depolymerization represents a way to recycle PET that is robust to the low purity and quality of some waste PET sources. This work investigates the three primary routes to depolymerize PET into feedstocks used to produce the PET polymer: methanolysis, glycolysis, and hydrolysis. This work is unique in providing a thorough review of the depolymerization thermodynamics, chemistry, purification strategies, and design of PET depolymerization processes from an industrial perspective. This work provides detailed descriptions of different variants of PET depolymerization processes. We summarize available data necessary to design a PET depolymerization process and indicate where gaps in data exist. We demonstrate the importance of separation and purification sections of the process, which are rarely addressed in academic literature. We also demonstrate different designs and strategies that industrial technologies employ to address challenges.","citation-key":"mcneeleyAssessmentPETDepolymerization2024a","container-title":"Industrial &amp; Engineering Chemistry Research","DOI":"10.1021/acs.iecr.3c04000","ISSN":"0888-5885, 1520-5045","issue":"8","journalAbbreviation":"Ind. Eng. Chem. Res.","language":"en","license":"https://doi.org/10.15223/policy-029","page":"3355-3399","source":"DOI.org (Crossref)","title":"Assessment of PET Depolymerization Processes for Circular Economy. 1. Thermodynamics, Chemistry, Purification, and Process Design","volume":"63","author":[{"family":"McNeeley","given":"Adam"},{"family":"Liu","given":"Y. A."}],"issued":{"date-parts":[["2024",2,28]]}}}],"schema":"https://github.com/citation-style-language/schema/raw/master/csl-citation.json"} </w:instrText>
      </w:r>
      <w:r w:rsidRPr="00BE2023">
        <w:rPr>
          <w:color w:val="000000"/>
          <w:lang w:val="en-GB"/>
        </w:rPr>
        <w:fldChar w:fldCharType="separate"/>
      </w:r>
      <w:r w:rsidR="002E66A0">
        <w:rPr>
          <w:noProof/>
          <w:color w:val="000000"/>
          <w:lang w:val="en-GB"/>
        </w:rPr>
        <w:t>[37]</w:t>
      </w:r>
      <w:r w:rsidRPr="00BE2023">
        <w:rPr>
          <w:color w:val="000000"/>
          <w:lang w:val="en-GB"/>
        </w:rPr>
        <w:fldChar w:fldCharType="end"/>
      </w:r>
      <w:r w:rsidRPr="00BE2023">
        <w:rPr>
          <w:color w:val="000000"/>
          <w:lang w:val="en-GB"/>
        </w:rPr>
        <w:t xml:space="preserve">. </w:t>
      </w:r>
    </w:p>
    <w:p w14:paraId="419ABA59" w14:textId="77777777" w:rsidR="00145BB2" w:rsidRPr="00BE2023" w:rsidRDefault="00145BB2" w:rsidP="00145BB2">
      <w:pPr>
        <w:rPr>
          <w:lang w:val="en-GB"/>
        </w:rPr>
      </w:pPr>
    </w:p>
    <w:p w14:paraId="67EBB20F" w14:textId="77777777" w:rsidR="00145BB2" w:rsidRPr="00BE2023" w:rsidRDefault="00145BB2" w:rsidP="00145BB2">
      <w:pPr>
        <w:rPr>
          <w:b/>
          <w:bCs/>
          <w:lang w:val="en-GB"/>
        </w:rPr>
      </w:pPr>
      <w:r w:rsidRPr="00BE2023">
        <w:rPr>
          <w:b/>
          <w:bCs/>
          <w:lang w:val="en-GB"/>
        </w:rPr>
        <w:t>Methanolysis</w:t>
      </w:r>
    </w:p>
    <w:p w14:paraId="581ADF76" w14:textId="6F49AC2B" w:rsidR="00145BB2" w:rsidRPr="00BE2023" w:rsidRDefault="00145BB2" w:rsidP="00145BB2">
      <w:pPr>
        <w:pStyle w:val="NoSpacing"/>
        <w:jc w:val="both"/>
        <w:rPr>
          <w:lang w:val="en-GB"/>
        </w:rPr>
      </w:pPr>
      <w:r w:rsidRPr="00BE2023">
        <w:rPr>
          <w:lang w:val="en-GB"/>
        </w:rPr>
        <w:t xml:space="preserve">Methanolysis is a transesterification process in which PET reacts with methanol (MeOH) to produce dimethyl terephthalate (DMT) and EG, following (R3)  </w:t>
      </w:r>
      <w:r w:rsidRPr="00BE2023">
        <w:rPr>
          <w:lang w:val="en-GB"/>
        </w:rPr>
        <w:fldChar w:fldCharType="begin"/>
      </w:r>
      <w:r w:rsidR="002E66A0">
        <w:rPr>
          <w:lang w:val="en-GB"/>
        </w:rPr>
        <w:instrText xml:space="preserve"> ADDIN ZOTERO_ITEM CSL_CITATION {"citationID":"5LCSW5jC","properties":{"formattedCitation":"[37]","plainCitation":"[37]","noteIndex":0},"citationItems":[{"id":13113,"uris":["http://zotero.org/users/12598273/items/WBF4HRAX"],"itemData":{"id":13113,"type":"article-journal","abstract":"Poly(ethylene terephthalate) (PET) is the most widely produced thermoplastic and is used in drink bottles, packaging, and textiles. Chemical depolymerization represents a way to recycle PET that is robust to the low purity and quality of some waste PET sources. This work investigates the three primary routes to depolymerize PET into feedstocks used to produce the PET polymer: methanolysis, glycolysis, and hydrolysis. This work is unique in providing a thorough review of the depolymerization thermodynamics, chemistry, purification strategies, and design of PET depolymerization processes from an industrial perspective. This work provides detailed descriptions of different variants of PET depolymerization processes. We summarize available data necessary to design a PET depolymerization process and indicate where gaps in data exist. We demonstrate the importance of separation and purification sections of the process, which are rarely addressed in academic literature. We also demonstrate different designs and strategies that industrial technologies employ to address challenges.","citation-key":"mcneeleyAssessmentPETDepolymerization2024a","container-title":"Industrial &amp; Engineering Chemistry Research","DOI":"10.1021/acs.iecr.3c04000","ISSN":"0888-5885, 1520-5045","issue":"8","journalAbbreviation":"Ind. Eng. Chem. Res.","language":"en","license":"https://doi.org/10.15223/policy-029","page":"3355-3399","source":"DOI.org (Crossref)","title":"Assessment of PET Depolymerization Processes for Circular Economy. 1. Thermodynamics, Chemistry, Purification, and Process Design","volume":"63","author":[{"family":"McNeeley","given":"Adam"},{"family":"Liu","given":"Y. A."}],"issued":{"date-parts":[["2024",2,28]]}}}],"schema":"https://github.com/citation-style-language/schema/raw/master/csl-citation.json"} </w:instrText>
      </w:r>
      <w:r w:rsidRPr="00BE2023">
        <w:rPr>
          <w:lang w:val="en-GB"/>
        </w:rPr>
        <w:fldChar w:fldCharType="separate"/>
      </w:r>
      <w:r w:rsidR="002E66A0">
        <w:rPr>
          <w:noProof/>
          <w:lang w:val="en-GB"/>
        </w:rPr>
        <w:t>[37]</w:t>
      </w:r>
      <w:r w:rsidRPr="00BE2023">
        <w:rPr>
          <w:lang w:val="en-GB"/>
        </w:rPr>
        <w:fldChar w:fldCharType="end"/>
      </w:r>
      <w:r w:rsidRPr="00BE2023">
        <w:rPr>
          <w:lang w:val="en-GB"/>
        </w:rPr>
        <w:t xml:space="preserve">, </w:t>
      </w:r>
      <w:r w:rsidRPr="00BE2023">
        <w:rPr>
          <w:lang w:val="en-GB"/>
        </w:rPr>
        <w:fldChar w:fldCharType="begin"/>
      </w:r>
      <w:r w:rsidR="002E66A0">
        <w:rPr>
          <w:lang w:val="en-GB"/>
        </w:rPr>
        <w:instrText xml:space="preserve"> ADDIN ZOTERO_ITEM CSL_CITATION {"citationID":"O96k1pqM","properties":{"formattedCitation":"[51]","plainCitation":"[51]","noteIndex":0},"citationItems":[{"id":13987,"uris":["http://zotero.org/users/12598273/items/A4S7A7ZH"],"itemData":{"id":13987,"type":"article-journal","abstract":"Polyethylene terephthalate (PET) is a thermoplastic polymer which is the most used polyester in the plastics industry in the present day. It is predominately used to construct clothes fibres and food containers due to its properties. The problems surrounding this phenomenon are the basis for the decision to produce this plant facility. An alternative method of recycling PET is to perform a chemical reaction. Eight initial reaction routes were identified and narrowed down to three final processes according to their economic viability and sustainability: methanolysis, glycolysis and hydrolysis. These three processes were evaluated using the Triple Bottom Line (TBL) method by considering the effect each reaction has on the local community, environment, and economic potential. It was identified that glycolysis was the most suitable process due to its significant initial economic potential of 21.15 M$/year calculated from the product and raw material costs. The reaction routes available for this process were researched and a final route was decided based on the operation costs and sustainability opportunities that the individual units offer. At the end of the economic evaluation for the process, it is determined that a profit value of 13.24 M$/year can be obtained with a post-tax profit of 6.35 M$/year. The equipment cost is evaluated as $6.63 M with employability of 28 people. The start-up cost for the process will be $2.4 M with a return on investment of 36% and a payback time of 3.5 years.","citation-key":"langChemicalRecyclingPolyethylene2023","container-title":"Journal of Environmental Chemical Engineering","DOI":"10.1016/j.jece.2023.110585","ISSN":"22133437","issue":"5","journalAbbreviation":"Journal of Environmental Chemical Engineering","language":"en","page":"110585","source":"DOI.org (Crossref)","title":"Chemical recycling of polyethylene terephthalate, an industrial and sustainable opportunity for Northwest of England","volume":"11","author":[{"family":"Lang","given":"William Thomas"},{"family":"Mehta","given":"Sulaiman Adam"},{"family":"Thomas","given":"Mischelle Mary"},{"family":"Openshaw","given":"Dillon"},{"family":"Westgate","given":"Ewan"},{"family":"Bagnato","given":"Giuseppe"}],"issued":{"date-parts":[["2023",10]]}}}],"schema":"https://github.com/citation-style-language/schema/raw/master/csl-citation.json"} </w:instrText>
      </w:r>
      <w:r w:rsidRPr="00BE2023">
        <w:rPr>
          <w:lang w:val="en-GB"/>
        </w:rPr>
        <w:fldChar w:fldCharType="separate"/>
      </w:r>
      <w:r w:rsidR="002E66A0">
        <w:rPr>
          <w:noProof/>
          <w:lang w:val="en-GB"/>
        </w:rPr>
        <w:t>[51]</w:t>
      </w:r>
      <w:r w:rsidRPr="00BE2023">
        <w:rPr>
          <w:lang w:val="en-GB"/>
        </w:rPr>
        <w:fldChar w:fldCharType="end"/>
      </w:r>
      <w:r w:rsidRPr="00BE2023">
        <w:rPr>
          <w:lang w:val="en-GB"/>
        </w:rPr>
        <w:t xml:space="preserve">. The reaction occurs at 260°C, 3 bar, and is </w:t>
      </w:r>
      <w:proofErr w:type="spellStart"/>
      <w:r w:rsidRPr="00BE2023">
        <w:rPr>
          <w:lang w:val="en-GB"/>
        </w:rPr>
        <w:t>modeled</w:t>
      </w:r>
      <w:proofErr w:type="spellEnd"/>
      <w:r w:rsidRPr="00BE2023">
        <w:rPr>
          <w:lang w:val="en-GB"/>
        </w:rPr>
        <w:t xml:space="preserve"> in the presence of methanol vapor at elevated temperature, allowing the continuous removal of volatile products and thereby shifting the reaction equilibrium toward monomer formation </w:t>
      </w:r>
      <w:r w:rsidRPr="00BE2023">
        <w:rPr>
          <w:lang w:val="en-GB"/>
        </w:rPr>
        <w:fldChar w:fldCharType="begin"/>
      </w:r>
      <w:r w:rsidR="002E66A0">
        <w:rPr>
          <w:lang w:val="en-GB"/>
        </w:rPr>
        <w:instrText xml:space="preserve"> ADDIN ZOTERO_ITEM CSL_CITATION {"citationID":"tWucTRi1","properties":{"formattedCitation":"[52]","plainCitation":"[52]","noteIndex":0},"citationItems":[{"id":13992,"uris":["http://zotero.org/users/12598273/items/98JCE8TW"],"itemData":{"id":13992,"type":"patent","citation-key":"barlaMethodsRecyclingCotton","number":"US2020/0407530A1","publisher-place":"Danville, VA","title":"Methods for recycling cotton and polyester fibers from waste textile","author":[{"family":"Barla","given":"Florin"},{"family":"Showalter","given":"Todd"},{"family":"Su","given":"Hsun-Cheng"},{"family":"Jones","given":"Jeremy"},{"family":"Bobe","given":""}],"submitted":{"date-parts":[["2020",9,14]]}}}],"schema":"https://github.com/citation-style-language/schema/raw/master/csl-citation.json"} </w:instrText>
      </w:r>
      <w:r w:rsidRPr="00BE2023">
        <w:rPr>
          <w:lang w:val="en-GB"/>
        </w:rPr>
        <w:fldChar w:fldCharType="separate"/>
      </w:r>
      <w:r w:rsidR="002E66A0">
        <w:rPr>
          <w:noProof/>
          <w:lang w:val="en-GB"/>
        </w:rPr>
        <w:t>[52]</w:t>
      </w:r>
      <w:r w:rsidRPr="00BE2023">
        <w:rPr>
          <w:lang w:val="en-GB"/>
        </w:rPr>
        <w:fldChar w:fldCharType="end"/>
      </w:r>
      <w:r w:rsidRPr="00BE2023">
        <w:rPr>
          <w:lang w:val="en-GB"/>
        </w:rPr>
        <w:t xml:space="preserve">. The </w:t>
      </w:r>
      <w:r w:rsidRPr="00BE2023">
        <w:rPr>
          <w:color w:val="000000"/>
          <w:lang w:val="en-GB"/>
        </w:rPr>
        <w:t>methanol-to-PET mass ratio is 4:1.</w:t>
      </w:r>
    </w:p>
    <w:p w14:paraId="19FB8EEE" w14:textId="77777777" w:rsidR="00145BB2" w:rsidRPr="00BE2023" w:rsidRDefault="00145BB2" w:rsidP="00145BB2">
      <w:pPr>
        <w:rPr>
          <w:lang w:val="en-GB"/>
        </w:rPr>
      </w:pPr>
      <m:oMathPara>
        <m:oMath>
          <m:r>
            <m:rPr>
              <m:nor/>
            </m:rPr>
            <w:rPr>
              <w:lang w:val="en-GB"/>
            </w:rPr>
            <m:t>P</m:t>
          </m:r>
          <m:r>
            <w:rPr>
              <w:rFonts w:ascii="Cambria Math" w:hAnsi="Cambria Math"/>
              <w:lang w:val="en-GB"/>
            </w:rPr>
            <m:t>ET</m:t>
          </m:r>
          <m:d>
            <m:dPr>
              <m:ctrlPr>
                <w:rPr>
                  <w:rFonts w:ascii="Cambria Math" w:hAnsi="Cambria Math"/>
                  <w:i/>
                  <w:lang w:val="en-GB"/>
                </w:rPr>
              </m:ctrlPr>
            </m:dPr>
            <m:e>
              <m:r>
                <w:rPr>
                  <w:rFonts w:ascii="Cambria Math" w:hAnsi="Cambria Math"/>
                  <w:lang w:val="en-GB"/>
                </w:rPr>
                <m:t>s</m:t>
              </m:r>
            </m:e>
          </m:d>
          <m:r>
            <w:rPr>
              <w:rFonts w:ascii="Cambria Math" w:hAnsi="Cambria Math"/>
              <w:lang w:val="en-GB"/>
            </w:rPr>
            <m:t>+2MeOH</m:t>
          </m:r>
          <m:d>
            <m:dPr>
              <m:ctrlPr>
                <w:rPr>
                  <w:rFonts w:ascii="Cambria Math" w:hAnsi="Cambria Math"/>
                  <w:i/>
                  <w:lang w:val="en-GB"/>
                </w:rPr>
              </m:ctrlPr>
            </m:dPr>
            <m:e>
              <m:r>
                <w:rPr>
                  <w:rFonts w:ascii="Cambria Math" w:hAnsi="Cambria Math"/>
                  <w:lang w:val="en-GB"/>
                </w:rPr>
                <m:t>l</m:t>
              </m:r>
            </m:e>
          </m:d>
          <m:r>
            <w:rPr>
              <w:rFonts w:ascii="Cambria Math" w:hAnsi="Cambria Math"/>
              <w:lang w:val="en-GB"/>
            </w:rPr>
            <m:t>→DMT</m:t>
          </m:r>
          <m:d>
            <m:dPr>
              <m:ctrlPr>
                <w:rPr>
                  <w:rFonts w:ascii="Cambria Math" w:hAnsi="Cambria Math"/>
                  <w:i/>
                  <w:lang w:val="en-GB"/>
                </w:rPr>
              </m:ctrlPr>
            </m:dPr>
            <m:e>
              <m:r>
                <w:rPr>
                  <w:rFonts w:ascii="Cambria Math" w:hAnsi="Cambria Math"/>
                  <w:lang w:val="en-GB"/>
                </w:rPr>
                <m:t>s</m:t>
              </m:r>
            </m:e>
          </m:d>
          <m:r>
            <w:rPr>
              <w:rFonts w:ascii="Cambria Math" w:hAnsi="Cambria Math"/>
              <w:lang w:val="en-GB"/>
            </w:rPr>
            <m:t>+EG</m:t>
          </m:r>
          <m:d>
            <m:dPr>
              <m:ctrlPr>
                <w:rPr>
                  <w:rFonts w:ascii="Cambria Math" w:hAnsi="Cambria Math"/>
                  <w:i/>
                  <w:lang w:val="en-GB"/>
                </w:rPr>
              </m:ctrlPr>
            </m:dPr>
            <m:e>
              <m:r>
                <w:rPr>
                  <w:rFonts w:ascii="Cambria Math" w:hAnsi="Cambria Math"/>
                  <w:lang w:val="en-GB"/>
                </w:rPr>
                <m:t>l</m:t>
              </m:r>
            </m:e>
          </m:d>
          <m:d>
            <m:dPr>
              <m:ctrlPr>
                <w:rPr>
                  <w:rFonts w:ascii="Cambria Math" w:hAnsi="Cambria Math"/>
                  <w:i/>
                  <w:lang w:val="en-GB"/>
                </w:rPr>
              </m:ctrlPr>
            </m:dPr>
            <m:e>
              <m:r>
                <w:rPr>
                  <w:rFonts w:ascii="Cambria Math" w:hAnsi="Cambria Math"/>
                  <w:lang w:val="en-GB"/>
                </w:rPr>
                <m:t>R3</m:t>
              </m:r>
            </m:e>
          </m:d>
        </m:oMath>
      </m:oMathPara>
    </w:p>
    <w:p w14:paraId="62A70ADD" w14:textId="45F9CA92" w:rsidR="00145BB2" w:rsidRPr="00BE2023" w:rsidRDefault="00145BB2" w:rsidP="00145BB2">
      <w:pPr>
        <w:pStyle w:val="NormalWeb"/>
        <w:rPr>
          <w:color w:val="000000"/>
          <w:lang w:val="en-GB"/>
        </w:rPr>
      </w:pPr>
      <w:r w:rsidRPr="00BE2023">
        <w:rPr>
          <w:color w:val="000000"/>
          <w:lang w:val="en-GB"/>
        </w:rPr>
        <w:t xml:space="preserve">Volatile reaction products are separated through flash separation and distillation, enabling the recovery and purification of EG, DMT, and MeOH. Methanol is recycled to the reactor, while DMT is purified by crystallization, followed by filtration and drying. Recovered DMT and EG were subsequently repolymerized into PET via transesterification followed by polycondensation </w:t>
      </w:r>
      <w:r w:rsidRPr="00BE2023">
        <w:rPr>
          <w:color w:val="000000"/>
          <w:lang w:val="en-GB"/>
        </w:rPr>
        <w:fldChar w:fldCharType="begin"/>
      </w:r>
      <w:r w:rsidR="002E66A0">
        <w:rPr>
          <w:color w:val="000000"/>
          <w:lang w:val="en-GB"/>
        </w:rPr>
        <w:instrText xml:space="preserve"> ADDIN ZOTERO_ITEM CSL_CITATION {"citationID":"egURihE4","properties":{"formattedCitation":"[53]","plainCitation":"[53]","noteIndex":0},"citationItems":[{"id":13994,"uris":["http://zotero.org/users/12598273/items/MT4GFB74"],"itemData":{"id":13994,"type":"article-journal","citation-key":"tomitaStudiesFormationPolyethylene1973","container-title":"Polymer","DOI":"10.1016/0032-3861(73)90096-7","ISSN":"00323861","issue":"2","journalAbbreviation":"Polymer","language":"en","license":"https://www.elsevier.com/tdm/userlicense/1.0/","page":"55-60","source":"DOI.org (Crossref)","title":"Studies on the formation of poly(ethylene terephthalate): 2. Rate of transesterification of dimethyl terephthalate with ethylene glycol","title-short":"Studies on the formation of poly(ethylene terephthalate)","volume":"14","author":[{"family":"Tomita","given":"Kosuke"},{"family":"Ida","given":"Hiroaki"}],"issued":{"date-parts":[["1973",2]]}}}],"schema":"https://github.com/citation-style-language/schema/raw/master/csl-citation.json"} </w:instrText>
      </w:r>
      <w:r w:rsidRPr="00BE2023">
        <w:rPr>
          <w:color w:val="000000"/>
          <w:lang w:val="en-GB"/>
        </w:rPr>
        <w:fldChar w:fldCharType="separate"/>
      </w:r>
      <w:r w:rsidR="002E66A0">
        <w:rPr>
          <w:noProof/>
          <w:color w:val="000000"/>
          <w:lang w:val="en-GB"/>
        </w:rPr>
        <w:t>[53]</w:t>
      </w:r>
      <w:r w:rsidRPr="00BE2023">
        <w:rPr>
          <w:color w:val="000000"/>
          <w:lang w:val="en-GB"/>
        </w:rPr>
        <w:fldChar w:fldCharType="end"/>
      </w:r>
      <w:r w:rsidRPr="00BE2023">
        <w:rPr>
          <w:color w:val="000000"/>
          <w:lang w:val="en-GB"/>
        </w:rPr>
        <w:t>. In this process and via glycolysis, 0.87 t of recycled PET is produced for each ton of PET treated.</w:t>
      </w:r>
    </w:p>
    <w:p w14:paraId="6A80161E" w14:textId="2F4B02CC" w:rsidR="007559FD" w:rsidRDefault="007559FD">
      <w:pPr>
        <w:rPr>
          <w:rFonts w:asciiTheme="majorHAnsi" w:eastAsiaTheme="majorEastAsia" w:hAnsiTheme="majorHAnsi" w:cstheme="majorBidi"/>
          <w:color w:val="2F5496" w:themeColor="accent1" w:themeShade="BF"/>
          <w:kern w:val="2"/>
          <w:sz w:val="40"/>
          <w:szCs w:val="40"/>
          <w:lang w:val="en-GB" w:eastAsia="en-US"/>
          <w14:ligatures w14:val="standardContextual"/>
        </w:rPr>
      </w:pPr>
      <w:r>
        <w:br w:type="page"/>
      </w:r>
    </w:p>
    <w:p w14:paraId="235DF7D9" w14:textId="05E2D7DE" w:rsidR="00063863" w:rsidRPr="00063863" w:rsidRDefault="006B683C" w:rsidP="00063863">
      <w:pPr>
        <w:pStyle w:val="Heading1"/>
        <w:jc w:val="both"/>
      </w:pPr>
      <w:bookmarkStart w:id="22" w:name="_Toc234499928"/>
      <w:r>
        <w:lastRenderedPageBreak/>
        <w:t>S-R1. Results</w:t>
      </w:r>
      <w:bookmarkEnd w:id="22"/>
    </w:p>
    <w:p w14:paraId="072DBC88" w14:textId="15ED8FA4" w:rsidR="00D35823" w:rsidRPr="00D35823" w:rsidRDefault="00D35823" w:rsidP="00D35823">
      <w:pPr>
        <w:pStyle w:val="Heading2"/>
      </w:pPr>
      <w:bookmarkStart w:id="23" w:name="_Toc234499929"/>
      <w:r w:rsidRPr="00D35823">
        <w:t>S-R1.1 T</w:t>
      </w:r>
      <w:r w:rsidR="000A7338">
        <w:t>OTEX</w:t>
      </w:r>
      <w:r w:rsidR="003E700F">
        <w:t xml:space="preserve"> and CC impact scores</w:t>
      </w:r>
      <w:r w:rsidRPr="00D35823">
        <w:t xml:space="preserve"> </w:t>
      </w:r>
      <w:r w:rsidR="000A7338">
        <w:t>of</w:t>
      </w:r>
      <w:r>
        <w:t xml:space="preserve"> FU1 </w:t>
      </w:r>
      <w:r w:rsidRPr="00D35823">
        <w:t xml:space="preserve">under </w:t>
      </w:r>
      <w:r w:rsidR="00696040">
        <w:t xml:space="preserve">open and </w:t>
      </w:r>
      <w:r>
        <w:t>closed</w:t>
      </w:r>
      <w:r w:rsidR="009E7D47">
        <w:t>-</w:t>
      </w:r>
      <w:r>
        <w:t>loop assumptions</w:t>
      </w:r>
      <w:bookmarkEnd w:id="23"/>
    </w:p>
    <w:p w14:paraId="5F7B9AF2" w14:textId="68465920" w:rsidR="00894A95" w:rsidRDefault="00C239FA" w:rsidP="00AE622F">
      <w:pPr>
        <w:pStyle w:val="NormalWeb"/>
        <w:jc w:val="both"/>
        <w:rPr>
          <w:color w:val="000000"/>
        </w:rPr>
      </w:pPr>
      <w:r>
        <w:rPr>
          <w:color w:val="000000"/>
        </w:rPr>
        <w:t>To compare the economic</w:t>
      </w:r>
      <w:r w:rsidR="00555B09">
        <w:rPr>
          <w:color w:val="000000"/>
        </w:rPr>
        <w:t xml:space="preserve"> and environmental</w:t>
      </w:r>
      <w:r>
        <w:rPr>
          <w:color w:val="000000"/>
        </w:rPr>
        <w:t xml:space="preserve"> performance of the different end-of-life technologies, </w:t>
      </w:r>
      <w:r w:rsidR="00CB4F13">
        <w:rPr>
          <w:color w:val="000000"/>
        </w:rPr>
        <w:t xml:space="preserve">the </w:t>
      </w:r>
      <w:r w:rsidR="001865C9">
        <w:rPr>
          <w:color w:val="000000"/>
        </w:rPr>
        <w:t>treatment technologies</w:t>
      </w:r>
      <w:r>
        <w:rPr>
          <w:color w:val="000000"/>
        </w:rPr>
        <w:t xml:space="preserve"> w</w:t>
      </w:r>
      <w:r w:rsidR="001865C9">
        <w:rPr>
          <w:color w:val="000000"/>
        </w:rPr>
        <w:t>ere</w:t>
      </w:r>
      <w:r>
        <w:rPr>
          <w:color w:val="000000"/>
        </w:rPr>
        <w:t xml:space="preserve"> first evaluated using the initial functional unit (</w:t>
      </w:r>
      <w:r w:rsidRPr="005026A1">
        <w:rPr>
          <w:i/>
          <w:iCs/>
          <w:color w:val="000000"/>
        </w:rPr>
        <w:t>FU1</w:t>
      </w:r>
      <w:r>
        <w:rPr>
          <w:color w:val="000000"/>
        </w:rPr>
        <w:t>), corresponding to the treatment of 1 t of post-consumer PET</w:t>
      </w:r>
      <w:r w:rsidR="008D2C98">
        <w:rPr>
          <w:color w:val="000000"/>
        </w:rPr>
        <w:t>, under an open</w:t>
      </w:r>
      <w:r w:rsidR="00E8227B">
        <w:rPr>
          <w:color w:val="000000"/>
        </w:rPr>
        <w:t>-</w:t>
      </w:r>
      <w:r w:rsidR="008D2C98">
        <w:rPr>
          <w:color w:val="000000"/>
        </w:rPr>
        <w:t>loop assumption where all rPET produced is negative</w:t>
      </w:r>
      <w:r w:rsidR="00CB4F13">
        <w:rPr>
          <w:color w:val="000000"/>
        </w:rPr>
        <w:t xml:space="preserve"> (Figure </w:t>
      </w:r>
      <w:r w:rsidR="00C81E5F">
        <w:rPr>
          <w:color w:val="000000"/>
        </w:rPr>
        <w:t>2</w:t>
      </w:r>
      <w:r w:rsidR="004D2823">
        <w:rPr>
          <w:color w:val="000000"/>
        </w:rPr>
        <w:t xml:space="preserve"> and 3</w:t>
      </w:r>
      <w:r w:rsidR="00C81E5F">
        <w:rPr>
          <w:color w:val="000000"/>
        </w:rPr>
        <w:t xml:space="preserve"> of the main text and left bar of Figure 2</w:t>
      </w:r>
      <w:r w:rsidR="0051184F">
        <w:rPr>
          <w:color w:val="000000"/>
        </w:rPr>
        <w:t xml:space="preserve"> </w:t>
      </w:r>
      <w:r w:rsidR="002A69E8">
        <w:rPr>
          <w:color w:val="000000"/>
        </w:rPr>
        <w:t>-</w:t>
      </w:r>
      <w:r w:rsidR="0051184F">
        <w:rPr>
          <w:color w:val="000000"/>
        </w:rPr>
        <w:t xml:space="preserve"> top and bottom -</w:t>
      </w:r>
      <w:r w:rsidR="00C81E5F">
        <w:rPr>
          <w:color w:val="000000"/>
        </w:rPr>
        <w:t xml:space="preserve"> of this document)</w:t>
      </w:r>
      <w:r>
        <w:rPr>
          <w:color w:val="000000"/>
        </w:rPr>
        <w:t xml:space="preserve">. </w:t>
      </w:r>
    </w:p>
    <w:p w14:paraId="14577B15" w14:textId="2F66BC08" w:rsidR="00D35823" w:rsidRPr="00AE622F" w:rsidRDefault="00C239FA" w:rsidP="00AE622F">
      <w:pPr>
        <w:pStyle w:val="NormalWeb"/>
        <w:jc w:val="both"/>
        <w:rPr>
          <w:color w:val="000000"/>
        </w:rPr>
      </w:pPr>
      <w:r>
        <w:rPr>
          <w:color w:val="000000"/>
        </w:rPr>
        <w:t>A</w:t>
      </w:r>
      <w:r w:rsidR="006301B2">
        <w:rPr>
          <w:color w:val="000000"/>
        </w:rPr>
        <w:t>nother</w:t>
      </w:r>
      <w:r>
        <w:rPr>
          <w:color w:val="000000"/>
        </w:rPr>
        <w:t xml:space="preserve"> functional unit is then </w:t>
      </w:r>
      <w:r w:rsidR="00336B63">
        <w:rPr>
          <w:color w:val="000000"/>
        </w:rPr>
        <w:t xml:space="preserve">introduced and analysed </w:t>
      </w:r>
      <w:r w:rsidR="005026A1">
        <w:rPr>
          <w:color w:val="000000"/>
        </w:rPr>
        <w:t>here</w:t>
      </w:r>
      <w:r>
        <w:rPr>
          <w:color w:val="000000"/>
        </w:rPr>
        <w:t>,</w:t>
      </w:r>
      <w:r w:rsidR="00C072EB" w:rsidRPr="00C072EB">
        <w:rPr>
          <w:color w:val="000000"/>
        </w:rPr>
        <w:t xml:space="preserve"> </w:t>
      </w:r>
      <w:r w:rsidR="00C072EB">
        <w:rPr>
          <w:color w:val="000000"/>
        </w:rPr>
        <w:t xml:space="preserve">corresponding to the treatment of 1 t of post-consumer PET, </w:t>
      </w:r>
      <w:r w:rsidR="005026A1">
        <w:rPr>
          <w:color w:val="000000"/>
        </w:rPr>
        <w:t>while</w:t>
      </w:r>
      <w:r>
        <w:rPr>
          <w:color w:val="000000"/>
        </w:rPr>
        <w:t xml:space="preserve"> assuming a closed-loop system </w:t>
      </w:r>
      <w:r w:rsidR="00894A95">
        <w:rPr>
          <w:color w:val="000000"/>
        </w:rPr>
        <w:t>where</w:t>
      </w:r>
      <w:r>
        <w:rPr>
          <w:color w:val="000000"/>
        </w:rPr>
        <w:t xml:space="preserve"> all unproduced r-PET is substituted by v-PET</w:t>
      </w:r>
      <w:r w:rsidR="008B646A">
        <w:rPr>
          <w:color w:val="000000"/>
        </w:rPr>
        <w:t xml:space="preserve">. It </w:t>
      </w:r>
      <w:r>
        <w:rPr>
          <w:color w:val="000000"/>
        </w:rPr>
        <w:t>enabl</w:t>
      </w:r>
      <w:r w:rsidR="008B646A">
        <w:rPr>
          <w:color w:val="000000"/>
        </w:rPr>
        <w:t>es</w:t>
      </w:r>
      <w:r>
        <w:rPr>
          <w:color w:val="000000"/>
        </w:rPr>
        <w:t xml:space="preserve"> the assessment of the technologies under a fully circular management scenario</w:t>
      </w:r>
      <w:r w:rsidR="00443502">
        <w:rPr>
          <w:color w:val="000000"/>
        </w:rPr>
        <w:t xml:space="preserve"> (right bar of Figure 2</w:t>
      </w:r>
      <w:r w:rsidR="0051184F">
        <w:rPr>
          <w:color w:val="000000"/>
        </w:rPr>
        <w:t>, top and bottom</w:t>
      </w:r>
      <w:r w:rsidR="00443502">
        <w:rPr>
          <w:color w:val="000000"/>
        </w:rPr>
        <w:t>)</w:t>
      </w:r>
      <w:r w:rsidR="00AE622F">
        <w:rPr>
          <w:color w:val="000000"/>
        </w:rPr>
        <w:t>.</w:t>
      </w:r>
    </w:p>
    <w:p w14:paraId="1830F760" w14:textId="19584B96" w:rsidR="00D35823" w:rsidRDefault="00CB4F13" w:rsidP="00D35823">
      <w:pPr>
        <w:rPr>
          <w:lang w:val="fr-CH" w:eastAsia="en-US"/>
        </w:rPr>
      </w:pPr>
      <w:r w:rsidRPr="00CB4F13">
        <w:rPr>
          <w:noProof/>
          <w:lang w:val="fr-CH" w:eastAsia="en-US"/>
        </w:rPr>
        <w:drawing>
          <wp:inline distT="0" distB="0" distL="0" distR="0" wp14:anchorId="6B588372" wp14:editId="308A2A1E">
            <wp:extent cx="5731510" cy="2458816"/>
            <wp:effectExtent l="0" t="0" r="0" b="5080"/>
            <wp:docPr id="1122718222"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18222" name="Picture 1" descr="A graph of different colored bars&#10;&#10;AI-generated content may be incorrect."/>
                    <pic:cNvPicPr/>
                  </pic:nvPicPr>
                  <pic:blipFill rotWithShape="1">
                    <a:blip r:embed="rId10"/>
                    <a:srcRect t="3389"/>
                    <a:stretch>
                      <a:fillRect/>
                    </a:stretch>
                  </pic:blipFill>
                  <pic:spPr bwMode="auto">
                    <a:xfrm>
                      <a:off x="0" y="0"/>
                      <a:ext cx="5731510" cy="2458816"/>
                    </a:xfrm>
                    <a:prstGeom prst="rect">
                      <a:avLst/>
                    </a:prstGeom>
                    <a:ln>
                      <a:noFill/>
                    </a:ln>
                    <a:extLst>
                      <a:ext uri="{53640926-AAD7-44D8-BBD7-CCE9431645EC}">
                        <a14:shadowObscured xmlns:a14="http://schemas.microsoft.com/office/drawing/2010/main"/>
                      </a:ext>
                    </a:extLst>
                  </pic:spPr>
                </pic:pic>
              </a:graphicData>
            </a:graphic>
          </wp:inline>
        </w:drawing>
      </w:r>
    </w:p>
    <w:p w14:paraId="3B223A1E" w14:textId="041B0A1C" w:rsidR="003E700F" w:rsidRDefault="003E700F" w:rsidP="00D35823">
      <w:pPr>
        <w:rPr>
          <w:lang w:val="fr-CH" w:eastAsia="en-US"/>
        </w:rPr>
      </w:pPr>
      <w:r w:rsidRPr="003E700F">
        <w:rPr>
          <w:noProof/>
          <w:lang w:val="fr-CH" w:eastAsia="en-US"/>
        </w:rPr>
        <w:drawing>
          <wp:inline distT="0" distB="0" distL="0" distR="0" wp14:anchorId="1C5F785D" wp14:editId="2487B803">
            <wp:extent cx="5731510" cy="2843215"/>
            <wp:effectExtent l="0" t="0" r="0" b="1905"/>
            <wp:docPr id="1350719663" name="Picture 1"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19663" name="Picture 1" descr="A graph of a bar chart&#10;&#10;AI-generated content may be incorrect."/>
                    <pic:cNvPicPr/>
                  </pic:nvPicPr>
                  <pic:blipFill rotWithShape="1">
                    <a:blip r:embed="rId11"/>
                    <a:srcRect t="3481"/>
                    <a:stretch>
                      <a:fillRect/>
                    </a:stretch>
                  </pic:blipFill>
                  <pic:spPr bwMode="auto">
                    <a:xfrm>
                      <a:off x="0" y="0"/>
                      <a:ext cx="5731510" cy="2843215"/>
                    </a:xfrm>
                    <a:prstGeom prst="rect">
                      <a:avLst/>
                    </a:prstGeom>
                    <a:ln>
                      <a:noFill/>
                    </a:ln>
                    <a:extLst>
                      <a:ext uri="{53640926-AAD7-44D8-BBD7-CCE9431645EC}">
                        <a14:shadowObscured xmlns:a14="http://schemas.microsoft.com/office/drawing/2010/main"/>
                      </a:ext>
                    </a:extLst>
                  </pic:spPr>
                </pic:pic>
              </a:graphicData>
            </a:graphic>
          </wp:inline>
        </w:drawing>
      </w:r>
    </w:p>
    <w:p w14:paraId="5503E3B9" w14:textId="77777777" w:rsidR="00AE622F" w:rsidRDefault="00AE622F" w:rsidP="00AE622F">
      <w:pPr>
        <w:pStyle w:val="Caption"/>
        <w:rPr>
          <w:b/>
          <w:bCs/>
        </w:rPr>
      </w:pPr>
    </w:p>
    <w:p w14:paraId="2EC30E64" w14:textId="527071DC" w:rsidR="00C239FA" w:rsidRDefault="00AE622F" w:rsidP="00063863">
      <w:pPr>
        <w:pStyle w:val="Caption"/>
      </w:pPr>
      <w:r w:rsidRPr="007228AE">
        <w:rPr>
          <w:b/>
          <w:bCs/>
        </w:rPr>
        <w:t xml:space="preserve">Figure </w:t>
      </w:r>
      <w:r>
        <w:rPr>
          <w:b/>
          <w:bCs/>
        </w:rPr>
        <w:t>2</w:t>
      </w:r>
      <w:r w:rsidRPr="007228AE">
        <w:rPr>
          <w:b/>
          <w:bCs/>
        </w:rPr>
        <w:t>:</w:t>
      </w:r>
      <w:r>
        <w:t xml:space="preserve"> Comparison of the TOTEX</w:t>
      </w:r>
      <w:r w:rsidR="00597526">
        <w:t xml:space="preserve"> (top figure) and CC impact scores (bottom figure)</w:t>
      </w:r>
      <w:r>
        <w:t xml:space="preserve"> of each treatment technologies treating 1t of PET, under open</w:t>
      </w:r>
      <w:r w:rsidR="00116023">
        <w:t xml:space="preserve"> (left bar)</w:t>
      </w:r>
      <w:r>
        <w:t xml:space="preserve"> or closed</w:t>
      </w:r>
      <w:r w:rsidR="00116023">
        <w:t xml:space="preserve"> (right bar)</w:t>
      </w:r>
      <w:r>
        <w:t xml:space="preserve"> loop assumption</w:t>
      </w:r>
      <w:r w:rsidR="00063863">
        <w:t>.</w:t>
      </w:r>
    </w:p>
    <w:p w14:paraId="32AC99CB" w14:textId="06008310" w:rsidR="0088208D" w:rsidRDefault="0088208D" w:rsidP="0088208D">
      <w:pPr>
        <w:pStyle w:val="NormalWeb"/>
        <w:jc w:val="both"/>
        <w:rPr>
          <w:color w:val="000000"/>
        </w:rPr>
      </w:pPr>
      <w:r>
        <w:rPr>
          <w:color w:val="000000"/>
        </w:rPr>
        <w:lastRenderedPageBreak/>
        <w:t>As discussed in the main document, under the open-loop assumption, incineration is the least costly option (7 €/FU), while mechanical recycling shows negative costs (-609 €/FU) driven by r-PET revenues.</w:t>
      </w:r>
      <w:r w:rsidR="00443502">
        <w:rPr>
          <w:color w:val="000000"/>
        </w:rPr>
        <w:t xml:space="preserve"> </w:t>
      </w:r>
      <w:r>
        <w:rPr>
          <w:color w:val="000000"/>
        </w:rPr>
        <w:t>Under the closed-loop assumption, the ranking shifts as unrecovered PET must be compensated by v-PET imports. Mechanical recycling remains the most cost-effective option (691 €/FU), being twice cheaper than incineration (1,307 €/FU), whose material losses translate into a significant v-PET substitution cost</w:t>
      </w:r>
      <w:r w:rsidRPr="005953DC">
        <w:t xml:space="preserve">. </w:t>
      </w:r>
      <w:r w:rsidR="005953DC" w:rsidRPr="005953DC">
        <w:t>Depolymerisation routes show higher TOTEX (</w:t>
      </w:r>
      <w:r w:rsidR="00443502">
        <w:t>1,399</w:t>
      </w:r>
      <w:r w:rsidR="005953DC" w:rsidRPr="005953DC">
        <w:t xml:space="preserve"> to </w:t>
      </w:r>
      <w:r w:rsidR="00443502">
        <w:t>2,148</w:t>
      </w:r>
      <w:r w:rsidR="005953DC" w:rsidRPr="005953DC">
        <w:t xml:space="preserve"> €/FU) but remain in a comparable range to incineration, reflecting a compensation </w:t>
      </w:r>
      <w:r w:rsidR="00586579">
        <w:t>for the</w:t>
      </w:r>
      <w:r w:rsidR="005953DC" w:rsidRPr="005953DC">
        <w:t xml:space="preserve"> processing costs </w:t>
      </w:r>
      <w:r w:rsidR="00586579">
        <w:t xml:space="preserve">due to </w:t>
      </w:r>
      <w:r w:rsidR="004B250D">
        <w:t>v-</w:t>
      </w:r>
      <w:r w:rsidR="005953DC" w:rsidRPr="005953DC">
        <w:t xml:space="preserve">PET </w:t>
      </w:r>
      <w:r w:rsidR="00586579">
        <w:t>production</w:t>
      </w:r>
      <w:r w:rsidR="005953DC" w:rsidRPr="005953DC">
        <w:t>.</w:t>
      </w:r>
      <w:r w:rsidR="005953DC">
        <w:rPr>
          <w:rStyle w:val="apple-converted-space"/>
          <w:rFonts w:ascii="-webkit-standard" w:eastAsiaTheme="majorEastAsia" w:hAnsi="-webkit-standard"/>
          <w:color w:val="000000"/>
          <w:sz w:val="27"/>
          <w:szCs w:val="27"/>
        </w:rPr>
        <w:t> </w:t>
      </w:r>
      <w:r>
        <w:rPr>
          <w:color w:val="000000"/>
        </w:rPr>
        <w:t>Incineration with CCS reaches 3,024 €/FU, combining high CAPEX and OPEX with the full v-PET cost of unrecovered material.</w:t>
      </w:r>
      <w:r w:rsidR="00443502">
        <w:rPr>
          <w:color w:val="000000"/>
        </w:rPr>
        <w:t xml:space="preserve"> </w:t>
      </w:r>
      <w:r>
        <w:rPr>
          <w:color w:val="000000"/>
        </w:rPr>
        <w:t>Overall, accounting for material losses penalises energy recovery routes and shifts the economic advantage toward closed-loop recycling pathways.</w:t>
      </w:r>
    </w:p>
    <w:p w14:paraId="2DD928F8" w14:textId="5BEB7DB6" w:rsidR="00976CDB" w:rsidRPr="00C10B44" w:rsidRDefault="00EC34D2" w:rsidP="00C10B44">
      <w:pPr>
        <w:pStyle w:val="NormalWeb"/>
        <w:jc w:val="both"/>
        <w:rPr>
          <w:color w:val="000000"/>
        </w:rPr>
      </w:pPr>
      <w:r w:rsidRPr="00EC34D2">
        <w:rPr>
          <w:color w:val="000000"/>
        </w:rPr>
        <w:t xml:space="preserve">Exactly the same shift occurs </w:t>
      </w:r>
      <w:r>
        <w:rPr>
          <w:color w:val="000000"/>
        </w:rPr>
        <w:t>for</w:t>
      </w:r>
      <w:r w:rsidRPr="00EC34D2">
        <w:rPr>
          <w:color w:val="000000"/>
        </w:rPr>
        <w:t xml:space="preserve"> CC impact scores</w:t>
      </w:r>
      <w:r w:rsidR="00447638">
        <w:rPr>
          <w:color w:val="000000"/>
        </w:rPr>
        <w:t xml:space="preserve"> between the open and closed loop assumptio</w:t>
      </w:r>
      <w:r w:rsidR="00137338">
        <w:rPr>
          <w:color w:val="000000"/>
        </w:rPr>
        <w:t>ns</w:t>
      </w:r>
      <w:r>
        <w:rPr>
          <w:color w:val="000000"/>
        </w:rPr>
        <w:t>.</w:t>
      </w:r>
    </w:p>
    <w:p w14:paraId="3B6B555F" w14:textId="46E666D8" w:rsidR="006B683C" w:rsidRDefault="006B683C" w:rsidP="00BD1D65">
      <w:pPr>
        <w:pStyle w:val="Heading2"/>
        <w:jc w:val="both"/>
      </w:pPr>
      <w:bookmarkStart w:id="24" w:name="_Toc234499930"/>
      <w:r>
        <w:t>S-R1.</w:t>
      </w:r>
      <w:r w:rsidR="00D35823">
        <w:t>2</w:t>
      </w:r>
      <w:r>
        <w:t xml:space="preserve"> </w:t>
      </w:r>
      <w:r w:rsidR="00161D8A">
        <w:t xml:space="preserve">EQ, FU, HH, and WU </w:t>
      </w:r>
      <w:r>
        <w:t xml:space="preserve">Impact </w:t>
      </w:r>
      <w:r w:rsidR="00485DA4">
        <w:t>S</w:t>
      </w:r>
      <w:r>
        <w:t>cores</w:t>
      </w:r>
      <w:bookmarkEnd w:id="24"/>
    </w:p>
    <w:p w14:paraId="1FB6FA46" w14:textId="4971E3BD" w:rsidR="006B683C" w:rsidRDefault="00812370" w:rsidP="00BD1D65">
      <w:pPr>
        <w:jc w:val="both"/>
        <w:rPr>
          <w:lang w:val="en-GB" w:eastAsia="en-US"/>
        </w:rPr>
      </w:pPr>
      <w:r w:rsidRPr="00812370">
        <w:rPr>
          <w:noProof/>
          <w:lang w:val="en-GB" w:eastAsia="en-US"/>
        </w:rPr>
        <w:drawing>
          <wp:inline distT="0" distB="0" distL="0" distR="0" wp14:anchorId="313A94BD" wp14:editId="5A7ADA82">
            <wp:extent cx="5731510" cy="4042410"/>
            <wp:effectExtent l="0" t="0" r="0" b="0"/>
            <wp:docPr id="983797334" name="Picture 1" descr="A group of graphs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797334" name="Picture 1" descr="A group of graphs with different colored bars&#10;&#10;AI-generated content may be incorrect."/>
                    <pic:cNvPicPr/>
                  </pic:nvPicPr>
                  <pic:blipFill>
                    <a:blip r:embed="rId12"/>
                    <a:stretch>
                      <a:fillRect/>
                    </a:stretch>
                  </pic:blipFill>
                  <pic:spPr>
                    <a:xfrm>
                      <a:off x="0" y="0"/>
                      <a:ext cx="5731510" cy="4042410"/>
                    </a:xfrm>
                    <a:prstGeom prst="rect">
                      <a:avLst/>
                    </a:prstGeom>
                  </pic:spPr>
                </pic:pic>
              </a:graphicData>
            </a:graphic>
          </wp:inline>
        </w:drawing>
      </w:r>
    </w:p>
    <w:p w14:paraId="55C361A1" w14:textId="77777777" w:rsidR="0086113C" w:rsidRDefault="0086113C" w:rsidP="00BD1D65">
      <w:pPr>
        <w:jc w:val="both"/>
        <w:rPr>
          <w:lang w:val="en-GB" w:eastAsia="en-US"/>
        </w:rPr>
      </w:pPr>
    </w:p>
    <w:p w14:paraId="49AC2453" w14:textId="1EA491FC" w:rsidR="006B683C" w:rsidRDefault="0086113C" w:rsidP="00BD1D65">
      <w:pPr>
        <w:pStyle w:val="Caption"/>
      </w:pPr>
      <w:r w:rsidRPr="007228AE">
        <w:rPr>
          <w:b/>
          <w:bCs/>
        </w:rPr>
        <w:t xml:space="preserve">Figure </w:t>
      </w:r>
      <w:r w:rsidR="00063863">
        <w:rPr>
          <w:b/>
          <w:bCs/>
        </w:rPr>
        <w:t>3</w:t>
      </w:r>
      <w:r>
        <w:rPr>
          <w:b/>
          <w:bCs/>
        </w:rPr>
        <w:t xml:space="preserve">: </w:t>
      </w:r>
      <w:r>
        <w:t xml:space="preserve">HH, EQ, WU, and FU impact scores </w:t>
      </w:r>
      <w:r w:rsidR="00B850A1">
        <w:t>of each treatment technolog</w:t>
      </w:r>
      <w:r w:rsidR="001500E8">
        <w:t>y</w:t>
      </w:r>
      <w:r w:rsidR="00B850A1">
        <w:t xml:space="preserve"> </w:t>
      </w:r>
      <w:r>
        <w:t>studied. Results are per ton of PET treated.</w:t>
      </w:r>
    </w:p>
    <w:p w14:paraId="782E9EDA" w14:textId="77777777" w:rsidR="00941E2D" w:rsidRDefault="00941E2D" w:rsidP="00BD1D65">
      <w:pPr>
        <w:pStyle w:val="Heading2"/>
        <w:jc w:val="both"/>
      </w:pPr>
    </w:p>
    <w:p w14:paraId="4336E746" w14:textId="57FC181F" w:rsidR="00E41DC9" w:rsidRPr="00611D37" w:rsidRDefault="00E41DC9" w:rsidP="00B173CA">
      <w:pPr>
        <w:pStyle w:val="Heading2"/>
        <w:jc w:val="both"/>
      </w:pPr>
      <w:bookmarkStart w:id="25" w:name="_Toc234499931"/>
      <w:r>
        <w:t>S-</w:t>
      </w:r>
      <w:r w:rsidR="00CC0B35">
        <w:t>R</w:t>
      </w:r>
      <w:r w:rsidR="00A07DA2">
        <w:t>1</w:t>
      </w:r>
      <w:r>
        <w:t>.</w:t>
      </w:r>
      <w:r w:rsidR="00A07DA2">
        <w:t>3</w:t>
      </w:r>
      <w:r>
        <w:t xml:space="preserve"> Detailed MFA of </w:t>
      </w:r>
      <w:r w:rsidR="00941E2D">
        <w:t xml:space="preserve">PET-based apparel and household textiles </w:t>
      </w:r>
      <w:r>
        <w:t>in Switzerland</w:t>
      </w:r>
      <w:bookmarkEnd w:id="25"/>
    </w:p>
    <w:p w14:paraId="2C534B69" w14:textId="77777777" w:rsidR="00E41DC9" w:rsidRDefault="00E41DC9" w:rsidP="00BD1D65">
      <w:pPr>
        <w:pStyle w:val="NoSpacing"/>
        <w:keepNext/>
        <w:jc w:val="both"/>
      </w:pPr>
    </w:p>
    <w:p w14:paraId="1280D2F7" w14:textId="77777777" w:rsidR="00E41DC9" w:rsidRDefault="00E41DC9" w:rsidP="005B36BD">
      <w:pPr>
        <w:pStyle w:val="Caption"/>
        <w:jc w:val="left"/>
        <w:rPr>
          <w:b/>
          <w:bCs/>
        </w:rPr>
      </w:pPr>
      <w:r w:rsidRPr="008554B2">
        <w:rPr>
          <w:b/>
          <w:bCs/>
          <w:noProof/>
        </w:rPr>
        <w:drawing>
          <wp:inline distT="0" distB="0" distL="0" distR="0" wp14:anchorId="1BBCDD79" wp14:editId="378923D4">
            <wp:extent cx="6078802" cy="1623079"/>
            <wp:effectExtent l="0" t="0" r="5080" b="2540"/>
            <wp:docPr id="61941789" name="Picture 1" descr="A close-up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41789" name="Picture 1" descr="A close-up of a screen&#10;&#10;AI-generated content may be incorrect."/>
                    <pic:cNvPicPr/>
                  </pic:nvPicPr>
                  <pic:blipFill>
                    <a:blip r:embed="rId13"/>
                    <a:stretch>
                      <a:fillRect/>
                    </a:stretch>
                  </pic:blipFill>
                  <pic:spPr>
                    <a:xfrm>
                      <a:off x="0" y="0"/>
                      <a:ext cx="6140452" cy="1639540"/>
                    </a:xfrm>
                    <a:prstGeom prst="rect">
                      <a:avLst/>
                    </a:prstGeom>
                  </pic:spPr>
                </pic:pic>
              </a:graphicData>
            </a:graphic>
          </wp:inline>
        </w:drawing>
      </w:r>
    </w:p>
    <w:p w14:paraId="7329FCB5" w14:textId="1ECC6DDE" w:rsidR="00E41DC9" w:rsidRDefault="00E41DC9" w:rsidP="00BD1D65">
      <w:pPr>
        <w:pStyle w:val="Caption"/>
        <w:rPr>
          <w:sz w:val="20"/>
          <w:szCs w:val="20"/>
        </w:rPr>
      </w:pPr>
      <w:r w:rsidRPr="007228AE">
        <w:rPr>
          <w:b/>
          <w:bCs/>
        </w:rPr>
        <w:t xml:space="preserve">Figure </w:t>
      </w:r>
      <w:r w:rsidR="00B173CA">
        <w:rPr>
          <w:b/>
          <w:bCs/>
        </w:rPr>
        <w:t>4</w:t>
      </w:r>
      <w:r w:rsidRPr="007228AE">
        <w:rPr>
          <w:b/>
          <w:bCs/>
        </w:rPr>
        <w:t>:</w:t>
      </w:r>
      <w:r>
        <w:t xml:space="preserve"> MFA of apparel and household textile waste treatment and management in Switzerland. </w:t>
      </w:r>
      <w:r w:rsidRPr="007228AE">
        <w:t xml:space="preserve">Data are adapted from </w:t>
      </w:r>
      <w:r>
        <w:fldChar w:fldCharType="begin"/>
      </w:r>
      <w:r w:rsidR="002E66A0">
        <w:instrText xml:space="preserve"> ADDIN ZOTERO_ITEM CSL_CITATION {"citationID":"gHcVzJHp","properties":{"formattedCitation":"[54]","plainCitation":"[54]","noteIndex":0},"citationItems":[{"id":13848,"uris":["http://zotero.org/users/12598273/items/7X7RNANN"],"itemData":{"id":13848,"type":"document","citation-key":"quantissurmandatdelofficefederaldelenvironnementofevFluxTextilesUsages2024","title":"Flux de textiles usagés en Suisse","author":[{"family":"Quantis, Sur mandat de l’Office fédéral de l’environnement (OFEV)","given":""}],"issued":{"date-parts":[["2024",3]]}}}],"schema":"https://github.com/citation-style-language/schema/raw/master/csl-citation.json"} </w:instrText>
      </w:r>
      <w:r>
        <w:fldChar w:fldCharType="separate"/>
      </w:r>
      <w:r w:rsidR="002E66A0">
        <w:rPr>
          <w:noProof/>
        </w:rPr>
        <w:t>[54]</w:t>
      </w:r>
      <w:r>
        <w:fldChar w:fldCharType="end"/>
      </w:r>
      <w:r>
        <w:t xml:space="preserve"> and presented in kg/</w:t>
      </w:r>
      <w:proofErr w:type="spellStart"/>
      <w:r>
        <w:t>pers</w:t>
      </w:r>
      <w:proofErr w:type="spellEnd"/>
      <w:r>
        <w:t>/yr</w:t>
      </w:r>
      <w:r w:rsidR="005B36BD">
        <w:t xml:space="preserve"> (FU2)</w:t>
      </w:r>
      <w:r w:rsidRPr="007228AE">
        <w:t>.</w:t>
      </w:r>
    </w:p>
    <w:p w14:paraId="17BD5942" w14:textId="22F23CE3" w:rsidR="006B683C" w:rsidRDefault="006B683C" w:rsidP="00BD1D65">
      <w:pPr>
        <w:jc w:val="both"/>
        <w:rPr>
          <w:b/>
          <w:bCs/>
        </w:rPr>
      </w:pPr>
    </w:p>
    <w:p w14:paraId="61F25865" w14:textId="2E4CDC3C" w:rsidR="00824A97" w:rsidRDefault="00824A97" w:rsidP="00BD1D65">
      <w:pPr>
        <w:pStyle w:val="Heading2"/>
        <w:jc w:val="both"/>
      </w:pPr>
      <w:bookmarkStart w:id="26" w:name="_Toc234499932"/>
      <w:r>
        <w:t>S-R</w:t>
      </w:r>
      <w:r w:rsidR="00A07DA2">
        <w:t>1</w:t>
      </w:r>
      <w:r>
        <w:t>.</w:t>
      </w:r>
      <w:r w:rsidR="00A07DA2">
        <w:t>4</w:t>
      </w:r>
      <w:r>
        <w:t xml:space="preserve"> </w:t>
      </w:r>
      <w:r w:rsidR="00341076">
        <w:t>Coupling between collection rates and technological share in the treatment mix</w:t>
      </w:r>
      <w:bookmarkEnd w:id="26"/>
    </w:p>
    <w:p w14:paraId="269ABC16" w14:textId="75370CB4" w:rsidR="006B683C" w:rsidRDefault="00C50DAF" w:rsidP="00BD1D65">
      <w:pPr>
        <w:spacing w:after="160" w:line="259" w:lineRule="auto"/>
        <w:jc w:val="both"/>
        <w:rPr>
          <w:b/>
          <w:bCs/>
        </w:rPr>
      </w:pPr>
      <w:r w:rsidRPr="00C50DAF">
        <w:rPr>
          <w:b/>
          <w:bCs/>
          <w:noProof/>
        </w:rPr>
        <w:drawing>
          <wp:inline distT="0" distB="0" distL="0" distR="0" wp14:anchorId="5BEF5D62" wp14:editId="646E1151">
            <wp:extent cx="5731510" cy="2364105"/>
            <wp:effectExtent l="0" t="0" r="0" b="0"/>
            <wp:docPr id="1472508897" name="Picture 1" descr="A graph of a recycle and a recy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08897" name="Picture 1" descr="A graph of a recycle and a recycle&#10;&#10;AI-generated content may be incorrect."/>
                    <pic:cNvPicPr/>
                  </pic:nvPicPr>
                  <pic:blipFill>
                    <a:blip r:embed="rId14"/>
                    <a:stretch>
                      <a:fillRect/>
                    </a:stretch>
                  </pic:blipFill>
                  <pic:spPr>
                    <a:xfrm>
                      <a:off x="0" y="0"/>
                      <a:ext cx="5731510" cy="2364105"/>
                    </a:xfrm>
                    <a:prstGeom prst="rect">
                      <a:avLst/>
                    </a:prstGeom>
                  </pic:spPr>
                </pic:pic>
              </a:graphicData>
            </a:graphic>
          </wp:inline>
        </w:drawing>
      </w:r>
    </w:p>
    <w:p w14:paraId="6A475258" w14:textId="54D12807" w:rsidR="008B6D98" w:rsidRDefault="002535AD" w:rsidP="009A78D2">
      <w:pPr>
        <w:pStyle w:val="Caption"/>
      </w:pPr>
      <w:r w:rsidRPr="008B6D98">
        <w:rPr>
          <w:b/>
          <w:bCs/>
        </w:rPr>
        <w:t xml:space="preserve">Figure </w:t>
      </w:r>
      <w:r w:rsidR="00DA78D4">
        <w:rPr>
          <w:b/>
          <w:bCs/>
        </w:rPr>
        <w:t>5</w:t>
      </w:r>
      <w:r w:rsidRPr="008B6D98">
        <w:rPr>
          <w:b/>
          <w:bCs/>
        </w:rPr>
        <w:t xml:space="preserve">: </w:t>
      </w:r>
      <w:r w:rsidRPr="008B6D98">
        <w:t xml:space="preserve">Pareto front representing CC impact scores vs TOTEX, where, in black: (on the right): share of PET treated via mechanical recycling &gt;30% and </w:t>
      </w:r>
      <w:r w:rsidR="009E76D6" w:rsidRPr="008B6D98">
        <w:t>separately</w:t>
      </w:r>
      <w:r w:rsidRPr="008B6D98">
        <w:t xml:space="preserve"> collected &gt; 50%; (on the left): share of PET treated via depolymerisation &gt;30% and </w:t>
      </w:r>
      <w:r w:rsidR="009E76D6" w:rsidRPr="008B6D98">
        <w:t>separately</w:t>
      </w:r>
      <w:r w:rsidRPr="008B6D98">
        <w:t xml:space="preserve"> collected &gt; 50%.</w:t>
      </w:r>
    </w:p>
    <w:p w14:paraId="335E14D5" w14:textId="77777777" w:rsidR="000B613D" w:rsidRPr="000B613D" w:rsidRDefault="000B613D" w:rsidP="000B613D">
      <w:pPr>
        <w:rPr>
          <w:lang w:val="en-GB" w:eastAsia="zh-CN"/>
        </w:rPr>
      </w:pPr>
    </w:p>
    <w:p w14:paraId="42092D35" w14:textId="3D565570" w:rsidR="002535AD" w:rsidRPr="008B6D98" w:rsidRDefault="002535AD" w:rsidP="00BD1D65">
      <w:pPr>
        <w:pStyle w:val="Heading2"/>
        <w:jc w:val="both"/>
      </w:pPr>
      <w:bookmarkStart w:id="27" w:name="_Toc234499933"/>
      <w:r>
        <w:lastRenderedPageBreak/>
        <w:t>S-R1.</w:t>
      </w:r>
      <w:r w:rsidR="00A07DA2">
        <w:t>5</w:t>
      </w:r>
      <w:r>
        <w:t xml:space="preserve"> </w:t>
      </w:r>
      <w:r w:rsidR="008B6D98">
        <w:t>Circularity of the system along the pareto</w:t>
      </w:r>
      <w:bookmarkEnd w:id="27"/>
    </w:p>
    <w:p w14:paraId="192E4C38" w14:textId="00447395" w:rsidR="006B683C" w:rsidRDefault="00985646" w:rsidP="00BD1D65">
      <w:pPr>
        <w:spacing w:after="160" w:line="259" w:lineRule="auto"/>
        <w:jc w:val="both"/>
        <w:rPr>
          <w:b/>
          <w:bCs/>
        </w:rPr>
      </w:pPr>
      <w:r w:rsidRPr="00985646">
        <w:rPr>
          <w:b/>
          <w:bCs/>
          <w:noProof/>
        </w:rPr>
        <w:drawing>
          <wp:inline distT="0" distB="0" distL="0" distR="0" wp14:anchorId="5D12D51F" wp14:editId="2D318547">
            <wp:extent cx="4450520" cy="3482502"/>
            <wp:effectExtent l="0" t="0" r="0" b="0"/>
            <wp:docPr id="1843842347" name="Picture 1" descr="A graph showing a diagram of a number of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842347" name="Picture 1" descr="A graph showing a diagram of a number of points&#10;&#10;AI-generated content may be incorrect."/>
                    <pic:cNvPicPr/>
                  </pic:nvPicPr>
                  <pic:blipFill>
                    <a:blip r:embed="rId15"/>
                    <a:stretch>
                      <a:fillRect/>
                    </a:stretch>
                  </pic:blipFill>
                  <pic:spPr>
                    <a:xfrm>
                      <a:off x="0" y="0"/>
                      <a:ext cx="4456489" cy="3487172"/>
                    </a:xfrm>
                    <a:prstGeom prst="rect">
                      <a:avLst/>
                    </a:prstGeom>
                  </pic:spPr>
                </pic:pic>
              </a:graphicData>
            </a:graphic>
          </wp:inline>
        </w:drawing>
      </w:r>
    </w:p>
    <w:p w14:paraId="4F625982" w14:textId="7D055A16" w:rsidR="008B6D98" w:rsidRPr="008B6D98" w:rsidRDefault="008B6D98" w:rsidP="00BD1D65">
      <w:pPr>
        <w:pStyle w:val="Caption"/>
      </w:pPr>
      <w:r>
        <w:rPr>
          <w:b/>
          <w:bCs/>
        </w:rPr>
        <w:t xml:space="preserve">Figure </w:t>
      </w:r>
      <w:r w:rsidR="004B250D">
        <w:rPr>
          <w:b/>
          <w:bCs/>
        </w:rPr>
        <w:t>6</w:t>
      </w:r>
      <w:r>
        <w:rPr>
          <w:b/>
          <w:bCs/>
        </w:rPr>
        <w:t xml:space="preserve">: </w:t>
      </w:r>
      <w:r>
        <w:t>Representation of the circularity of the system along the pareto front</w:t>
      </w:r>
      <w:r w:rsidR="004053AA">
        <w:t>.</w:t>
      </w:r>
    </w:p>
    <w:p w14:paraId="3E2D8900" w14:textId="77777777" w:rsidR="006B683C" w:rsidRDefault="006B683C" w:rsidP="00BD1D65">
      <w:pPr>
        <w:spacing w:after="160" w:line="259" w:lineRule="auto"/>
        <w:jc w:val="both"/>
        <w:rPr>
          <w:b/>
          <w:bCs/>
        </w:rPr>
      </w:pPr>
    </w:p>
    <w:p w14:paraId="73ED96F8" w14:textId="2D748CF4" w:rsidR="006B683C" w:rsidRDefault="00B1624E" w:rsidP="00BD1D65">
      <w:pPr>
        <w:pStyle w:val="Heading2"/>
        <w:jc w:val="both"/>
        <w:rPr>
          <w:b/>
          <w:bCs/>
        </w:rPr>
      </w:pPr>
      <w:bookmarkStart w:id="28" w:name="_Toc234499934"/>
      <w:r>
        <w:t>S-R1.</w:t>
      </w:r>
      <w:r w:rsidR="00A07DA2">
        <w:t>6</w:t>
      </w:r>
      <w:r>
        <w:t xml:space="preserve"> </w:t>
      </w:r>
      <w:r w:rsidR="0085093D">
        <w:t>Slopes of the pareto frontier</w:t>
      </w:r>
      <w:bookmarkEnd w:id="28"/>
    </w:p>
    <w:p w14:paraId="5A13937E" w14:textId="7F0E5631" w:rsidR="00C612E9" w:rsidRPr="00C612E9" w:rsidRDefault="00F91F67" w:rsidP="00BD1D65">
      <w:pPr>
        <w:pStyle w:val="Caption"/>
        <w:rPr>
          <w:b/>
          <w:bCs/>
        </w:rPr>
      </w:pPr>
      <w:r w:rsidRPr="00F91F67">
        <w:rPr>
          <w:b/>
          <w:bCs/>
          <w:noProof/>
        </w:rPr>
        <w:drawing>
          <wp:inline distT="0" distB="0" distL="0" distR="0" wp14:anchorId="640D8E6F" wp14:editId="59F90BBC">
            <wp:extent cx="4612257" cy="3176356"/>
            <wp:effectExtent l="0" t="0" r="0" b="0"/>
            <wp:docPr id="76803419" name="Picture 1" descr="A graph with green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3419" name="Picture 1" descr="A graph with green line&#10;&#10;AI-generated content may be incorrect."/>
                    <pic:cNvPicPr/>
                  </pic:nvPicPr>
                  <pic:blipFill>
                    <a:blip r:embed="rId16"/>
                    <a:stretch>
                      <a:fillRect/>
                    </a:stretch>
                  </pic:blipFill>
                  <pic:spPr>
                    <a:xfrm>
                      <a:off x="0" y="0"/>
                      <a:ext cx="4628003" cy="3187200"/>
                    </a:xfrm>
                    <a:prstGeom prst="rect">
                      <a:avLst/>
                    </a:prstGeom>
                  </pic:spPr>
                </pic:pic>
              </a:graphicData>
            </a:graphic>
          </wp:inline>
        </w:drawing>
      </w:r>
    </w:p>
    <w:p w14:paraId="49CA46DE" w14:textId="7FEDA99A" w:rsidR="0072533A" w:rsidRDefault="0072533A" w:rsidP="00BD1D65">
      <w:pPr>
        <w:pStyle w:val="Caption"/>
      </w:pPr>
      <w:r w:rsidRPr="00C612E9">
        <w:rPr>
          <w:b/>
          <w:bCs/>
        </w:rPr>
        <w:t xml:space="preserve">Figure </w:t>
      </w:r>
      <w:r w:rsidR="00E37F41">
        <w:rPr>
          <w:b/>
          <w:bCs/>
        </w:rPr>
        <w:t>7</w:t>
      </w:r>
      <w:r w:rsidRPr="00C612E9">
        <w:rPr>
          <w:b/>
          <w:bCs/>
        </w:rPr>
        <w:t xml:space="preserve">: </w:t>
      </w:r>
      <w:r w:rsidRPr="00C612E9">
        <w:t xml:space="preserve">Representation of the three slopes along the </w:t>
      </w:r>
      <w:r w:rsidR="001500E8">
        <w:t>P</w:t>
      </w:r>
      <w:r w:rsidRPr="00C612E9">
        <w:t>areto front, each one indicating the ap</w:t>
      </w:r>
      <w:r w:rsidR="001500E8">
        <w:t>pearance</w:t>
      </w:r>
      <w:r w:rsidRPr="00C612E9">
        <w:t xml:space="preserve"> of a new technology in the treatment mix (</w:t>
      </w:r>
      <w:r w:rsidR="00F91F67">
        <w:t>dark green</w:t>
      </w:r>
      <w:r w:rsidRPr="00C612E9">
        <w:t xml:space="preserve"> is mechanical recycling, </w:t>
      </w:r>
      <w:r w:rsidR="00F91F67">
        <w:t>light green</w:t>
      </w:r>
      <w:r w:rsidRPr="00C612E9">
        <w:t xml:space="preserve"> is depolymerisation, and gre</w:t>
      </w:r>
      <w:r w:rsidR="00F91F67">
        <w:t>y is</w:t>
      </w:r>
      <w:r w:rsidRPr="00C612E9">
        <w:t xml:space="preserve"> </w:t>
      </w:r>
      <w:proofErr w:type="gramStart"/>
      <w:r w:rsidRPr="00C612E9">
        <w:t>point</w:t>
      </w:r>
      <w:proofErr w:type="gramEnd"/>
      <w:r w:rsidRPr="00C612E9">
        <w:t xml:space="preserve"> source carbon capture on incinerators).</w:t>
      </w:r>
    </w:p>
    <w:p w14:paraId="71E9E263" w14:textId="58E5AEBB" w:rsidR="00F77C67" w:rsidRDefault="00561180" w:rsidP="00BD1D65">
      <w:pPr>
        <w:jc w:val="both"/>
        <w:rPr>
          <w:lang w:val="en-GB" w:eastAsia="zh-CN"/>
        </w:rPr>
      </w:pPr>
      <w:r>
        <w:br w:type="page"/>
      </w:r>
    </w:p>
    <w:p w14:paraId="349EEFDE" w14:textId="022568EE" w:rsidR="00F77C67" w:rsidRDefault="00F77C67" w:rsidP="00BD1D65">
      <w:pPr>
        <w:pStyle w:val="Heading2"/>
        <w:jc w:val="both"/>
      </w:pPr>
      <w:bookmarkStart w:id="29" w:name="_Toc234499935"/>
      <w:r>
        <w:lastRenderedPageBreak/>
        <w:t>S-R1.</w:t>
      </w:r>
      <w:r w:rsidR="00A07DA2">
        <w:t>7</w:t>
      </w:r>
      <w:r>
        <w:t xml:space="preserve"> </w:t>
      </w:r>
      <w:r w:rsidR="00CE5947">
        <w:t>P</w:t>
      </w:r>
      <w:r>
        <w:t xml:space="preserve">areto fronts for </w:t>
      </w:r>
      <w:r w:rsidR="000D5C71">
        <w:t>EQ, HH, WU and FU</w:t>
      </w:r>
      <w:r>
        <w:t xml:space="preserve"> impact score</w:t>
      </w:r>
      <w:r w:rsidR="000D5C71">
        <w:t>s</w:t>
      </w:r>
      <w:bookmarkEnd w:id="29"/>
    </w:p>
    <w:p w14:paraId="5497CF1C" w14:textId="77777777" w:rsidR="000D5C71" w:rsidRPr="000D5C71" w:rsidRDefault="000D5C71" w:rsidP="000D5C71">
      <w:pPr>
        <w:rPr>
          <w:lang w:val="en-GB" w:eastAsia="en-US"/>
        </w:rPr>
      </w:pPr>
    </w:p>
    <w:p w14:paraId="5064F3E2" w14:textId="48787398" w:rsidR="00F77C67" w:rsidRDefault="00EB7E11" w:rsidP="00BD1D65">
      <w:pPr>
        <w:spacing w:after="160" w:line="259" w:lineRule="auto"/>
        <w:jc w:val="both"/>
        <w:rPr>
          <w:b/>
          <w:bCs/>
        </w:rPr>
      </w:pPr>
      <w:r w:rsidRPr="00EB7E11">
        <w:rPr>
          <w:b/>
          <w:bCs/>
          <w:noProof/>
        </w:rPr>
        <w:drawing>
          <wp:inline distT="0" distB="0" distL="0" distR="0" wp14:anchorId="4FF7613D" wp14:editId="239405AE">
            <wp:extent cx="5731510" cy="5851525"/>
            <wp:effectExtent l="0" t="0" r="0" b="3175"/>
            <wp:docPr id="64617997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79977" name="Picture 1" descr="A screenshot of a graph&#10;&#10;AI-generated content may be incorrect."/>
                    <pic:cNvPicPr/>
                  </pic:nvPicPr>
                  <pic:blipFill>
                    <a:blip r:embed="rId17"/>
                    <a:stretch>
                      <a:fillRect/>
                    </a:stretch>
                  </pic:blipFill>
                  <pic:spPr>
                    <a:xfrm>
                      <a:off x="0" y="0"/>
                      <a:ext cx="5731510" cy="5851525"/>
                    </a:xfrm>
                    <a:prstGeom prst="rect">
                      <a:avLst/>
                    </a:prstGeom>
                  </pic:spPr>
                </pic:pic>
              </a:graphicData>
            </a:graphic>
          </wp:inline>
        </w:drawing>
      </w:r>
    </w:p>
    <w:p w14:paraId="4D4CCDE8" w14:textId="77777777" w:rsidR="00046A99" w:rsidRDefault="00046A99" w:rsidP="00046A99">
      <w:pPr>
        <w:pStyle w:val="Caption"/>
      </w:pPr>
      <w:r>
        <w:rPr>
          <w:b/>
          <w:bCs/>
        </w:rPr>
        <w:t>Figure 8:</w:t>
      </w:r>
      <w:r>
        <w:rPr>
          <w:rStyle w:val="apple-converted-space"/>
          <w:b/>
          <w:bCs/>
          <w:color w:val="000000"/>
        </w:rPr>
        <w:t> </w:t>
      </w:r>
      <w:r>
        <w:t>Pareto front of different PET treatment system configurations, for ecosystem quality (EQ), human health (HH), water use (WU), and fossil and nuclear energy use (FU) impact scores. Technical configurations, underlying the dynamics of the Pareto, are illustrated as follow: the first column represents the fraction of the PET separately collected with the configurations considered for the CC-TOTEX Pareto along the Pareto frontier in the main text. The second column represents the fraction of PET separately collected treatable via mechanical recycling and effectively treated via this pathway, the third column represents the fraction of PET separately collected treated via depolymerisation, and d) represents the fraction of PET treated via incineration with CCS. For collection, 100% means 100% of the separately collectable PET is effectively collected – considering prospective collection rates.</w:t>
      </w:r>
    </w:p>
    <w:p w14:paraId="569E18B2" w14:textId="26D17A47" w:rsidR="00AA3046" w:rsidRDefault="00231899" w:rsidP="00AA3046">
      <w:pPr>
        <w:pStyle w:val="Caption"/>
      </w:pPr>
      <w:r w:rsidRPr="005A76F2">
        <w:t xml:space="preserve">. </w:t>
      </w:r>
    </w:p>
    <w:p w14:paraId="32405939" w14:textId="77777777" w:rsidR="001B015C" w:rsidRDefault="001B015C" w:rsidP="001B015C">
      <w:pPr>
        <w:rPr>
          <w:rFonts w:eastAsiaTheme="majorEastAsia"/>
          <w:lang w:val="en-GB" w:eastAsia="zh-CN"/>
        </w:rPr>
      </w:pPr>
    </w:p>
    <w:p w14:paraId="7BE022B1" w14:textId="77777777" w:rsidR="001B015C" w:rsidRDefault="001B015C" w:rsidP="001B015C">
      <w:pPr>
        <w:rPr>
          <w:rFonts w:eastAsiaTheme="majorEastAsia"/>
          <w:lang w:val="en-GB" w:eastAsia="zh-CN"/>
        </w:rPr>
      </w:pPr>
    </w:p>
    <w:p w14:paraId="70326982" w14:textId="77777777" w:rsidR="001B015C" w:rsidRPr="001B015C" w:rsidRDefault="001B015C" w:rsidP="001B015C">
      <w:pPr>
        <w:rPr>
          <w:rFonts w:eastAsiaTheme="majorEastAsia"/>
          <w:lang w:val="en-GB" w:eastAsia="zh-CN"/>
        </w:rPr>
      </w:pPr>
    </w:p>
    <w:p w14:paraId="092F991C" w14:textId="0BB4DC86" w:rsidR="00561180" w:rsidRDefault="00561180" w:rsidP="00BD1D65">
      <w:pPr>
        <w:pStyle w:val="Heading2"/>
        <w:jc w:val="both"/>
        <w:rPr>
          <w:b/>
          <w:bCs/>
        </w:rPr>
      </w:pPr>
      <w:bookmarkStart w:id="30" w:name="_Toc234499936"/>
      <w:r>
        <w:lastRenderedPageBreak/>
        <w:t>S-R1.</w:t>
      </w:r>
      <w:r w:rsidR="00A07DA2">
        <w:t>8</w:t>
      </w:r>
      <w:r>
        <w:t xml:space="preserve"> </w:t>
      </w:r>
      <w:r w:rsidR="00AC440E">
        <w:t>MFA and detailed contribution of the flows on the KPIs of the clusters of the pareto</w:t>
      </w:r>
      <w:bookmarkEnd w:id="30"/>
    </w:p>
    <w:p w14:paraId="4FB5B6B8" w14:textId="77777777" w:rsidR="00561180" w:rsidRPr="00561180" w:rsidRDefault="00561180" w:rsidP="00BD1D65">
      <w:pPr>
        <w:jc w:val="both"/>
        <w:rPr>
          <w:lang w:val="en-GB" w:eastAsia="zh-CN"/>
        </w:rPr>
      </w:pPr>
    </w:p>
    <w:p w14:paraId="19ACCE62" w14:textId="04DE3F0C" w:rsidR="003168F9" w:rsidRDefault="000D7048" w:rsidP="00BD1D65">
      <w:pPr>
        <w:spacing w:after="160" w:line="259" w:lineRule="auto"/>
        <w:jc w:val="both"/>
        <w:rPr>
          <w:b/>
          <w:bCs/>
        </w:rPr>
      </w:pPr>
      <w:r>
        <w:rPr>
          <w:noProof/>
        </w:rPr>
        <w:drawing>
          <wp:inline distT="0" distB="0" distL="0" distR="0" wp14:anchorId="68EC8A6D" wp14:editId="77E71BC6">
            <wp:extent cx="5731510" cy="6622415"/>
            <wp:effectExtent l="0" t="0" r="0" b="0"/>
            <wp:docPr id="832582571" name="Picture 1" descr="A screenshot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82571" name="Picture 1" descr="A screenshot of a char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6622415"/>
                    </a:xfrm>
                    <a:prstGeom prst="rect">
                      <a:avLst/>
                    </a:prstGeom>
                    <a:noFill/>
                    <a:ln>
                      <a:noFill/>
                    </a:ln>
                  </pic:spPr>
                </pic:pic>
              </a:graphicData>
            </a:graphic>
          </wp:inline>
        </w:drawing>
      </w:r>
    </w:p>
    <w:p w14:paraId="6FFA5C66" w14:textId="3D3B6A90" w:rsidR="0072533A" w:rsidRDefault="0072533A" w:rsidP="00BD1D65">
      <w:pPr>
        <w:pStyle w:val="Caption"/>
      </w:pPr>
      <w:r>
        <w:rPr>
          <w:b/>
          <w:bCs/>
        </w:rPr>
        <w:t xml:space="preserve">Figure </w:t>
      </w:r>
      <w:r w:rsidR="00B167B3">
        <w:rPr>
          <w:b/>
          <w:bCs/>
        </w:rPr>
        <w:t>9</w:t>
      </w:r>
      <w:r>
        <w:rPr>
          <w:b/>
          <w:bCs/>
        </w:rPr>
        <w:t xml:space="preserve">: </w:t>
      </w:r>
      <w:r>
        <w:t xml:space="preserve">Representation of </w:t>
      </w:r>
      <w:r w:rsidR="00C64499">
        <w:t xml:space="preserve">the MFAs and streams distribution for each KPI (impact scores and TOTEX) for each cluster of solution along the </w:t>
      </w:r>
      <w:r w:rsidR="00F17D78">
        <w:t>P</w:t>
      </w:r>
      <w:r w:rsidR="00C64499">
        <w:t>areto (S1, 2, and 3).</w:t>
      </w:r>
    </w:p>
    <w:p w14:paraId="3A71B97C" w14:textId="143C00B9" w:rsidR="00343F61" w:rsidRDefault="00343F61" w:rsidP="00BD1D65">
      <w:pPr>
        <w:jc w:val="both"/>
        <w:rPr>
          <w:b/>
          <w:bCs/>
        </w:rPr>
      </w:pPr>
      <w:r>
        <w:rPr>
          <w:b/>
          <w:bCs/>
        </w:rPr>
        <w:br w:type="page"/>
      </w:r>
    </w:p>
    <w:p w14:paraId="3911A6BF" w14:textId="0366F34B" w:rsidR="006B683C" w:rsidRDefault="00343F61" w:rsidP="00BD1D65">
      <w:pPr>
        <w:pStyle w:val="Heading2"/>
        <w:jc w:val="both"/>
        <w:rPr>
          <w:b/>
          <w:bCs/>
        </w:rPr>
      </w:pPr>
      <w:bookmarkStart w:id="31" w:name="_Toc234499937"/>
      <w:r>
        <w:lastRenderedPageBreak/>
        <w:t>S-R1.</w:t>
      </w:r>
      <w:r w:rsidR="00A07DA2">
        <w:t>9</w:t>
      </w:r>
      <w:r>
        <w:t xml:space="preserve"> Parallel coordinates illustrating the technical configurations and results on KPIS of clusters of the </w:t>
      </w:r>
      <w:r w:rsidR="00674DB4">
        <w:t>P</w:t>
      </w:r>
      <w:r>
        <w:t>areto</w:t>
      </w:r>
      <w:bookmarkEnd w:id="31"/>
    </w:p>
    <w:p w14:paraId="7DC12EF6" w14:textId="7C20A92B" w:rsidR="006B683C" w:rsidRDefault="00B167B3" w:rsidP="00BD1D65">
      <w:pPr>
        <w:spacing w:after="160" w:line="259" w:lineRule="auto"/>
        <w:jc w:val="both"/>
        <w:rPr>
          <w:b/>
          <w:bCs/>
        </w:rPr>
      </w:pPr>
      <w:r w:rsidRPr="00B167B3">
        <w:rPr>
          <w:b/>
          <w:bCs/>
          <w:noProof/>
        </w:rPr>
        <w:drawing>
          <wp:inline distT="0" distB="0" distL="0" distR="0" wp14:anchorId="0C06DFD1" wp14:editId="0F0F3230">
            <wp:extent cx="5731510" cy="6493510"/>
            <wp:effectExtent l="0" t="0" r="0" b="0"/>
            <wp:docPr id="1661494939"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94939" name="Picture 1" descr="A graph of different colored lines&#10;&#10;AI-generated content may be incorrect."/>
                    <pic:cNvPicPr/>
                  </pic:nvPicPr>
                  <pic:blipFill>
                    <a:blip r:embed="rId19"/>
                    <a:stretch>
                      <a:fillRect/>
                    </a:stretch>
                  </pic:blipFill>
                  <pic:spPr>
                    <a:xfrm>
                      <a:off x="0" y="0"/>
                      <a:ext cx="5731510" cy="6493510"/>
                    </a:xfrm>
                    <a:prstGeom prst="rect">
                      <a:avLst/>
                    </a:prstGeom>
                  </pic:spPr>
                </pic:pic>
              </a:graphicData>
            </a:graphic>
          </wp:inline>
        </w:drawing>
      </w:r>
      <w:r w:rsidR="006B683C" w:rsidRPr="009952B1">
        <w:rPr>
          <w:b/>
          <w:bCs/>
        </w:rPr>
        <w:t xml:space="preserve"> </w:t>
      </w:r>
    </w:p>
    <w:p w14:paraId="766F7DD6" w14:textId="78EE25E4" w:rsidR="00343F61" w:rsidRDefault="00343F61" w:rsidP="00BD1D65">
      <w:pPr>
        <w:pStyle w:val="Caption"/>
      </w:pPr>
      <w:r>
        <w:rPr>
          <w:b/>
          <w:bCs/>
        </w:rPr>
        <w:t>Figure 1</w:t>
      </w:r>
      <w:r w:rsidR="00B167B3">
        <w:rPr>
          <w:b/>
          <w:bCs/>
        </w:rPr>
        <w:t>0</w:t>
      </w:r>
      <w:r>
        <w:rPr>
          <w:b/>
          <w:bCs/>
        </w:rPr>
        <w:t>:</w:t>
      </w:r>
      <w:r w:rsidRPr="00B167B3">
        <w:t xml:space="preserve"> </w:t>
      </w:r>
      <w:r w:rsidR="00B167B3" w:rsidRPr="00B167B3">
        <w:t xml:space="preserve">Parallel coordinate plots representing the technical configurations of the system and the corresponding KPI results (impact scores, circularity, and TOTEX) for each solution cluster along the Pareto front (S1, S2, and S3). The bold line represents the centroid of each cluster, whose material flow analysis (MFA) and KPI results are presented in Figure 9. The thin lines correspond to the other solutions within the cluster. Their dispersion in the parallel coordinate plots indicates whether a given technological option is a strong constraint or, conversely, allows greater flexibility for achieving the </w:t>
      </w:r>
      <w:r w:rsidR="00B75DFF">
        <w:t>KPIs</w:t>
      </w:r>
      <w:r w:rsidR="00B167B3" w:rsidRPr="00B167B3">
        <w:t>.</w:t>
      </w:r>
    </w:p>
    <w:p w14:paraId="373ECAF8" w14:textId="77777777" w:rsidR="00F03692" w:rsidRDefault="00F03692" w:rsidP="00BD1D65">
      <w:pPr>
        <w:spacing w:after="160" w:line="259" w:lineRule="auto"/>
        <w:jc w:val="both"/>
        <w:rPr>
          <w:b/>
          <w:bCs/>
          <w:lang w:val="en-GB"/>
        </w:rPr>
      </w:pPr>
    </w:p>
    <w:p w14:paraId="2CAD0917" w14:textId="77777777" w:rsidR="00B75DFF" w:rsidRPr="00B75DFF" w:rsidRDefault="00B75DFF" w:rsidP="00BD1D65">
      <w:pPr>
        <w:spacing w:after="160" w:line="259" w:lineRule="auto"/>
        <w:jc w:val="both"/>
        <w:rPr>
          <w:b/>
          <w:bCs/>
          <w:lang w:val="en-GB"/>
        </w:rPr>
      </w:pPr>
    </w:p>
    <w:p w14:paraId="7F2E3533" w14:textId="7EF3822F" w:rsidR="0037188D" w:rsidRPr="00D8102A" w:rsidRDefault="006B683C" w:rsidP="00BD1D65">
      <w:pPr>
        <w:pStyle w:val="Caption"/>
      </w:pPr>
      <w:r w:rsidRPr="007E69B2">
        <w:rPr>
          <w:b/>
          <w:bCs/>
        </w:rPr>
        <w:br w:type="page"/>
      </w:r>
    </w:p>
    <w:p w14:paraId="6144372A" w14:textId="69568DD8" w:rsidR="00726DFF" w:rsidRPr="00370245" w:rsidRDefault="00243519" w:rsidP="00BD1D65">
      <w:pPr>
        <w:pStyle w:val="Heading1"/>
        <w:ind w:left="720"/>
        <w:jc w:val="both"/>
      </w:pPr>
      <w:bookmarkStart w:id="32" w:name="_Toc234499938"/>
      <w:r w:rsidRPr="00370245">
        <w:lastRenderedPageBreak/>
        <w:t>References</w:t>
      </w:r>
      <w:bookmarkEnd w:id="32"/>
    </w:p>
    <w:p w14:paraId="11053096" w14:textId="77777777" w:rsidR="00243519" w:rsidRPr="00370245" w:rsidRDefault="00243519" w:rsidP="00BD1D65">
      <w:pPr>
        <w:jc w:val="both"/>
        <w:rPr>
          <w:lang w:val="en-GB"/>
        </w:rPr>
      </w:pPr>
    </w:p>
    <w:p w14:paraId="01B0A384" w14:textId="77777777" w:rsidR="002E66A0" w:rsidRPr="002E66A0" w:rsidRDefault="00243519" w:rsidP="002E66A0">
      <w:pPr>
        <w:pStyle w:val="Bibliography"/>
        <w:rPr>
          <w:rFonts w:ascii="Calibri" w:cs="Calibri"/>
        </w:rPr>
      </w:pPr>
      <w:r>
        <w:rPr>
          <w:lang w:val="en-US"/>
        </w:rPr>
        <w:fldChar w:fldCharType="begin"/>
      </w:r>
      <w:r w:rsidR="002E66A0">
        <w:instrText xml:space="preserve"> ADDIN ZOTERO_BIBL {"uncited":[],"omitted":[],"custom":[]} CSL_BIBLIOGRAPHY </w:instrText>
      </w:r>
      <w:r>
        <w:rPr>
          <w:lang w:val="en-US"/>
        </w:rPr>
        <w:fldChar w:fldCharType="separate"/>
      </w:r>
      <w:r w:rsidR="002E66A0" w:rsidRPr="002E66A0">
        <w:rPr>
          <w:rFonts w:ascii="Calibri" w:cs="Calibri"/>
        </w:rPr>
        <w:t>[1]</w:t>
      </w:r>
      <w:r w:rsidR="002E66A0" w:rsidRPr="002E66A0">
        <w:rPr>
          <w:rFonts w:ascii="Calibri" w:cs="Calibri"/>
        </w:rPr>
        <w:tab/>
        <w:t xml:space="preserve">M. Klotz and M. Haupt, “A high-resolution dataset on the plastic material flows in Switzerland,” </w:t>
      </w:r>
      <w:r w:rsidR="002E66A0" w:rsidRPr="002E66A0">
        <w:rPr>
          <w:rFonts w:ascii="Calibri" w:cs="Calibri"/>
          <w:i/>
          <w:iCs/>
        </w:rPr>
        <w:t>Data in Brief</w:t>
      </w:r>
      <w:r w:rsidR="002E66A0" w:rsidRPr="002E66A0">
        <w:rPr>
          <w:rFonts w:ascii="Calibri" w:cs="Calibri"/>
        </w:rPr>
        <w:t xml:space="preserve">, vol. 41, p. 108001, Apr. 2022, </w:t>
      </w:r>
      <w:proofErr w:type="spellStart"/>
      <w:r w:rsidR="002E66A0" w:rsidRPr="002E66A0">
        <w:rPr>
          <w:rFonts w:ascii="Calibri" w:cs="Calibri"/>
        </w:rPr>
        <w:t>doi</w:t>
      </w:r>
      <w:proofErr w:type="spellEnd"/>
      <w:r w:rsidR="002E66A0" w:rsidRPr="002E66A0">
        <w:rPr>
          <w:rFonts w:ascii="Calibri" w:cs="Calibri"/>
        </w:rPr>
        <w:t>: 10.1016/j.dib.2022.108001.</w:t>
      </w:r>
    </w:p>
    <w:p w14:paraId="707DA889" w14:textId="77777777" w:rsidR="002E66A0" w:rsidRPr="002E66A0" w:rsidRDefault="002E66A0" w:rsidP="002E66A0">
      <w:pPr>
        <w:pStyle w:val="Bibliography"/>
        <w:rPr>
          <w:rFonts w:ascii="Calibri" w:cs="Calibri"/>
        </w:rPr>
      </w:pPr>
      <w:r w:rsidRPr="002E66A0">
        <w:rPr>
          <w:rFonts w:ascii="Calibri" w:cs="Calibri"/>
        </w:rPr>
        <w:t>[2]</w:t>
      </w:r>
      <w:r w:rsidRPr="002E66A0">
        <w:rPr>
          <w:rFonts w:ascii="Calibri" w:cs="Calibri"/>
        </w:rPr>
        <w:tab/>
        <w:t xml:space="preserve">Amadei, A., Venturelli, S. and Manfredi, S., </w:t>
      </w:r>
      <w:r w:rsidRPr="002E66A0">
        <w:rPr>
          <w:rFonts w:ascii="Calibri" w:cs="Calibri"/>
          <w:i/>
          <w:iCs/>
        </w:rPr>
        <w:t>Plastics materials flows in the EU-27 and their environmental impacts: unveiling the European plastic value chain.</w:t>
      </w:r>
      <w:r w:rsidRPr="002E66A0">
        <w:rPr>
          <w:rFonts w:ascii="Calibri" w:cs="Calibri"/>
        </w:rPr>
        <w:t xml:space="preserve"> LU: Publications Office of the European Union, 2025. Accessed: Jan. 14, 2026. [Online]. Available: https://data.europa.eu/doi/10.2760/6579757</w:t>
      </w:r>
    </w:p>
    <w:p w14:paraId="1FB788B5" w14:textId="77777777" w:rsidR="002E66A0" w:rsidRPr="002E66A0" w:rsidRDefault="002E66A0" w:rsidP="002E66A0">
      <w:pPr>
        <w:pStyle w:val="Bibliography"/>
        <w:rPr>
          <w:rFonts w:ascii="Calibri" w:cs="Calibri"/>
        </w:rPr>
      </w:pPr>
      <w:r w:rsidRPr="002E66A0">
        <w:rPr>
          <w:rFonts w:ascii="Calibri" w:cs="Calibri"/>
        </w:rPr>
        <w:t>[3]</w:t>
      </w:r>
      <w:r w:rsidRPr="002E66A0">
        <w:rPr>
          <w:rFonts w:ascii="Calibri" w:cs="Calibri"/>
        </w:rPr>
        <w:tab/>
        <w:t xml:space="preserve">R. Geyer, J. R. </w:t>
      </w:r>
      <w:proofErr w:type="spellStart"/>
      <w:r w:rsidRPr="002E66A0">
        <w:rPr>
          <w:rFonts w:ascii="Calibri" w:cs="Calibri"/>
        </w:rPr>
        <w:t>Jambeck</w:t>
      </w:r>
      <w:proofErr w:type="spellEnd"/>
      <w:r w:rsidRPr="002E66A0">
        <w:rPr>
          <w:rFonts w:ascii="Calibri" w:cs="Calibri"/>
        </w:rPr>
        <w:t xml:space="preserve">, and K. L. Law, “Production, use, and fate of all plastics ever made,” </w:t>
      </w:r>
      <w:r w:rsidRPr="002E66A0">
        <w:rPr>
          <w:rFonts w:ascii="Calibri" w:cs="Calibri"/>
          <w:i/>
          <w:iCs/>
        </w:rPr>
        <w:t>Sci. Adv.</w:t>
      </w:r>
      <w:r w:rsidRPr="002E66A0">
        <w:rPr>
          <w:rFonts w:ascii="Calibri" w:cs="Calibri"/>
        </w:rPr>
        <w:t xml:space="preserve">, vol. 3, no. 7, p. e1700782, Jul. 2017, </w:t>
      </w:r>
      <w:proofErr w:type="spellStart"/>
      <w:r w:rsidRPr="002E66A0">
        <w:rPr>
          <w:rFonts w:ascii="Calibri" w:cs="Calibri"/>
        </w:rPr>
        <w:t>doi</w:t>
      </w:r>
      <w:proofErr w:type="spellEnd"/>
      <w:r w:rsidRPr="002E66A0">
        <w:rPr>
          <w:rFonts w:ascii="Calibri" w:cs="Calibri"/>
        </w:rPr>
        <w:t>: 10.1126/sciadv.1700782.</w:t>
      </w:r>
    </w:p>
    <w:p w14:paraId="5F04589A" w14:textId="77777777" w:rsidR="002E66A0" w:rsidRPr="002E66A0" w:rsidRDefault="002E66A0" w:rsidP="002E66A0">
      <w:pPr>
        <w:pStyle w:val="Bibliography"/>
        <w:rPr>
          <w:rFonts w:ascii="Calibri" w:cs="Calibri"/>
        </w:rPr>
      </w:pPr>
      <w:r w:rsidRPr="002E66A0">
        <w:rPr>
          <w:rFonts w:ascii="Calibri" w:cs="Calibri"/>
        </w:rPr>
        <w:t>[4]</w:t>
      </w:r>
      <w:r w:rsidRPr="002E66A0">
        <w:rPr>
          <w:rFonts w:ascii="Calibri" w:cs="Calibri"/>
        </w:rPr>
        <w:tab/>
        <w:t xml:space="preserve">P. H. Brunner, </w:t>
      </w:r>
      <w:r w:rsidRPr="002E66A0">
        <w:rPr>
          <w:rFonts w:ascii="Calibri" w:cs="Calibri"/>
          <w:i/>
          <w:iCs/>
        </w:rPr>
        <w:t>Practical handbook of material flow analysis</w:t>
      </w:r>
      <w:r w:rsidRPr="002E66A0">
        <w:rPr>
          <w:rFonts w:ascii="Calibri" w:cs="Calibri"/>
        </w:rPr>
        <w:t xml:space="preserve">. in Advanced methods in resource and waste management, no. 1. Boca Raton, FL: CRC/Lewis, 2004. </w:t>
      </w:r>
      <w:proofErr w:type="spellStart"/>
      <w:r w:rsidRPr="002E66A0">
        <w:rPr>
          <w:rFonts w:ascii="Calibri" w:cs="Calibri"/>
        </w:rPr>
        <w:t>doi</w:t>
      </w:r>
      <w:proofErr w:type="spellEnd"/>
      <w:r w:rsidRPr="002E66A0">
        <w:rPr>
          <w:rFonts w:ascii="Calibri" w:cs="Calibri"/>
        </w:rPr>
        <w:t>: 10.1201/9780203507209.</w:t>
      </w:r>
    </w:p>
    <w:p w14:paraId="44C7E569" w14:textId="77777777" w:rsidR="002E66A0" w:rsidRPr="002E66A0" w:rsidRDefault="002E66A0" w:rsidP="002E66A0">
      <w:pPr>
        <w:pStyle w:val="Bibliography"/>
        <w:rPr>
          <w:rFonts w:ascii="Calibri" w:cs="Calibri"/>
        </w:rPr>
      </w:pPr>
      <w:r w:rsidRPr="002E66A0">
        <w:rPr>
          <w:rFonts w:ascii="Calibri" w:cs="Calibri"/>
        </w:rPr>
        <w:t>[5]</w:t>
      </w:r>
      <w:r w:rsidRPr="002E66A0">
        <w:rPr>
          <w:rFonts w:ascii="Calibri" w:cs="Calibri"/>
        </w:rPr>
        <w:tab/>
        <w:t xml:space="preserve">M. Klotz and M. Haupt, “A high-resolution dataset on the plastic material flows in Switzerland,” </w:t>
      </w:r>
      <w:r w:rsidRPr="002E66A0">
        <w:rPr>
          <w:rFonts w:ascii="Calibri" w:cs="Calibri"/>
          <w:i/>
          <w:iCs/>
        </w:rPr>
        <w:t>Data in Brief</w:t>
      </w:r>
      <w:r w:rsidRPr="002E66A0">
        <w:rPr>
          <w:rFonts w:ascii="Calibri" w:cs="Calibri"/>
        </w:rPr>
        <w:t xml:space="preserve">, vol. 41, p. 108001, Apr. 2022, </w:t>
      </w:r>
      <w:proofErr w:type="spellStart"/>
      <w:r w:rsidRPr="002E66A0">
        <w:rPr>
          <w:rFonts w:ascii="Calibri" w:cs="Calibri"/>
        </w:rPr>
        <w:t>doi</w:t>
      </w:r>
      <w:proofErr w:type="spellEnd"/>
      <w:r w:rsidRPr="002E66A0">
        <w:rPr>
          <w:rFonts w:ascii="Calibri" w:cs="Calibri"/>
        </w:rPr>
        <w:t>: 10.1016/j.dib.2022.108001.</w:t>
      </w:r>
    </w:p>
    <w:p w14:paraId="43B8C257" w14:textId="77777777" w:rsidR="002E66A0" w:rsidRPr="002E66A0" w:rsidRDefault="002E66A0" w:rsidP="002E66A0">
      <w:pPr>
        <w:pStyle w:val="Bibliography"/>
        <w:rPr>
          <w:rFonts w:ascii="Calibri" w:cs="Calibri"/>
        </w:rPr>
      </w:pPr>
      <w:r w:rsidRPr="002E66A0">
        <w:rPr>
          <w:rFonts w:ascii="Calibri" w:cs="Calibri"/>
        </w:rPr>
        <w:t>[6]</w:t>
      </w:r>
      <w:r w:rsidRPr="002E66A0">
        <w:rPr>
          <w:rFonts w:ascii="Calibri" w:cs="Calibri"/>
        </w:rPr>
        <w:tab/>
        <w:t xml:space="preserve">M. Klotz, M. Haupt, and S. Hellweg, “Potentials and limits of mechanical plastic recycling,” </w:t>
      </w:r>
      <w:r w:rsidRPr="002E66A0">
        <w:rPr>
          <w:rFonts w:ascii="Calibri" w:cs="Calibri"/>
          <w:i/>
          <w:iCs/>
        </w:rPr>
        <w:t>J of Industrial Ecology</w:t>
      </w:r>
      <w:r w:rsidRPr="002E66A0">
        <w:rPr>
          <w:rFonts w:ascii="Calibri" w:cs="Calibri"/>
        </w:rPr>
        <w:t xml:space="preserve">, vol. 27, no. 4, pp. 1043–1059, Aug. 2023, </w:t>
      </w:r>
      <w:proofErr w:type="spellStart"/>
      <w:r w:rsidRPr="002E66A0">
        <w:rPr>
          <w:rFonts w:ascii="Calibri" w:cs="Calibri"/>
        </w:rPr>
        <w:t>doi</w:t>
      </w:r>
      <w:proofErr w:type="spellEnd"/>
      <w:r w:rsidRPr="002E66A0">
        <w:rPr>
          <w:rFonts w:ascii="Calibri" w:cs="Calibri"/>
        </w:rPr>
        <w:t>: 10.1111/jiec.13393.</w:t>
      </w:r>
    </w:p>
    <w:p w14:paraId="22044B3D" w14:textId="77777777" w:rsidR="002E66A0" w:rsidRPr="002E66A0" w:rsidRDefault="002E66A0" w:rsidP="002E66A0">
      <w:pPr>
        <w:pStyle w:val="Bibliography"/>
        <w:rPr>
          <w:rFonts w:ascii="Calibri" w:cs="Calibri"/>
        </w:rPr>
      </w:pPr>
      <w:r w:rsidRPr="002E66A0">
        <w:rPr>
          <w:rFonts w:ascii="Calibri" w:cs="Calibri"/>
        </w:rPr>
        <w:t>[7]</w:t>
      </w:r>
      <w:r w:rsidRPr="002E66A0">
        <w:rPr>
          <w:rFonts w:ascii="Calibri" w:cs="Calibri"/>
        </w:rPr>
        <w:tab/>
        <w:t xml:space="preserve">R. Turton, R. C. Bailie, W. B. Whiting, and J. A. Shaeiwitz, </w:t>
      </w:r>
      <w:r w:rsidRPr="002E66A0">
        <w:rPr>
          <w:rFonts w:ascii="Calibri" w:cs="Calibri"/>
          <w:i/>
          <w:iCs/>
        </w:rPr>
        <w:t>Analysis, Synthesis and Design of Chemical Processes</w:t>
      </w:r>
      <w:r w:rsidRPr="002E66A0">
        <w:rPr>
          <w:rFonts w:ascii="Calibri" w:cs="Calibri"/>
        </w:rPr>
        <w:t>. Pearson Education, 2008.</w:t>
      </w:r>
    </w:p>
    <w:p w14:paraId="19C72F84" w14:textId="77777777" w:rsidR="002E66A0" w:rsidRPr="002E66A0" w:rsidRDefault="002E66A0" w:rsidP="002E66A0">
      <w:pPr>
        <w:pStyle w:val="Bibliography"/>
        <w:rPr>
          <w:rFonts w:ascii="Calibri" w:cs="Calibri"/>
        </w:rPr>
      </w:pPr>
      <w:r w:rsidRPr="002E66A0">
        <w:rPr>
          <w:rFonts w:ascii="Calibri" w:cs="Calibri"/>
        </w:rPr>
        <w:t>[8]</w:t>
      </w:r>
      <w:r w:rsidRPr="002E66A0">
        <w:rPr>
          <w:rFonts w:ascii="Calibri" w:cs="Calibri"/>
        </w:rPr>
        <w:tab/>
        <w:t xml:space="preserve">G. P. Towler and R. Sinnott, </w:t>
      </w:r>
      <w:r w:rsidRPr="002E66A0">
        <w:rPr>
          <w:rFonts w:ascii="Calibri" w:cs="Calibri"/>
          <w:i/>
          <w:iCs/>
        </w:rPr>
        <w:t>Principles, practice and economics of plant and process design</w:t>
      </w:r>
      <w:r w:rsidRPr="002E66A0">
        <w:rPr>
          <w:rFonts w:ascii="Calibri" w:cs="Calibri"/>
        </w:rPr>
        <w:t>, vol. 2nd ed. Butterworth-Heinemann. 2012.</w:t>
      </w:r>
    </w:p>
    <w:p w14:paraId="097691F4" w14:textId="77777777" w:rsidR="002E66A0" w:rsidRPr="002E66A0" w:rsidRDefault="002E66A0" w:rsidP="002E66A0">
      <w:pPr>
        <w:pStyle w:val="Bibliography"/>
        <w:rPr>
          <w:rFonts w:ascii="Calibri" w:cs="Calibri"/>
          <w:lang w:val="fr-CH"/>
        </w:rPr>
      </w:pPr>
      <w:r w:rsidRPr="002E66A0">
        <w:rPr>
          <w:rFonts w:ascii="Calibri" w:cs="Calibri"/>
        </w:rPr>
        <w:t>[9]</w:t>
      </w:r>
      <w:r w:rsidRPr="002E66A0">
        <w:rPr>
          <w:rFonts w:ascii="Calibri" w:cs="Calibri"/>
        </w:rPr>
        <w:tab/>
        <w:t xml:space="preserve">Business </w:t>
      </w:r>
      <w:proofErr w:type="spellStart"/>
      <w:r w:rsidRPr="002E66A0">
        <w:rPr>
          <w:rFonts w:ascii="Calibri" w:cs="Calibri"/>
        </w:rPr>
        <w:t>Analitiq</w:t>
      </w:r>
      <w:proofErr w:type="spellEnd"/>
      <w:r w:rsidRPr="002E66A0">
        <w:rPr>
          <w:rFonts w:ascii="Calibri" w:cs="Calibri"/>
        </w:rPr>
        <w:t xml:space="preserve">, “PET (Polyethylene Terephthalate) price index.” Accessed: May 04, 2026. </w:t>
      </w:r>
      <w:r w:rsidRPr="002E66A0">
        <w:rPr>
          <w:rFonts w:ascii="Calibri" w:cs="Calibri"/>
          <w:lang w:val="fr-CH"/>
        </w:rPr>
        <w:t xml:space="preserve">[Online]. </w:t>
      </w:r>
      <w:proofErr w:type="spellStart"/>
      <w:proofErr w:type="gramStart"/>
      <w:r w:rsidRPr="002E66A0">
        <w:rPr>
          <w:rFonts w:ascii="Calibri" w:cs="Calibri"/>
          <w:lang w:val="fr-CH"/>
        </w:rPr>
        <w:t>Available</w:t>
      </w:r>
      <w:proofErr w:type="spellEnd"/>
      <w:r w:rsidRPr="002E66A0">
        <w:rPr>
          <w:rFonts w:ascii="Calibri" w:cs="Calibri"/>
          <w:lang w:val="fr-CH"/>
        </w:rPr>
        <w:t>:</w:t>
      </w:r>
      <w:proofErr w:type="gramEnd"/>
      <w:r w:rsidRPr="002E66A0">
        <w:rPr>
          <w:rFonts w:ascii="Calibri" w:cs="Calibri"/>
          <w:lang w:val="fr-CH"/>
        </w:rPr>
        <w:t xml:space="preserve"> https://businessanalytiq.com/procurementanalytics/index/pet-price-index/</w:t>
      </w:r>
    </w:p>
    <w:p w14:paraId="24C9FD8E" w14:textId="77777777" w:rsidR="002E66A0" w:rsidRPr="002E66A0" w:rsidRDefault="002E66A0" w:rsidP="002E66A0">
      <w:pPr>
        <w:pStyle w:val="Bibliography"/>
        <w:rPr>
          <w:rFonts w:ascii="Calibri" w:cs="Calibri"/>
        </w:rPr>
      </w:pPr>
      <w:r w:rsidRPr="002E66A0">
        <w:rPr>
          <w:rFonts w:ascii="Calibri" w:cs="Calibri"/>
          <w:lang w:val="de-CH"/>
        </w:rPr>
        <w:t>[10]</w:t>
      </w:r>
      <w:r w:rsidRPr="002E66A0">
        <w:rPr>
          <w:rFonts w:ascii="Calibri" w:cs="Calibri"/>
          <w:lang w:val="de-CH"/>
        </w:rPr>
        <w:tab/>
        <w:t xml:space="preserve">SFOE, “Energie-Dashboard Bundesamt für Energie.” </w:t>
      </w:r>
      <w:r w:rsidRPr="002E66A0">
        <w:rPr>
          <w:rFonts w:ascii="Calibri" w:cs="Calibri"/>
        </w:rPr>
        <w:t>Accessed: May 04, 2026. [Online]. Available: https://www.energiedashboard.admin.ch/preise/strom</w:t>
      </w:r>
    </w:p>
    <w:p w14:paraId="74110819" w14:textId="77777777" w:rsidR="002E66A0" w:rsidRPr="002E66A0" w:rsidRDefault="002E66A0" w:rsidP="002E66A0">
      <w:pPr>
        <w:pStyle w:val="Bibliography"/>
        <w:rPr>
          <w:rFonts w:ascii="Calibri" w:cs="Calibri"/>
        </w:rPr>
      </w:pPr>
      <w:r w:rsidRPr="002E66A0">
        <w:rPr>
          <w:rFonts w:ascii="Calibri" w:cs="Calibri"/>
        </w:rPr>
        <w:t>[11]</w:t>
      </w:r>
      <w:r w:rsidRPr="002E66A0">
        <w:rPr>
          <w:rFonts w:ascii="Calibri" w:cs="Calibri"/>
        </w:rPr>
        <w:tab/>
        <w:t xml:space="preserve">Business </w:t>
      </w:r>
      <w:proofErr w:type="spellStart"/>
      <w:r w:rsidRPr="002E66A0">
        <w:rPr>
          <w:rFonts w:ascii="Calibri" w:cs="Calibri"/>
        </w:rPr>
        <w:t>Analitiq</w:t>
      </w:r>
      <w:proofErr w:type="spellEnd"/>
      <w:r w:rsidRPr="002E66A0">
        <w:rPr>
          <w:rFonts w:ascii="Calibri" w:cs="Calibri"/>
        </w:rPr>
        <w:t>, “Methanol price index.” Accessed: May 04, 2026. [Online]. Available: https://businessanalytiq.com/procurementanalytics/index/methanol-price-index/</w:t>
      </w:r>
    </w:p>
    <w:p w14:paraId="4C70AD47" w14:textId="77777777" w:rsidR="002E66A0" w:rsidRPr="002E66A0" w:rsidRDefault="002E66A0" w:rsidP="002E66A0">
      <w:pPr>
        <w:pStyle w:val="Bibliography"/>
        <w:rPr>
          <w:rFonts w:ascii="Calibri" w:cs="Calibri"/>
        </w:rPr>
      </w:pPr>
      <w:r w:rsidRPr="002E66A0">
        <w:rPr>
          <w:rFonts w:ascii="Calibri" w:cs="Calibri"/>
          <w:lang w:val="de-CH"/>
        </w:rPr>
        <w:t>[12]</w:t>
      </w:r>
      <w:r w:rsidRPr="002E66A0">
        <w:rPr>
          <w:rFonts w:ascii="Calibri" w:cs="Calibri"/>
          <w:lang w:val="de-CH"/>
        </w:rPr>
        <w:tab/>
        <w:t xml:space="preserve">“Energie-Dashboard Bundesamt für Energie.” </w:t>
      </w:r>
      <w:r w:rsidRPr="002E66A0">
        <w:rPr>
          <w:rFonts w:ascii="Calibri" w:cs="Calibri"/>
        </w:rPr>
        <w:t>Accessed: May 04, 2026. [Online]. Available: https://www.energiedashboard.admin.ch/preise/gas</w:t>
      </w:r>
    </w:p>
    <w:p w14:paraId="19B462EC" w14:textId="77777777" w:rsidR="002E66A0" w:rsidRPr="002E66A0" w:rsidRDefault="002E66A0" w:rsidP="002E66A0">
      <w:pPr>
        <w:pStyle w:val="Bibliography"/>
        <w:rPr>
          <w:rFonts w:ascii="Calibri" w:cs="Calibri"/>
        </w:rPr>
      </w:pPr>
      <w:r w:rsidRPr="002E66A0">
        <w:rPr>
          <w:rFonts w:ascii="Calibri" w:cs="Calibri"/>
          <w:lang w:val="de-CH"/>
        </w:rPr>
        <w:t>[13]</w:t>
      </w:r>
      <w:r w:rsidRPr="002E66A0">
        <w:rPr>
          <w:rFonts w:ascii="Calibri" w:cs="Calibri"/>
          <w:lang w:val="de-CH"/>
        </w:rPr>
        <w:tab/>
        <w:t xml:space="preserve">“Eidgenössisches Departement für Wirtschaft, Bildung und Forschung WBF - Preisüberwachung.” </w:t>
      </w:r>
      <w:r w:rsidRPr="002E66A0">
        <w:rPr>
          <w:rFonts w:ascii="Calibri" w:cs="Calibri"/>
        </w:rPr>
        <w:t>Accessed: May 04, 2026. [Online]. Available: https://www.preisvergleiche.preisueberwacher.admin.ch/?z=5&amp;i=34&amp;c=1&amp;term=sion&amp;name=Sion</w:t>
      </w:r>
    </w:p>
    <w:p w14:paraId="3843C151" w14:textId="77777777" w:rsidR="002E66A0" w:rsidRPr="002E66A0" w:rsidRDefault="002E66A0" w:rsidP="002E66A0">
      <w:pPr>
        <w:pStyle w:val="Bibliography"/>
        <w:rPr>
          <w:rFonts w:ascii="Calibri" w:cs="Calibri"/>
        </w:rPr>
      </w:pPr>
      <w:r w:rsidRPr="002E66A0">
        <w:rPr>
          <w:rFonts w:ascii="Calibri" w:cs="Calibri"/>
        </w:rPr>
        <w:t>[14]</w:t>
      </w:r>
      <w:r w:rsidRPr="002E66A0">
        <w:rPr>
          <w:rFonts w:ascii="Calibri" w:cs="Calibri"/>
        </w:rPr>
        <w:tab/>
        <w:t>“Dimethyl Terephthalate Price - Historical &amp; Current.” Accessed: May 04, 2026. [Online]. Available: https://www.intratec.us/solutions/primary-commodity-prices/commodity/dimethyl-terephthalate-prices</w:t>
      </w:r>
    </w:p>
    <w:p w14:paraId="1A5C0224" w14:textId="77777777" w:rsidR="002E66A0" w:rsidRPr="002E66A0" w:rsidRDefault="002E66A0" w:rsidP="002E66A0">
      <w:pPr>
        <w:pStyle w:val="Bibliography"/>
        <w:rPr>
          <w:rFonts w:ascii="Calibri" w:cs="Calibri"/>
        </w:rPr>
      </w:pPr>
      <w:r w:rsidRPr="002E66A0">
        <w:rPr>
          <w:rFonts w:ascii="Calibri" w:cs="Calibri"/>
        </w:rPr>
        <w:t>[15]</w:t>
      </w:r>
      <w:r w:rsidRPr="002E66A0">
        <w:rPr>
          <w:rFonts w:ascii="Calibri" w:cs="Calibri"/>
        </w:rPr>
        <w:tab/>
      </w:r>
      <w:proofErr w:type="spellStart"/>
      <w:r w:rsidRPr="002E66A0">
        <w:rPr>
          <w:rFonts w:ascii="Calibri" w:cs="Calibri"/>
        </w:rPr>
        <w:t>Echemi</w:t>
      </w:r>
      <w:proofErr w:type="spellEnd"/>
      <w:r w:rsidRPr="002E66A0">
        <w:rPr>
          <w:rFonts w:ascii="Calibri" w:cs="Calibri"/>
        </w:rPr>
        <w:t>, “Ethylene glycol Price List in Global Market - ECHEMI,” Market Price &amp; Insight. Accessed: May 04, 2026. [Online]. Available: https://www.echemi.com/pip/ethylene-glycol-eg-pid_Seven2471.html</w:t>
      </w:r>
    </w:p>
    <w:p w14:paraId="56CADE04" w14:textId="77777777" w:rsidR="002E66A0" w:rsidRPr="002E66A0" w:rsidRDefault="002E66A0" w:rsidP="002E66A0">
      <w:pPr>
        <w:pStyle w:val="Bibliography"/>
        <w:rPr>
          <w:rFonts w:ascii="Calibri" w:cs="Calibri"/>
        </w:rPr>
      </w:pPr>
      <w:r w:rsidRPr="002E66A0">
        <w:rPr>
          <w:rFonts w:ascii="Calibri" w:cs="Calibri"/>
        </w:rPr>
        <w:t>[16]</w:t>
      </w:r>
      <w:r w:rsidRPr="002E66A0">
        <w:rPr>
          <w:rFonts w:ascii="Calibri" w:cs="Calibri"/>
        </w:rPr>
        <w:tab/>
        <w:t xml:space="preserve">A. Singh </w:t>
      </w:r>
      <w:r w:rsidRPr="002E66A0">
        <w:rPr>
          <w:rFonts w:ascii="Calibri" w:cs="Calibri"/>
          <w:i/>
          <w:iCs/>
        </w:rPr>
        <w:t>et al.</w:t>
      </w:r>
      <w:r w:rsidRPr="002E66A0">
        <w:rPr>
          <w:rFonts w:ascii="Calibri" w:cs="Calibri"/>
        </w:rPr>
        <w:t xml:space="preserve">, “Techno-economic, </w:t>
      </w:r>
      <w:proofErr w:type="gramStart"/>
      <w:r w:rsidRPr="002E66A0">
        <w:rPr>
          <w:rFonts w:ascii="Calibri" w:cs="Calibri"/>
        </w:rPr>
        <w:t>life-cycle</w:t>
      </w:r>
      <w:proofErr w:type="gramEnd"/>
      <w:r w:rsidRPr="002E66A0">
        <w:rPr>
          <w:rFonts w:ascii="Calibri" w:cs="Calibri"/>
        </w:rPr>
        <w:t xml:space="preserve">, and socioeconomic impact analysis of enzymatic recycling of </w:t>
      </w:r>
      <w:proofErr w:type="gramStart"/>
      <w:r w:rsidRPr="002E66A0">
        <w:rPr>
          <w:rFonts w:ascii="Calibri" w:cs="Calibri"/>
        </w:rPr>
        <w:t>poly(</w:t>
      </w:r>
      <w:proofErr w:type="gramEnd"/>
      <w:r w:rsidRPr="002E66A0">
        <w:rPr>
          <w:rFonts w:ascii="Calibri" w:cs="Calibri"/>
        </w:rPr>
        <w:t xml:space="preserve">ethylene terephthalate),” </w:t>
      </w:r>
      <w:r w:rsidRPr="002E66A0">
        <w:rPr>
          <w:rFonts w:ascii="Calibri" w:cs="Calibri"/>
          <w:i/>
          <w:iCs/>
        </w:rPr>
        <w:t>Joule</w:t>
      </w:r>
      <w:r w:rsidRPr="002E66A0">
        <w:rPr>
          <w:rFonts w:ascii="Calibri" w:cs="Calibri"/>
        </w:rPr>
        <w:t xml:space="preserve">, vol. 5, no. 9, pp. 2479–2503, Sep. 2021, </w:t>
      </w:r>
      <w:proofErr w:type="spellStart"/>
      <w:r w:rsidRPr="002E66A0">
        <w:rPr>
          <w:rFonts w:ascii="Calibri" w:cs="Calibri"/>
        </w:rPr>
        <w:t>doi</w:t>
      </w:r>
      <w:proofErr w:type="spellEnd"/>
      <w:r w:rsidRPr="002E66A0">
        <w:rPr>
          <w:rFonts w:ascii="Calibri" w:cs="Calibri"/>
        </w:rPr>
        <w:t>: 10.1016/j.joule.2021.06.015.</w:t>
      </w:r>
    </w:p>
    <w:p w14:paraId="3FB42F79" w14:textId="77777777" w:rsidR="002E66A0" w:rsidRPr="002E66A0" w:rsidRDefault="002E66A0" w:rsidP="002E66A0">
      <w:pPr>
        <w:pStyle w:val="Bibliography"/>
        <w:rPr>
          <w:rFonts w:ascii="Calibri" w:cs="Calibri"/>
        </w:rPr>
      </w:pPr>
      <w:r w:rsidRPr="002E66A0">
        <w:rPr>
          <w:rFonts w:ascii="Calibri" w:cs="Calibri"/>
          <w:lang w:val="de-CH"/>
        </w:rPr>
        <w:lastRenderedPageBreak/>
        <w:t>[17]</w:t>
      </w:r>
      <w:r w:rsidRPr="002E66A0">
        <w:rPr>
          <w:rFonts w:ascii="Calibri" w:cs="Calibri"/>
          <w:lang w:val="de-CH"/>
        </w:rPr>
        <w:tab/>
        <w:t xml:space="preserve">“Eidgenössisches Departement für Wirtschaft, Bildung und Forschung WBF - Preisüberwachung.” </w:t>
      </w:r>
      <w:r w:rsidRPr="002E66A0">
        <w:rPr>
          <w:rFonts w:ascii="Calibri" w:cs="Calibri"/>
        </w:rPr>
        <w:t>Accessed: May 04, 2026. [Online]. Available: https://www.preisvergleiche.preisueberwacher.admin.ch/?z=5&amp;i=34&amp;c=1&amp;term=sion&amp;name=Sion</w:t>
      </w:r>
    </w:p>
    <w:p w14:paraId="7E8DFDA2" w14:textId="77777777" w:rsidR="002E66A0" w:rsidRPr="002E66A0" w:rsidRDefault="002E66A0" w:rsidP="002E66A0">
      <w:pPr>
        <w:pStyle w:val="Bibliography"/>
        <w:rPr>
          <w:rFonts w:ascii="Calibri" w:cs="Calibri"/>
        </w:rPr>
      </w:pPr>
      <w:r w:rsidRPr="002E66A0">
        <w:rPr>
          <w:rFonts w:ascii="Calibri" w:cs="Calibri"/>
        </w:rPr>
        <w:t>[18]</w:t>
      </w:r>
      <w:r w:rsidRPr="002E66A0">
        <w:rPr>
          <w:rFonts w:ascii="Calibri" w:cs="Calibri"/>
        </w:rPr>
        <w:tab/>
      </w:r>
      <w:proofErr w:type="spellStart"/>
      <w:r w:rsidRPr="002E66A0">
        <w:rPr>
          <w:rFonts w:ascii="Calibri" w:cs="Calibri"/>
        </w:rPr>
        <w:t>Thermo</w:t>
      </w:r>
      <w:proofErr w:type="spellEnd"/>
      <w:r w:rsidRPr="002E66A0">
        <w:rPr>
          <w:rFonts w:ascii="Calibri" w:cs="Calibri"/>
        </w:rPr>
        <w:t xml:space="preserve"> Fisher Scientific, “1,3-Dimethylurea, 98%.” Accessed: May 04, 2026. [Online]. Available: https://www.thermofisher.com/order/catalog/product/116910010</w:t>
      </w:r>
    </w:p>
    <w:p w14:paraId="28483766" w14:textId="77777777" w:rsidR="002E66A0" w:rsidRPr="002E66A0" w:rsidRDefault="002E66A0" w:rsidP="002E66A0">
      <w:pPr>
        <w:pStyle w:val="Bibliography"/>
        <w:rPr>
          <w:rFonts w:ascii="Calibri" w:cs="Calibri"/>
        </w:rPr>
      </w:pPr>
      <w:r w:rsidRPr="002E66A0">
        <w:rPr>
          <w:rFonts w:ascii="Calibri" w:cs="Calibri"/>
        </w:rPr>
        <w:t>[19]</w:t>
      </w:r>
      <w:r w:rsidRPr="002E66A0">
        <w:rPr>
          <w:rFonts w:ascii="Calibri" w:cs="Calibri"/>
        </w:rPr>
        <w:tab/>
        <w:t xml:space="preserve">“Global r-BHET Market Share and Ranking, </w:t>
      </w:r>
      <w:proofErr w:type="gramStart"/>
      <w:r w:rsidRPr="002E66A0">
        <w:rPr>
          <w:rFonts w:ascii="Calibri" w:cs="Calibri"/>
        </w:rPr>
        <w:t>Overall</w:t>
      </w:r>
      <w:proofErr w:type="gramEnd"/>
      <w:r w:rsidRPr="002E66A0">
        <w:rPr>
          <w:rFonts w:ascii="Calibri" w:cs="Calibri"/>
        </w:rPr>
        <w:t xml:space="preserve"> Sales and Demand Forecast 2025-2031.” Accessed: May 04, 2026. [Online]. Available: https://qyresearch.in/report-details/8712364</w:t>
      </w:r>
    </w:p>
    <w:p w14:paraId="75820E28" w14:textId="77777777" w:rsidR="002E66A0" w:rsidRPr="002E66A0" w:rsidRDefault="002E66A0" w:rsidP="002E66A0">
      <w:pPr>
        <w:pStyle w:val="Bibliography"/>
        <w:rPr>
          <w:rFonts w:ascii="Calibri" w:cs="Calibri"/>
        </w:rPr>
      </w:pPr>
      <w:r w:rsidRPr="002E66A0">
        <w:rPr>
          <w:rFonts w:ascii="Calibri" w:cs="Calibri"/>
        </w:rPr>
        <w:t>[20]</w:t>
      </w:r>
      <w:r w:rsidRPr="002E66A0">
        <w:rPr>
          <w:rFonts w:ascii="Calibri" w:cs="Calibri"/>
        </w:rPr>
        <w:tab/>
        <w:t xml:space="preserve">R. Castro-Amoedo, J. </w:t>
      </w:r>
      <w:proofErr w:type="spellStart"/>
      <w:r w:rsidRPr="002E66A0">
        <w:rPr>
          <w:rFonts w:ascii="Calibri" w:cs="Calibri"/>
        </w:rPr>
        <w:t>Granacher</w:t>
      </w:r>
      <w:proofErr w:type="spellEnd"/>
      <w:r w:rsidRPr="002E66A0">
        <w:rPr>
          <w:rFonts w:ascii="Calibri" w:cs="Calibri"/>
        </w:rPr>
        <w:t xml:space="preserve">, M. A. Daher, and F. Maréchal, “On the role of system integration of carbon capture and mineralization in achieving net-negative emissions in industrial sectors,” </w:t>
      </w:r>
      <w:r w:rsidRPr="002E66A0">
        <w:rPr>
          <w:rFonts w:ascii="Calibri" w:cs="Calibri"/>
          <w:i/>
          <w:iCs/>
        </w:rPr>
        <w:t>Energy Environ. Sci.</w:t>
      </w:r>
      <w:r w:rsidRPr="002E66A0">
        <w:rPr>
          <w:rFonts w:ascii="Calibri" w:cs="Calibri"/>
        </w:rPr>
        <w:t xml:space="preserve">, vol. 16, no. 10, pp. 4356–4372, 2023, </w:t>
      </w:r>
      <w:proofErr w:type="spellStart"/>
      <w:r w:rsidRPr="002E66A0">
        <w:rPr>
          <w:rFonts w:ascii="Calibri" w:cs="Calibri"/>
        </w:rPr>
        <w:t>doi</w:t>
      </w:r>
      <w:proofErr w:type="spellEnd"/>
      <w:r w:rsidRPr="002E66A0">
        <w:rPr>
          <w:rFonts w:ascii="Calibri" w:cs="Calibri"/>
        </w:rPr>
        <w:t>: 10.1039/D3EE01803B.</w:t>
      </w:r>
    </w:p>
    <w:p w14:paraId="19660706" w14:textId="77777777" w:rsidR="002E66A0" w:rsidRPr="002E66A0" w:rsidRDefault="002E66A0" w:rsidP="002E66A0">
      <w:pPr>
        <w:pStyle w:val="Bibliography"/>
        <w:rPr>
          <w:rFonts w:ascii="Calibri" w:cs="Calibri"/>
        </w:rPr>
      </w:pPr>
      <w:r w:rsidRPr="002E66A0">
        <w:rPr>
          <w:rFonts w:ascii="Calibri" w:cs="Calibri"/>
        </w:rPr>
        <w:t>[21]</w:t>
      </w:r>
      <w:r w:rsidRPr="002E66A0">
        <w:rPr>
          <w:rFonts w:ascii="Calibri" w:cs="Calibri"/>
        </w:rPr>
        <w:tab/>
        <w:t xml:space="preserve">L.-C. Pasquier, G. Mercier, J.-F. Blais, E. Cecchi, and S. Kentish, “Technical &amp; economic evaluation of a mineral carbonation process using southern Québec mining wastes for CO2 sequestration of raw flue gas with by-product recovery,” </w:t>
      </w:r>
      <w:r w:rsidRPr="002E66A0">
        <w:rPr>
          <w:rFonts w:ascii="Calibri" w:cs="Calibri"/>
          <w:i/>
          <w:iCs/>
        </w:rPr>
        <w:t>International Journal of Greenhouse Gas Control</w:t>
      </w:r>
      <w:r w:rsidRPr="002E66A0">
        <w:rPr>
          <w:rFonts w:ascii="Calibri" w:cs="Calibri"/>
        </w:rPr>
        <w:t xml:space="preserve">, vol. 50, pp. 147–157, Jul. 2016, </w:t>
      </w:r>
      <w:proofErr w:type="spellStart"/>
      <w:r w:rsidRPr="002E66A0">
        <w:rPr>
          <w:rFonts w:ascii="Calibri" w:cs="Calibri"/>
        </w:rPr>
        <w:t>doi</w:t>
      </w:r>
      <w:proofErr w:type="spellEnd"/>
      <w:r w:rsidRPr="002E66A0">
        <w:rPr>
          <w:rFonts w:ascii="Calibri" w:cs="Calibri"/>
        </w:rPr>
        <w:t>: 10.1016/j.ijggc.2016.04.030.</w:t>
      </w:r>
    </w:p>
    <w:p w14:paraId="7A2839A2" w14:textId="77777777" w:rsidR="002E66A0" w:rsidRPr="002E66A0" w:rsidRDefault="002E66A0" w:rsidP="002E66A0">
      <w:pPr>
        <w:pStyle w:val="Bibliography"/>
        <w:rPr>
          <w:rFonts w:ascii="Calibri" w:cs="Calibri"/>
        </w:rPr>
      </w:pPr>
      <w:r w:rsidRPr="002E66A0">
        <w:rPr>
          <w:rFonts w:ascii="Calibri" w:cs="Calibri"/>
        </w:rPr>
        <w:t>[22]</w:t>
      </w:r>
      <w:r w:rsidRPr="002E66A0">
        <w:rPr>
          <w:rFonts w:ascii="Calibri" w:cs="Calibri"/>
        </w:rPr>
        <w:tab/>
        <w:t xml:space="preserve">“Honeywell 31434-1KG - NATRIUMCHLORID, 1 KG,” Der LOLAB </w:t>
      </w:r>
      <w:proofErr w:type="spellStart"/>
      <w:r w:rsidRPr="002E66A0">
        <w:rPr>
          <w:rFonts w:ascii="Calibri" w:cs="Calibri"/>
        </w:rPr>
        <w:t>Chemikalien</w:t>
      </w:r>
      <w:proofErr w:type="spellEnd"/>
      <w:r w:rsidRPr="002E66A0">
        <w:rPr>
          <w:rFonts w:ascii="Calibri" w:cs="Calibri"/>
        </w:rPr>
        <w:t>-Shop. Accessed: May 04, 2026. [Online]. Available: https://shop-lolab.de/natriumchlorid/flk.31434.1000.pb</w:t>
      </w:r>
    </w:p>
    <w:p w14:paraId="7437EE7D" w14:textId="77777777" w:rsidR="002E66A0" w:rsidRPr="002E66A0" w:rsidRDefault="002E66A0" w:rsidP="002E66A0">
      <w:pPr>
        <w:pStyle w:val="Bibliography"/>
        <w:rPr>
          <w:rFonts w:ascii="Calibri" w:cs="Calibri"/>
        </w:rPr>
      </w:pPr>
      <w:r w:rsidRPr="002E66A0">
        <w:rPr>
          <w:rFonts w:ascii="Calibri" w:cs="Calibri"/>
        </w:rPr>
        <w:t>[23]</w:t>
      </w:r>
      <w:r w:rsidRPr="002E66A0">
        <w:rPr>
          <w:rFonts w:ascii="Calibri" w:cs="Calibri"/>
        </w:rPr>
        <w:tab/>
      </w:r>
      <w:proofErr w:type="spellStart"/>
      <w:r w:rsidRPr="002E66A0">
        <w:rPr>
          <w:rFonts w:ascii="Calibri" w:cs="Calibri"/>
        </w:rPr>
        <w:t>ChemAnalyst</w:t>
      </w:r>
      <w:proofErr w:type="spellEnd"/>
      <w:r w:rsidRPr="002E66A0">
        <w:rPr>
          <w:rFonts w:ascii="Calibri" w:cs="Calibri"/>
        </w:rPr>
        <w:t>, “Sodium Bicarbonate Price Trend and Forecast.” Accessed: May 04, 2026. [Online]. Available: https://secure.livechatinc.com/customer/action/open_chat?license_id=13070841&amp;group=0&amp;embedded=1&amp;widget_version=3&amp;unique_groups=0&amp;organization_id=67a959db-fb12-45b4-a56b-5ab9c693cc62&amp;use_parent_storage=1&amp;x-region=us-south1</w:t>
      </w:r>
    </w:p>
    <w:p w14:paraId="20C52E2B" w14:textId="77777777" w:rsidR="002E66A0" w:rsidRPr="002E66A0" w:rsidRDefault="002E66A0" w:rsidP="002E66A0">
      <w:pPr>
        <w:pStyle w:val="Bibliography"/>
        <w:rPr>
          <w:rFonts w:ascii="Calibri" w:cs="Calibri"/>
        </w:rPr>
      </w:pPr>
      <w:r w:rsidRPr="002E66A0">
        <w:rPr>
          <w:rFonts w:ascii="Calibri" w:cs="Calibri"/>
        </w:rPr>
        <w:t>[24]</w:t>
      </w:r>
      <w:r w:rsidRPr="002E66A0">
        <w:rPr>
          <w:rFonts w:ascii="Calibri" w:cs="Calibri"/>
        </w:rPr>
        <w:tab/>
        <w:t xml:space="preserve">R. Castro-Amoedo, J. </w:t>
      </w:r>
      <w:proofErr w:type="spellStart"/>
      <w:r w:rsidRPr="002E66A0">
        <w:rPr>
          <w:rFonts w:ascii="Calibri" w:cs="Calibri"/>
        </w:rPr>
        <w:t>Granacher</w:t>
      </w:r>
      <w:proofErr w:type="spellEnd"/>
      <w:r w:rsidRPr="002E66A0">
        <w:rPr>
          <w:rFonts w:ascii="Calibri" w:cs="Calibri"/>
        </w:rPr>
        <w:t>, I. Kantor, A. Dahmen, A. Barbosa-</w:t>
      </w:r>
      <w:proofErr w:type="spellStart"/>
      <w:r w:rsidRPr="002E66A0">
        <w:rPr>
          <w:rFonts w:ascii="Calibri" w:cs="Calibri"/>
        </w:rPr>
        <w:t>Povoa</w:t>
      </w:r>
      <w:proofErr w:type="spellEnd"/>
      <w:r w:rsidRPr="002E66A0">
        <w:rPr>
          <w:rFonts w:ascii="Calibri" w:cs="Calibri"/>
        </w:rPr>
        <w:t xml:space="preserve">, and F. Maréchal, “On the role of system integration in plastic waste management,” </w:t>
      </w:r>
      <w:r w:rsidRPr="002E66A0">
        <w:rPr>
          <w:rFonts w:ascii="Calibri" w:cs="Calibri"/>
          <w:i/>
          <w:iCs/>
        </w:rPr>
        <w:t>Resources, Conservation and Recycling</w:t>
      </w:r>
      <w:r w:rsidRPr="002E66A0">
        <w:rPr>
          <w:rFonts w:ascii="Calibri" w:cs="Calibri"/>
        </w:rPr>
        <w:t xml:space="preserve">, vol. 201, p. 107295, Feb. 2024, </w:t>
      </w:r>
      <w:proofErr w:type="spellStart"/>
      <w:r w:rsidRPr="002E66A0">
        <w:rPr>
          <w:rFonts w:ascii="Calibri" w:cs="Calibri"/>
        </w:rPr>
        <w:t>doi</w:t>
      </w:r>
      <w:proofErr w:type="spellEnd"/>
      <w:r w:rsidRPr="002E66A0">
        <w:rPr>
          <w:rFonts w:ascii="Calibri" w:cs="Calibri"/>
        </w:rPr>
        <w:t>: 10.1016/j.resconrec.2023.107295.</w:t>
      </w:r>
    </w:p>
    <w:p w14:paraId="4788EBBB" w14:textId="77777777" w:rsidR="002E66A0" w:rsidRPr="002E66A0" w:rsidRDefault="002E66A0" w:rsidP="002E66A0">
      <w:pPr>
        <w:pStyle w:val="Bibliography"/>
        <w:rPr>
          <w:rFonts w:ascii="Calibri" w:cs="Calibri"/>
        </w:rPr>
      </w:pPr>
      <w:r w:rsidRPr="002E66A0">
        <w:rPr>
          <w:rFonts w:ascii="Calibri" w:cs="Calibri"/>
          <w:lang w:val="fr-CH"/>
        </w:rPr>
        <w:t>[25]</w:t>
      </w:r>
      <w:r w:rsidRPr="002E66A0">
        <w:rPr>
          <w:rFonts w:ascii="Calibri" w:cs="Calibri"/>
          <w:lang w:val="fr-CH"/>
        </w:rPr>
        <w:tab/>
        <w:t xml:space="preserve">B. de la communication-W. &amp; multimédia – webmaster@lausanne.ch, “Chaleur - tarifs,” Site officiel de la Ville de Lausanne. </w:t>
      </w:r>
      <w:r w:rsidRPr="002E66A0">
        <w:rPr>
          <w:rFonts w:ascii="Calibri" w:cs="Calibri"/>
        </w:rPr>
        <w:t>Accessed: May 04, 2026. [Online]. Available: https://www.lausanne.ch/vie-pratique/energies-et-eau/services-industriels/professionnels/les-offres/chaleur?tab=tarifs</w:t>
      </w:r>
    </w:p>
    <w:p w14:paraId="6AC8430B" w14:textId="77777777" w:rsidR="002E66A0" w:rsidRPr="002E66A0" w:rsidRDefault="002E66A0" w:rsidP="002E66A0">
      <w:pPr>
        <w:pStyle w:val="Bibliography"/>
        <w:rPr>
          <w:rFonts w:ascii="Calibri" w:cs="Calibri"/>
        </w:rPr>
      </w:pPr>
      <w:r w:rsidRPr="002E66A0">
        <w:rPr>
          <w:rFonts w:ascii="Calibri" w:cs="Calibri"/>
        </w:rPr>
        <w:t>[26]</w:t>
      </w:r>
      <w:r w:rsidRPr="002E66A0">
        <w:rPr>
          <w:rFonts w:ascii="Calibri" w:cs="Calibri"/>
        </w:rPr>
        <w:tab/>
        <w:t>FOEN, “CO₂ levy for businesses,” Federal Office for the Environment. Accessed: Jun. 30, 2026. [Online]. Available: https://www.bafu.admin.ch/en/co2-levy-businesses</w:t>
      </w:r>
    </w:p>
    <w:p w14:paraId="1FC0DC3B" w14:textId="77777777" w:rsidR="002E66A0" w:rsidRPr="002E66A0" w:rsidRDefault="002E66A0" w:rsidP="002E66A0">
      <w:pPr>
        <w:pStyle w:val="Bibliography"/>
        <w:rPr>
          <w:rFonts w:ascii="Calibri" w:cs="Calibri"/>
        </w:rPr>
      </w:pPr>
      <w:r w:rsidRPr="002E66A0">
        <w:rPr>
          <w:rFonts w:ascii="Calibri" w:cs="Calibri"/>
        </w:rPr>
        <w:t>[27]</w:t>
      </w:r>
      <w:r w:rsidRPr="002E66A0">
        <w:rPr>
          <w:rFonts w:ascii="Calibri" w:cs="Calibri"/>
        </w:rPr>
        <w:tab/>
        <w:t xml:space="preserve">M. Larrain </w:t>
      </w:r>
      <w:r w:rsidRPr="002E66A0">
        <w:rPr>
          <w:rFonts w:ascii="Calibri" w:cs="Calibri"/>
          <w:i/>
          <w:iCs/>
        </w:rPr>
        <w:t>et al.</w:t>
      </w:r>
      <w:r w:rsidRPr="002E66A0">
        <w:rPr>
          <w:rFonts w:ascii="Calibri" w:cs="Calibri"/>
        </w:rPr>
        <w:t xml:space="preserve">, “Techno-economic assessment of mechanical recycling of challenging post-consumer plastic packaging waste,” </w:t>
      </w:r>
      <w:r w:rsidRPr="002E66A0">
        <w:rPr>
          <w:rFonts w:ascii="Calibri" w:cs="Calibri"/>
          <w:i/>
          <w:iCs/>
        </w:rPr>
        <w:t>Resources, Conservation and Recycling</w:t>
      </w:r>
      <w:r w:rsidRPr="002E66A0">
        <w:rPr>
          <w:rFonts w:ascii="Calibri" w:cs="Calibri"/>
        </w:rPr>
        <w:t xml:space="preserve">, vol. 170, p. 105607, Jul. 2021, </w:t>
      </w:r>
      <w:proofErr w:type="spellStart"/>
      <w:r w:rsidRPr="002E66A0">
        <w:rPr>
          <w:rFonts w:ascii="Calibri" w:cs="Calibri"/>
        </w:rPr>
        <w:t>doi</w:t>
      </w:r>
      <w:proofErr w:type="spellEnd"/>
      <w:r w:rsidRPr="002E66A0">
        <w:rPr>
          <w:rFonts w:ascii="Calibri" w:cs="Calibri"/>
        </w:rPr>
        <w:t>: 10.1016/j.resconrec.2021.105607.</w:t>
      </w:r>
    </w:p>
    <w:p w14:paraId="44CD982D" w14:textId="77777777" w:rsidR="002E66A0" w:rsidRPr="002E66A0" w:rsidRDefault="002E66A0" w:rsidP="002E66A0">
      <w:pPr>
        <w:pStyle w:val="Bibliography"/>
        <w:rPr>
          <w:rFonts w:ascii="Calibri" w:cs="Calibri"/>
        </w:rPr>
      </w:pPr>
      <w:r w:rsidRPr="002E66A0">
        <w:rPr>
          <w:rFonts w:ascii="Calibri" w:cs="Calibri"/>
        </w:rPr>
        <w:t>[28]</w:t>
      </w:r>
      <w:r w:rsidRPr="002E66A0">
        <w:rPr>
          <w:rFonts w:ascii="Calibri" w:cs="Calibri"/>
        </w:rPr>
        <w:tab/>
        <w:t xml:space="preserve">M.-B. Hägg, A. </w:t>
      </w:r>
      <w:proofErr w:type="spellStart"/>
      <w:r w:rsidRPr="002E66A0">
        <w:rPr>
          <w:rFonts w:ascii="Calibri" w:cs="Calibri"/>
        </w:rPr>
        <w:t>Lindbråthen</w:t>
      </w:r>
      <w:proofErr w:type="spellEnd"/>
      <w:r w:rsidRPr="002E66A0">
        <w:rPr>
          <w:rFonts w:ascii="Calibri" w:cs="Calibri"/>
        </w:rPr>
        <w:t xml:space="preserve">, X. He, S. G. Nodeland, and T. Cantero, “Pilot Demonstration-reporting on CO2 Capture from a Cement Plant Using Hollow Fiber Process,” </w:t>
      </w:r>
      <w:r w:rsidRPr="002E66A0">
        <w:rPr>
          <w:rFonts w:ascii="Calibri" w:cs="Calibri"/>
          <w:i/>
          <w:iCs/>
        </w:rPr>
        <w:t>Energy Procedia</w:t>
      </w:r>
      <w:r w:rsidRPr="002E66A0">
        <w:rPr>
          <w:rFonts w:ascii="Calibri" w:cs="Calibri"/>
        </w:rPr>
        <w:t xml:space="preserve">, vol. 114, pp. 6150–6165, Jul. 2017, </w:t>
      </w:r>
      <w:proofErr w:type="spellStart"/>
      <w:r w:rsidRPr="002E66A0">
        <w:rPr>
          <w:rFonts w:ascii="Calibri" w:cs="Calibri"/>
        </w:rPr>
        <w:t>doi</w:t>
      </w:r>
      <w:proofErr w:type="spellEnd"/>
      <w:r w:rsidRPr="002E66A0">
        <w:rPr>
          <w:rFonts w:ascii="Calibri" w:cs="Calibri"/>
        </w:rPr>
        <w:t>: 10.1016/j.egypro.2017.03.1752.</w:t>
      </w:r>
    </w:p>
    <w:p w14:paraId="1E53E0E6" w14:textId="77777777" w:rsidR="002E66A0" w:rsidRPr="002E66A0" w:rsidRDefault="002E66A0" w:rsidP="002E66A0">
      <w:pPr>
        <w:pStyle w:val="Bibliography"/>
        <w:rPr>
          <w:rFonts w:ascii="Calibri" w:cs="Calibri"/>
        </w:rPr>
      </w:pPr>
      <w:r w:rsidRPr="002E66A0">
        <w:rPr>
          <w:rFonts w:ascii="Calibri" w:cs="Calibri"/>
        </w:rPr>
        <w:t>[29]</w:t>
      </w:r>
      <w:r w:rsidRPr="002E66A0">
        <w:rPr>
          <w:rFonts w:ascii="Calibri" w:cs="Calibri"/>
        </w:rPr>
        <w:tab/>
        <w:t xml:space="preserve">W. J. J. </w:t>
      </w:r>
      <w:proofErr w:type="spellStart"/>
      <w:r w:rsidRPr="002E66A0">
        <w:rPr>
          <w:rFonts w:ascii="Calibri" w:cs="Calibri"/>
        </w:rPr>
        <w:t>Huijgen</w:t>
      </w:r>
      <w:proofErr w:type="spellEnd"/>
      <w:r w:rsidRPr="002E66A0">
        <w:rPr>
          <w:rFonts w:ascii="Calibri" w:cs="Calibri"/>
        </w:rPr>
        <w:t xml:space="preserve">, R. N. J. Comans, and G.-J. </w:t>
      </w:r>
      <w:proofErr w:type="spellStart"/>
      <w:r w:rsidRPr="002E66A0">
        <w:rPr>
          <w:rFonts w:ascii="Calibri" w:cs="Calibri"/>
        </w:rPr>
        <w:t>Witkamp</w:t>
      </w:r>
      <w:proofErr w:type="spellEnd"/>
      <w:r w:rsidRPr="002E66A0">
        <w:rPr>
          <w:rFonts w:ascii="Calibri" w:cs="Calibri"/>
        </w:rPr>
        <w:t xml:space="preserve">, “Cost evaluation of CO2 sequestration by aqueous mineral carbonation,” </w:t>
      </w:r>
      <w:r w:rsidRPr="002E66A0">
        <w:rPr>
          <w:rFonts w:ascii="Calibri" w:cs="Calibri"/>
          <w:i/>
          <w:iCs/>
        </w:rPr>
        <w:t>Energy Conversion and Management</w:t>
      </w:r>
      <w:r w:rsidRPr="002E66A0">
        <w:rPr>
          <w:rFonts w:ascii="Calibri" w:cs="Calibri"/>
        </w:rPr>
        <w:t xml:space="preserve">, vol. 48, no. 7, pp. 1923–1935, Jul. 2007, </w:t>
      </w:r>
      <w:proofErr w:type="spellStart"/>
      <w:r w:rsidRPr="002E66A0">
        <w:rPr>
          <w:rFonts w:ascii="Calibri" w:cs="Calibri"/>
        </w:rPr>
        <w:t>doi</w:t>
      </w:r>
      <w:proofErr w:type="spellEnd"/>
      <w:r w:rsidRPr="002E66A0">
        <w:rPr>
          <w:rFonts w:ascii="Calibri" w:cs="Calibri"/>
        </w:rPr>
        <w:t>: 10.1016/j.enconman.2007.01.035.</w:t>
      </w:r>
    </w:p>
    <w:p w14:paraId="12E79646" w14:textId="77777777" w:rsidR="002E66A0" w:rsidRPr="002E66A0" w:rsidRDefault="002E66A0" w:rsidP="002E66A0">
      <w:pPr>
        <w:pStyle w:val="Bibliography"/>
        <w:rPr>
          <w:rFonts w:ascii="Calibri" w:cs="Calibri"/>
        </w:rPr>
      </w:pPr>
      <w:r w:rsidRPr="002E66A0">
        <w:rPr>
          <w:rFonts w:ascii="Calibri" w:cs="Calibri"/>
        </w:rPr>
        <w:lastRenderedPageBreak/>
        <w:t>[30]</w:t>
      </w:r>
      <w:r w:rsidRPr="002E66A0">
        <w:rPr>
          <w:rFonts w:ascii="Calibri" w:cs="Calibri"/>
        </w:rPr>
        <w:tab/>
        <w:t xml:space="preserve">T. </w:t>
      </w:r>
      <w:proofErr w:type="spellStart"/>
      <w:r w:rsidRPr="002E66A0">
        <w:rPr>
          <w:rFonts w:ascii="Calibri" w:cs="Calibri"/>
        </w:rPr>
        <w:t>Uekert</w:t>
      </w:r>
      <w:proofErr w:type="spellEnd"/>
      <w:r w:rsidRPr="002E66A0">
        <w:rPr>
          <w:rFonts w:ascii="Calibri" w:cs="Calibri"/>
        </w:rPr>
        <w:t xml:space="preserve"> </w:t>
      </w:r>
      <w:r w:rsidRPr="002E66A0">
        <w:rPr>
          <w:rFonts w:ascii="Calibri" w:cs="Calibri"/>
          <w:i/>
          <w:iCs/>
        </w:rPr>
        <w:t>et al.</w:t>
      </w:r>
      <w:r w:rsidRPr="002E66A0">
        <w:rPr>
          <w:rFonts w:ascii="Calibri" w:cs="Calibri"/>
        </w:rPr>
        <w:t xml:space="preserve">, “Technical, Economic, and Environmental Comparison of Closed-Loop Recycling Technologies for Common Plastics,” </w:t>
      </w:r>
      <w:r w:rsidRPr="002E66A0">
        <w:rPr>
          <w:rFonts w:ascii="Calibri" w:cs="Calibri"/>
          <w:i/>
          <w:iCs/>
        </w:rPr>
        <w:t>ACS Sustainable Chem. Eng.</w:t>
      </w:r>
      <w:r w:rsidRPr="002E66A0">
        <w:rPr>
          <w:rFonts w:ascii="Calibri" w:cs="Calibri"/>
        </w:rPr>
        <w:t xml:space="preserve">, vol. 11, no. 3, pp. 965–978, Jan. 2023, </w:t>
      </w:r>
      <w:proofErr w:type="spellStart"/>
      <w:r w:rsidRPr="002E66A0">
        <w:rPr>
          <w:rFonts w:ascii="Calibri" w:cs="Calibri"/>
        </w:rPr>
        <w:t>doi</w:t>
      </w:r>
      <w:proofErr w:type="spellEnd"/>
      <w:r w:rsidRPr="002E66A0">
        <w:rPr>
          <w:rFonts w:ascii="Calibri" w:cs="Calibri"/>
        </w:rPr>
        <w:t>: 10.1021/acssuschemeng.2c05497.</w:t>
      </w:r>
    </w:p>
    <w:p w14:paraId="597CB02E" w14:textId="77777777" w:rsidR="002E66A0" w:rsidRPr="002E66A0" w:rsidRDefault="002E66A0" w:rsidP="002E66A0">
      <w:pPr>
        <w:pStyle w:val="Bibliography"/>
        <w:rPr>
          <w:rFonts w:ascii="Calibri" w:cs="Calibri"/>
        </w:rPr>
      </w:pPr>
      <w:r w:rsidRPr="002E66A0">
        <w:rPr>
          <w:rFonts w:ascii="Calibri" w:cs="Calibri"/>
        </w:rPr>
        <w:t>[31]</w:t>
      </w:r>
      <w:r w:rsidRPr="002E66A0">
        <w:rPr>
          <w:rFonts w:ascii="Calibri" w:cs="Calibri"/>
        </w:rPr>
        <w:tab/>
        <w:t xml:space="preserve">S. Corre, M. E. Gorete Ribeiro Domingos, D. Florez-Orrego, G. </w:t>
      </w:r>
      <w:proofErr w:type="spellStart"/>
      <w:r w:rsidRPr="002E66A0">
        <w:rPr>
          <w:rFonts w:ascii="Calibri" w:cs="Calibri"/>
        </w:rPr>
        <w:t>Magnaval</w:t>
      </w:r>
      <w:proofErr w:type="spellEnd"/>
      <w:r w:rsidRPr="002E66A0">
        <w:rPr>
          <w:rFonts w:ascii="Calibri" w:cs="Calibri"/>
        </w:rPr>
        <w:t xml:space="preserve">, M. Margni, and F. Maréchal, “Life cycle assessment and techno-economic comparison of methane production routes from sewage sludge: Incineration vs. Hydrothermal Gasification and Anaerobic Digestion,” </w:t>
      </w:r>
      <w:r w:rsidRPr="002E66A0">
        <w:rPr>
          <w:rFonts w:ascii="Calibri" w:cs="Calibri"/>
          <w:i/>
          <w:iCs/>
        </w:rPr>
        <w:t>Energy Conversion and Management</w:t>
      </w:r>
      <w:r w:rsidRPr="002E66A0">
        <w:rPr>
          <w:rFonts w:ascii="Calibri" w:cs="Calibri"/>
        </w:rPr>
        <w:t xml:space="preserve">, vol. 341, p. 120015, Oct. 2025, </w:t>
      </w:r>
      <w:proofErr w:type="spellStart"/>
      <w:r w:rsidRPr="002E66A0">
        <w:rPr>
          <w:rFonts w:ascii="Calibri" w:cs="Calibri"/>
        </w:rPr>
        <w:t>doi</w:t>
      </w:r>
      <w:proofErr w:type="spellEnd"/>
      <w:r w:rsidRPr="002E66A0">
        <w:rPr>
          <w:rFonts w:ascii="Calibri" w:cs="Calibri"/>
        </w:rPr>
        <w:t>: 10.1016/j.enconman.2025.120015.</w:t>
      </w:r>
    </w:p>
    <w:p w14:paraId="1F7FA9C2" w14:textId="77777777" w:rsidR="002E66A0" w:rsidRPr="002E66A0" w:rsidRDefault="002E66A0" w:rsidP="002E66A0">
      <w:pPr>
        <w:pStyle w:val="Bibliography"/>
        <w:rPr>
          <w:rFonts w:ascii="Calibri" w:cs="Calibri"/>
        </w:rPr>
      </w:pPr>
      <w:r w:rsidRPr="002E66A0">
        <w:rPr>
          <w:rFonts w:ascii="Calibri" w:cs="Calibri"/>
        </w:rPr>
        <w:t>[32]</w:t>
      </w:r>
      <w:r w:rsidRPr="002E66A0">
        <w:rPr>
          <w:rFonts w:ascii="Calibri" w:cs="Calibri"/>
        </w:rPr>
        <w:tab/>
        <w:t>A. M. De Almeida, R. M. Cavalcante, and A. F. Young, “Comparative Analysis of MEA Absorption and Membrane Separation for FCCU CO</w:t>
      </w:r>
      <w:r w:rsidRPr="002E66A0">
        <w:rPr>
          <w:rFonts w:ascii="Calibri" w:cs="Calibri"/>
          <w:vertAlign w:val="subscript"/>
        </w:rPr>
        <w:t>2</w:t>
      </w:r>
      <w:r w:rsidRPr="002E66A0">
        <w:rPr>
          <w:rFonts w:ascii="Calibri" w:cs="Calibri"/>
        </w:rPr>
        <w:t xml:space="preserve"> Capture: Process Simulation and Techno-Economic Evaluation,” </w:t>
      </w:r>
      <w:r w:rsidRPr="002E66A0">
        <w:rPr>
          <w:rFonts w:ascii="Calibri" w:cs="Calibri"/>
          <w:i/>
          <w:iCs/>
        </w:rPr>
        <w:t>Energy Fuels</w:t>
      </w:r>
      <w:r w:rsidRPr="002E66A0">
        <w:rPr>
          <w:rFonts w:ascii="Calibri" w:cs="Calibri"/>
        </w:rPr>
        <w:t xml:space="preserve">, p. </w:t>
      </w:r>
      <w:proofErr w:type="gramStart"/>
      <w:r w:rsidRPr="002E66A0">
        <w:rPr>
          <w:rFonts w:ascii="Calibri" w:cs="Calibri"/>
        </w:rPr>
        <w:t>acs.energyfuels</w:t>
      </w:r>
      <w:proofErr w:type="gramEnd"/>
      <w:r w:rsidRPr="002E66A0">
        <w:rPr>
          <w:rFonts w:ascii="Calibri" w:cs="Calibri"/>
        </w:rPr>
        <w:t xml:space="preserve">.6c00473, Apr. 2026, </w:t>
      </w:r>
      <w:proofErr w:type="spellStart"/>
      <w:r w:rsidRPr="002E66A0">
        <w:rPr>
          <w:rFonts w:ascii="Calibri" w:cs="Calibri"/>
        </w:rPr>
        <w:t>doi</w:t>
      </w:r>
      <w:proofErr w:type="spellEnd"/>
      <w:r w:rsidRPr="002E66A0">
        <w:rPr>
          <w:rFonts w:ascii="Calibri" w:cs="Calibri"/>
        </w:rPr>
        <w:t>: 10.1021/acs.energyfuels.6c00473.</w:t>
      </w:r>
    </w:p>
    <w:p w14:paraId="7FA0312B" w14:textId="77777777" w:rsidR="002E66A0" w:rsidRPr="002E66A0" w:rsidRDefault="002E66A0" w:rsidP="002E66A0">
      <w:pPr>
        <w:pStyle w:val="Bibliography"/>
        <w:rPr>
          <w:rFonts w:ascii="Calibri" w:cs="Calibri"/>
        </w:rPr>
      </w:pPr>
      <w:r w:rsidRPr="002E66A0">
        <w:rPr>
          <w:rFonts w:ascii="Calibri" w:cs="Calibri"/>
        </w:rPr>
        <w:t>[33]</w:t>
      </w:r>
      <w:r w:rsidRPr="002E66A0">
        <w:rPr>
          <w:rFonts w:ascii="Calibri" w:cs="Calibri"/>
        </w:rPr>
        <w:tab/>
        <w:t>P. Quicker, “Status, potentials and risks of   Chemical recycling of waste plastics,” FOEN, Cologne, 2023.</w:t>
      </w:r>
    </w:p>
    <w:p w14:paraId="3F8B3994" w14:textId="77777777" w:rsidR="002E66A0" w:rsidRPr="002E66A0" w:rsidRDefault="002E66A0" w:rsidP="002E66A0">
      <w:pPr>
        <w:pStyle w:val="Bibliography"/>
        <w:rPr>
          <w:rFonts w:ascii="Calibri" w:cs="Calibri"/>
        </w:rPr>
      </w:pPr>
      <w:r w:rsidRPr="002E66A0">
        <w:rPr>
          <w:rFonts w:ascii="Calibri" w:cs="Calibri"/>
        </w:rPr>
        <w:t>[34]</w:t>
      </w:r>
      <w:r w:rsidRPr="002E66A0">
        <w:rPr>
          <w:rFonts w:ascii="Calibri" w:cs="Calibri"/>
        </w:rPr>
        <w:tab/>
        <w:t xml:space="preserve">M. Larrain </w:t>
      </w:r>
      <w:r w:rsidRPr="002E66A0">
        <w:rPr>
          <w:rFonts w:ascii="Calibri" w:cs="Calibri"/>
          <w:i/>
          <w:iCs/>
        </w:rPr>
        <w:t>et al.</w:t>
      </w:r>
      <w:r w:rsidRPr="002E66A0">
        <w:rPr>
          <w:rFonts w:ascii="Calibri" w:cs="Calibri"/>
        </w:rPr>
        <w:t xml:space="preserve">, “Techno-economic assessment of mechanical recycling of challenging post-consumer plastic packaging waste,” </w:t>
      </w:r>
      <w:r w:rsidRPr="002E66A0">
        <w:rPr>
          <w:rFonts w:ascii="Calibri" w:cs="Calibri"/>
          <w:i/>
          <w:iCs/>
        </w:rPr>
        <w:t>Resources, Conservation and Recycling</w:t>
      </w:r>
      <w:r w:rsidRPr="002E66A0">
        <w:rPr>
          <w:rFonts w:ascii="Calibri" w:cs="Calibri"/>
        </w:rPr>
        <w:t xml:space="preserve">, vol. 170, p. 105607, Jul. 2021, </w:t>
      </w:r>
      <w:proofErr w:type="spellStart"/>
      <w:r w:rsidRPr="002E66A0">
        <w:rPr>
          <w:rFonts w:ascii="Calibri" w:cs="Calibri"/>
        </w:rPr>
        <w:t>doi</w:t>
      </w:r>
      <w:proofErr w:type="spellEnd"/>
      <w:r w:rsidRPr="002E66A0">
        <w:rPr>
          <w:rFonts w:ascii="Calibri" w:cs="Calibri"/>
        </w:rPr>
        <w:t>: 10.1016/j.resconrec.2021.105607.</w:t>
      </w:r>
    </w:p>
    <w:p w14:paraId="5B2CBF73" w14:textId="77777777" w:rsidR="002E66A0" w:rsidRPr="002E66A0" w:rsidRDefault="002E66A0" w:rsidP="002E66A0">
      <w:pPr>
        <w:pStyle w:val="Bibliography"/>
        <w:rPr>
          <w:rFonts w:ascii="Calibri" w:cs="Calibri"/>
        </w:rPr>
      </w:pPr>
      <w:r w:rsidRPr="002E66A0">
        <w:rPr>
          <w:rFonts w:ascii="Calibri" w:cs="Calibri"/>
        </w:rPr>
        <w:t>[35]</w:t>
      </w:r>
      <w:r w:rsidRPr="002E66A0">
        <w:rPr>
          <w:rFonts w:ascii="Calibri" w:cs="Calibri"/>
        </w:rPr>
        <w:tab/>
        <w:t xml:space="preserve">R. </w:t>
      </w:r>
      <w:proofErr w:type="spellStart"/>
      <w:r w:rsidRPr="002E66A0">
        <w:rPr>
          <w:rFonts w:ascii="Calibri" w:cs="Calibri"/>
        </w:rPr>
        <w:t>Meys</w:t>
      </w:r>
      <w:proofErr w:type="spellEnd"/>
      <w:r w:rsidRPr="002E66A0">
        <w:rPr>
          <w:rFonts w:ascii="Calibri" w:cs="Calibri"/>
        </w:rPr>
        <w:t xml:space="preserve">, F. Frick, S. Westhues, A. Sternberg, J. </w:t>
      </w:r>
      <w:proofErr w:type="spellStart"/>
      <w:r w:rsidRPr="002E66A0">
        <w:rPr>
          <w:rFonts w:ascii="Calibri" w:cs="Calibri"/>
        </w:rPr>
        <w:t>Klankermayer</w:t>
      </w:r>
      <w:proofErr w:type="spellEnd"/>
      <w:r w:rsidRPr="002E66A0">
        <w:rPr>
          <w:rFonts w:ascii="Calibri" w:cs="Calibri"/>
        </w:rPr>
        <w:t xml:space="preserve">, and A. </w:t>
      </w:r>
      <w:proofErr w:type="spellStart"/>
      <w:r w:rsidRPr="002E66A0">
        <w:rPr>
          <w:rFonts w:ascii="Calibri" w:cs="Calibri"/>
        </w:rPr>
        <w:t>Bardow</w:t>
      </w:r>
      <w:proofErr w:type="spellEnd"/>
      <w:r w:rsidRPr="002E66A0">
        <w:rPr>
          <w:rFonts w:ascii="Calibri" w:cs="Calibri"/>
        </w:rPr>
        <w:t xml:space="preserve">, “Towards a circular economy for plastic packaging wastes – the environmental potential of chemical recycling,” </w:t>
      </w:r>
      <w:r w:rsidRPr="002E66A0">
        <w:rPr>
          <w:rFonts w:ascii="Calibri" w:cs="Calibri"/>
          <w:i/>
          <w:iCs/>
        </w:rPr>
        <w:t>Resources, Conservation and Recycling</w:t>
      </w:r>
      <w:r w:rsidRPr="002E66A0">
        <w:rPr>
          <w:rFonts w:ascii="Calibri" w:cs="Calibri"/>
        </w:rPr>
        <w:t xml:space="preserve">, vol. 162, p. 105010, Nov. 2020, </w:t>
      </w:r>
      <w:proofErr w:type="spellStart"/>
      <w:r w:rsidRPr="002E66A0">
        <w:rPr>
          <w:rFonts w:ascii="Calibri" w:cs="Calibri"/>
        </w:rPr>
        <w:t>doi</w:t>
      </w:r>
      <w:proofErr w:type="spellEnd"/>
      <w:r w:rsidRPr="002E66A0">
        <w:rPr>
          <w:rFonts w:ascii="Calibri" w:cs="Calibri"/>
        </w:rPr>
        <w:t>: 10.1016/j.resconrec.2020.105010.</w:t>
      </w:r>
    </w:p>
    <w:p w14:paraId="5EB99311" w14:textId="77777777" w:rsidR="002E66A0" w:rsidRPr="002E66A0" w:rsidRDefault="002E66A0" w:rsidP="002E66A0">
      <w:pPr>
        <w:pStyle w:val="Bibliography"/>
        <w:rPr>
          <w:rFonts w:ascii="Calibri" w:cs="Calibri"/>
        </w:rPr>
      </w:pPr>
      <w:r w:rsidRPr="002E66A0">
        <w:rPr>
          <w:rFonts w:ascii="Calibri" w:cs="Calibri"/>
        </w:rPr>
        <w:t>[36]</w:t>
      </w:r>
      <w:r w:rsidRPr="002E66A0">
        <w:rPr>
          <w:rFonts w:ascii="Calibri" w:cs="Calibri"/>
        </w:rPr>
        <w:tab/>
        <w:t xml:space="preserve">M. Brouwer, “The impact of collection portfolio expansion on key performance indicators of the Dutch recycling system for Post-Consumer Plastic Packaging Waste, a comparison between 2014 and 2017,” </w:t>
      </w:r>
      <w:r w:rsidRPr="002E66A0">
        <w:rPr>
          <w:rFonts w:ascii="Calibri" w:cs="Calibri"/>
          <w:i/>
          <w:iCs/>
        </w:rPr>
        <w:t>Waste Management</w:t>
      </w:r>
      <w:r w:rsidRPr="002E66A0">
        <w:rPr>
          <w:rFonts w:ascii="Calibri" w:cs="Calibri"/>
        </w:rPr>
        <w:t>, 2019.</w:t>
      </w:r>
    </w:p>
    <w:p w14:paraId="104BC96C" w14:textId="77777777" w:rsidR="002E66A0" w:rsidRPr="002E66A0" w:rsidRDefault="002E66A0" w:rsidP="002E66A0">
      <w:pPr>
        <w:pStyle w:val="Bibliography"/>
        <w:rPr>
          <w:rFonts w:ascii="Calibri" w:cs="Calibri"/>
        </w:rPr>
      </w:pPr>
      <w:r w:rsidRPr="002E66A0">
        <w:rPr>
          <w:rFonts w:ascii="Calibri" w:cs="Calibri"/>
        </w:rPr>
        <w:t>[37]</w:t>
      </w:r>
      <w:r w:rsidRPr="002E66A0">
        <w:rPr>
          <w:rFonts w:ascii="Calibri" w:cs="Calibri"/>
        </w:rPr>
        <w:tab/>
        <w:t xml:space="preserve">A. McNeeley and Y. A. Liu, “Assessment of PET Depolymerization Processes for Circular Economy. 1. Thermodynamics, Chemistry, Purification, and Process Design,” </w:t>
      </w:r>
      <w:r w:rsidRPr="002E66A0">
        <w:rPr>
          <w:rFonts w:ascii="Calibri" w:cs="Calibri"/>
          <w:i/>
          <w:iCs/>
        </w:rPr>
        <w:t>Ind. Eng. Chem. Res.</w:t>
      </w:r>
      <w:r w:rsidRPr="002E66A0">
        <w:rPr>
          <w:rFonts w:ascii="Calibri" w:cs="Calibri"/>
        </w:rPr>
        <w:t xml:space="preserve">, vol. 63, no. 8, pp. 3355–3399, Feb. 2024, </w:t>
      </w:r>
      <w:proofErr w:type="spellStart"/>
      <w:r w:rsidRPr="002E66A0">
        <w:rPr>
          <w:rFonts w:ascii="Calibri" w:cs="Calibri"/>
        </w:rPr>
        <w:t>doi</w:t>
      </w:r>
      <w:proofErr w:type="spellEnd"/>
      <w:r w:rsidRPr="002E66A0">
        <w:rPr>
          <w:rFonts w:ascii="Calibri" w:cs="Calibri"/>
        </w:rPr>
        <w:t>: 10.1021/acs.iecr.3c04000.</w:t>
      </w:r>
    </w:p>
    <w:p w14:paraId="467AEA55" w14:textId="77777777" w:rsidR="002E66A0" w:rsidRPr="002E66A0" w:rsidRDefault="002E66A0" w:rsidP="002E66A0">
      <w:pPr>
        <w:pStyle w:val="Bibliography"/>
        <w:rPr>
          <w:rFonts w:ascii="Calibri" w:cs="Calibri"/>
        </w:rPr>
      </w:pPr>
      <w:r w:rsidRPr="002E66A0">
        <w:rPr>
          <w:rFonts w:ascii="Calibri" w:cs="Calibri"/>
        </w:rPr>
        <w:t>[38]</w:t>
      </w:r>
      <w:r w:rsidRPr="002E66A0">
        <w:rPr>
          <w:rFonts w:ascii="Calibri" w:cs="Calibri"/>
        </w:rPr>
        <w:tab/>
        <w:t xml:space="preserve">S. Tanaka, T. </w:t>
      </w:r>
      <w:proofErr w:type="spellStart"/>
      <w:r w:rsidRPr="002E66A0">
        <w:rPr>
          <w:rFonts w:ascii="Calibri" w:cs="Calibri"/>
        </w:rPr>
        <w:t>Kuragano</w:t>
      </w:r>
      <w:proofErr w:type="spellEnd"/>
      <w:r w:rsidRPr="002E66A0">
        <w:rPr>
          <w:rFonts w:ascii="Calibri" w:cs="Calibri"/>
        </w:rPr>
        <w:t xml:space="preserve">, and J.-C. Choi, “Low-temperature Catalytic Methanolysis of Polyesters Promoted by Abundant Methyl Esters,” </w:t>
      </w:r>
      <w:r w:rsidRPr="002E66A0">
        <w:rPr>
          <w:rFonts w:ascii="Calibri" w:cs="Calibri"/>
          <w:i/>
          <w:iCs/>
        </w:rPr>
        <w:t xml:space="preserve">J. </w:t>
      </w:r>
      <w:proofErr w:type="spellStart"/>
      <w:r w:rsidRPr="002E66A0">
        <w:rPr>
          <w:rFonts w:ascii="Calibri" w:cs="Calibri"/>
          <w:i/>
          <w:iCs/>
        </w:rPr>
        <w:t>Jpn</w:t>
      </w:r>
      <w:proofErr w:type="spellEnd"/>
      <w:r w:rsidRPr="002E66A0">
        <w:rPr>
          <w:rFonts w:ascii="Calibri" w:cs="Calibri"/>
          <w:i/>
          <w:iCs/>
        </w:rPr>
        <w:t>. Petrol. Inst.</w:t>
      </w:r>
      <w:r w:rsidRPr="002E66A0">
        <w:rPr>
          <w:rFonts w:ascii="Calibri" w:cs="Calibri"/>
        </w:rPr>
        <w:t xml:space="preserve">, vol. 68, no. 5, pp. 195–201, Sep. 2025, </w:t>
      </w:r>
      <w:proofErr w:type="spellStart"/>
      <w:r w:rsidRPr="002E66A0">
        <w:rPr>
          <w:rFonts w:ascii="Calibri" w:cs="Calibri"/>
        </w:rPr>
        <w:t>doi</w:t>
      </w:r>
      <w:proofErr w:type="spellEnd"/>
      <w:r w:rsidRPr="002E66A0">
        <w:rPr>
          <w:rFonts w:ascii="Calibri" w:cs="Calibri"/>
        </w:rPr>
        <w:t>: 10.1627/jpi.68.195.</w:t>
      </w:r>
    </w:p>
    <w:p w14:paraId="747C9E42" w14:textId="77777777" w:rsidR="002E66A0" w:rsidRPr="002E66A0" w:rsidRDefault="002E66A0" w:rsidP="002E66A0">
      <w:pPr>
        <w:pStyle w:val="Bibliography"/>
        <w:rPr>
          <w:rFonts w:ascii="Calibri" w:cs="Calibri"/>
        </w:rPr>
      </w:pPr>
      <w:r w:rsidRPr="002E66A0">
        <w:rPr>
          <w:rFonts w:ascii="Calibri" w:cs="Calibri"/>
        </w:rPr>
        <w:t>[39]</w:t>
      </w:r>
      <w:r w:rsidRPr="002E66A0">
        <w:rPr>
          <w:rFonts w:ascii="Calibri" w:cs="Calibri"/>
        </w:rPr>
        <w:tab/>
        <w:t xml:space="preserve">M. Crippa and B. Morico, “PET depolymerization: a novel process for plastic waste chemical recycling,” vol. 179, pp. 215–229, 2020, </w:t>
      </w:r>
      <w:proofErr w:type="spellStart"/>
      <w:r w:rsidRPr="002E66A0">
        <w:rPr>
          <w:rFonts w:ascii="Calibri" w:cs="Calibri"/>
        </w:rPr>
        <w:t>doi</w:t>
      </w:r>
      <w:proofErr w:type="spellEnd"/>
      <w:r w:rsidRPr="002E66A0">
        <w:rPr>
          <w:rFonts w:ascii="Calibri" w:cs="Calibri"/>
        </w:rPr>
        <w:t>: https://doi.org/10.1016/B978-0-444-64337-7.00012-4.</w:t>
      </w:r>
    </w:p>
    <w:p w14:paraId="6BD052F1" w14:textId="77777777" w:rsidR="002E66A0" w:rsidRPr="002E66A0" w:rsidRDefault="002E66A0" w:rsidP="002E66A0">
      <w:pPr>
        <w:pStyle w:val="Bibliography"/>
        <w:rPr>
          <w:rFonts w:ascii="Calibri" w:cs="Calibri"/>
        </w:rPr>
      </w:pPr>
      <w:r w:rsidRPr="002E66A0">
        <w:rPr>
          <w:rFonts w:ascii="Calibri" w:cs="Calibri"/>
        </w:rPr>
        <w:t>[40]</w:t>
      </w:r>
      <w:r w:rsidRPr="002E66A0">
        <w:rPr>
          <w:rFonts w:ascii="Calibri" w:cs="Calibri"/>
        </w:rPr>
        <w:tab/>
        <w:t xml:space="preserve">D. </w:t>
      </w:r>
      <w:proofErr w:type="spellStart"/>
      <w:r w:rsidRPr="002E66A0">
        <w:rPr>
          <w:rFonts w:ascii="Calibri" w:cs="Calibri"/>
        </w:rPr>
        <w:t>Dardor</w:t>
      </w:r>
      <w:proofErr w:type="spellEnd"/>
      <w:r w:rsidRPr="002E66A0">
        <w:rPr>
          <w:rFonts w:ascii="Calibri" w:cs="Calibri"/>
        </w:rPr>
        <w:t xml:space="preserve">, D. A. Florez Orrego, C. Terrier, M. E. G. Ribeiro Domingos, M. Lopez, and F. Maréchal, “ROSMOSE: A web-based optimization tool to aid decision-making for the design and operation of industrial and urban energy systems,” </w:t>
      </w:r>
      <w:r w:rsidRPr="002E66A0">
        <w:rPr>
          <w:rFonts w:ascii="Calibri" w:cs="Calibri"/>
          <w:i/>
          <w:iCs/>
        </w:rPr>
        <w:t>Proceedings of ECOS 2023</w:t>
      </w:r>
      <w:r w:rsidRPr="002E66A0">
        <w:rPr>
          <w:rFonts w:ascii="Calibri" w:cs="Calibri"/>
        </w:rPr>
        <w:t>, 2023.</w:t>
      </w:r>
    </w:p>
    <w:p w14:paraId="320AE941" w14:textId="77777777" w:rsidR="002E66A0" w:rsidRPr="002E66A0" w:rsidRDefault="002E66A0" w:rsidP="002E66A0">
      <w:pPr>
        <w:pStyle w:val="Bibliography"/>
        <w:rPr>
          <w:rFonts w:ascii="Calibri" w:cs="Calibri"/>
        </w:rPr>
      </w:pPr>
      <w:r w:rsidRPr="002E66A0">
        <w:rPr>
          <w:rFonts w:ascii="Calibri" w:cs="Calibri"/>
        </w:rPr>
        <w:t>[41]</w:t>
      </w:r>
      <w:r w:rsidRPr="002E66A0">
        <w:rPr>
          <w:rFonts w:ascii="Calibri" w:cs="Calibri"/>
        </w:rPr>
        <w:tab/>
        <w:t xml:space="preserve">N. F. S. Khairul Anuar </w:t>
      </w:r>
      <w:r w:rsidRPr="002E66A0">
        <w:rPr>
          <w:rFonts w:ascii="Calibri" w:cs="Calibri"/>
          <w:i/>
          <w:iCs/>
        </w:rPr>
        <w:t>et al.</w:t>
      </w:r>
      <w:r w:rsidRPr="002E66A0">
        <w:rPr>
          <w:rFonts w:ascii="Calibri" w:cs="Calibri"/>
        </w:rPr>
        <w:t xml:space="preserve">, “An Overview into Polyethylene Terephthalate (PET) Hydrolases and Efforts in Tailoring Enzymes for Improved Plastic Degradation,” </w:t>
      </w:r>
      <w:r w:rsidRPr="002E66A0">
        <w:rPr>
          <w:rFonts w:ascii="Calibri" w:cs="Calibri"/>
          <w:i/>
          <w:iCs/>
        </w:rPr>
        <w:t>IJMS</w:t>
      </w:r>
      <w:r w:rsidRPr="002E66A0">
        <w:rPr>
          <w:rFonts w:ascii="Calibri" w:cs="Calibri"/>
        </w:rPr>
        <w:t xml:space="preserve">, vol. 23, no. 20, p. 12644, Oct. 2022, </w:t>
      </w:r>
      <w:proofErr w:type="spellStart"/>
      <w:r w:rsidRPr="002E66A0">
        <w:rPr>
          <w:rFonts w:ascii="Calibri" w:cs="Calibri"/>
        </w:rPr>
        <w:t>doi</w:t>
      </w:r>
      <w:proofErr w:type="spellEnd"/>
      <w:r w:rsidRPr="002E66A0">
        <w:rPr>
          <w:rFonts w:ascii="Calibri" w:cs="Calibri"/>
        </w:rPr>
        <w:t>: 10.3390/ijms232012644.</w:t>
      </w:r>
    </w:p>
    <w:p w14:paraId="67A32645" w14:textId="77777777" w:rsidR="002E66A0" w:rsidRPr="002E66A0" w:rsidRDefault="002E66A0" w:rsidP="002E66A0">
      <w:pPr>
        <w:pStyle w:val="Bibliography"/>
        <w:rPr>
          <w:rFonts w:ascii="Calibri" w:cs="Calibri"/>
        </w:rPr>
      </w:pPr>
      <w:r w:rsidRPr="002E66A0">
        <w:rPr>
          <w:rFonts w:ascii="Calibri" w:cs="Calibri"/>
        </w:rPr>
        <w:t>[42]</w:t>
      </w:r>
      <w:r w:rsidRPr="002E66A0">
        <w:rPr>
          <w:rFonts w:ascii="Calibri" w:cs="Calibri"/>
        </w:rPr>
        <w:tab/>
        <w:t xml:space="preserve">F. Kawai, T. Kawabata, and M. Oda, “Current State and Perspectives Related to the Polyethylene Terephthalate Hydrolases Available for </w:t>
      </w:r>
      <w:proofErr w:type="spellStart"/>
      <w:r w:rsidRPr="002E66A0">
        <w:rPr>
          <w:rFonts w:ascii="Calibri" w:cs="Calibri"/>
        </w:rPr>
        <w:t>Biorecycling</w:t>
      </w:r>
      <w:proofErr w:type="spellEnd"/>
      <w:r w:rsidRPr="002E66A0">
        <w:rPr>
          <w:rFonts w:ascii="Calibri" w:cs="Calibri"/>
        </w:rPr>
        <w:t xml:space="preserve">,” </w:t>
      </w:r>
      <w:r w:rsidRPr="002E66A0">
        <w:rPr>
          <w:rFonts w:ascii="Calibri" w:cs="Calibri"/>
          <w:i/>
          <w:iCs/>
        </w:rPr>
        <w:t>ACS Sustainable Chem. Eng.</w:t>
      </w:r>
      <w:r w:rsidRPr="002E66A0">
        <w:rPr>
          <w:rFonts w:ascii="Calibri" w:cs="Calibri"/>
        </w:rPr>
        <w:t xml:space="preserve">, vol. 8, no. 24, pp. 8894–8908, Jun. 2020, </w:t>
      </w:r>
      <w:proofErr w:type="spellStart"/>
      <w:r w:rsidRPr="002E66A0">
        <w:rPr>
          <w:rFonts w:ascii="Calibri" w:cs="Calibri"/>
        </w:rPr>
        <w:t>doi</w:t>
      </w:r>
      <w:proofErr w:type="spellEnd"/>
      <w:r w:rsidRPr="002E66A0">
        <w:rPr>
          <w:rFonts w:ascii="Calibri" w:cs="Calibri"/>
        </w:rPr>
        <w:t>: 10.1021/acssuschemeng.0c01638.</w:t>
      </w:r>
    </w:p>
    <w:p w14:paraId="79002617" w14:textId="77777777" w:rsidR="002E66A0" w:rsidRPr="002E66A0" w:rsidRDefault="002E66A0" w:rsidP="002E66A0">
      <w:pPr>
        <w:pStyle w:val="Bibliography"/>
        <w:rPr>
          <w:rFonts w:ascii="Calibri" w:cs="Calibri"/>
        </w:rPr>
      </w:pPr>
      <w:r w:rsidRPr="002E66A0">
        <w:rPr>
          <w:rFonts w:ascii="Calibri" w:cs="Calibri"/>
        </w:rPr>
        <w:t>[43]</w:t>
      </w:r>
      <w:r w:rsidRPr="002E66A0">
        <w:rPr>
          <w:rFonts w:ascii="Calibri" w:cs="Calibri"/>
        </w:rPr>
        <w:tab/>
        <w:t xml:space="preserve">K. Oda and A. </w:t>
      </w:r>
      <w:proofErr w:type="spellStart"/>
      <w:r w:rsidRPr="002E66A0">
        <w:rPr>
          <w:rFonts w:ascii="Calibri" w:cs="Calibri"/>
        </w:rPr>
        <w:t>Wlodawer</w:t>
      </w:r>
      <w:proofErr w:type="spellEnd"/>
      <w:r w:rsidRPr="002E66A0">
        <w:rPr>
          <w:rFonts w:ascii="Calibri" w:cs="Calibri"/>
        </w:rPr>
        <w:t xml:space="preserve">, “Development of Enzyme-Based Approaches for Recycling PET on an Industrial Scale,” </w:t>
      </w:r>
      <w:r w:rsidRPr="002E66A0">
        <w:rPr>
          <w:rFonts w:ascii="Calibri" w:cs="Calibri"/>
          <w:i/>
          <w:iCs/>
        </w:rPr>
        <w:t>Biochemistry</w:t>
      </w:r>
      <w:r w:rsidRPr="002E66A0">
        <w:rPr>
          <w:rFonts w:ascii="Calibri" w:cs="Calibri"/>
        </w:rPr>
        <w:t xml:space="preserve">, p. </w:t>
      </w:r>
      <w:proofErr w:type="gramStart"/>
      <w:r w:rsidRPr="002E66A0">
        <w:rPr>
          <w:rFonts w:ascii="Calibri" w:cs="Calibri"/>
        </w:rPr>
        <w:t>acs.biochem</w:t>
      </w:r>
      <w:proofErr w:type="gramEnd"/>
      <w:r w:rsidRPr="002E66A0">
        <w:rPr>
          <w:rFonts w:ascii="Calibri" w:cs="Calibri"/>
        </w:rPr>
        <w:t xml:space="preserve">.3c00554, Jan. 2024, </w:t>
      </w:r>
      <w:proofErr w:type="spellStart"/>
      <w:r w:rsidRPr="002E66A0">
        <w:rPr>
          <w:rFonts w:ascii="Calibri" w:cs="Calibri"/>
        </w:rPr>
        <w:t>doi</w:t>
      </w:r>
      <w:proofErr w:type="spellEnd"/>
      <w:r w:rsidRPr="002E66A0">
        <w:rPr>
          <w:rFonts w:ascii="Calibri" w:cs="Calibri"/>
        </w:rPr>
        <w:t>: 10.1021/acs.biochem.3c00554.</w:t>
      </w:r>
    </w:p>
    <w:p w14:paraId="15C23852" w14:textId="77777777" w:rsidR="002E66A0" w:rsidRPr="002E66A0" w:rsidRDefault="002E66A0" w:rsidP="002E66A0">
      <w:pPr>
        <w:pStyle w:val="Bibliography"/>
        <w:rPr>
          <w:rFonts w:ascii="Calibri" w:cs="Calibri"/>
        </w:rPr>
      </w:pPr>
      <w:r w:rsidRPr="002E66A0">
        <w:rPr>
          <w:rFonts w:ascii="Calibri" w:cs="Calibri"/>
        </w:rPr>
        <w:lastRenderedPageBreak/>
        <w:t>[44]</w:t>
      </w:r>
      <w:r w:rsidRPr="002E66A0">
        <w:rPr>
          <w:rFonts w:ascii="Calibri" w:cs="Calibri"/>
        </w:rPr>
        <w:tab/>
        <w:t xml:space="preserve">G. Arnal </w:t>
      </w:r>
      <w:r w:rsidRPr="002E66A0">
        <w:rPr>
          <w:rFonts w:ascii="Calibri" w:cs="Calibri"/>
          <w:i/>
          <w:iCs/>
        </w:rPr>
        <w:t>et al.</w:t>
      </w:r>
      <w:r w:rsidRPr="002E66A0">
        <w:rPr>
          <w:rFonts w:ascii="Calibri" w:cs="Calibri"/>
        </w:rPr>
        <w:t xml:space="preserve">, “Assessment of Four Engineered PET Degrading Enzymes Considering Large-Scale Industrial Applications,” </w:t>
      </w:r>
      <w:r w:rsidRPr="002E66A0">
        <w:rPr>
          <w:rFonts w:ascii="Calibri" w:cs="Calibri"/>
          <w:i/>
          <w:iCs/>
        </w:rPr>
        <w:t xml:space="preserve">ACS </w:t>
      </w:r>
      <w:proofErr w:type="spellStart"/>
      <w:r w:rsidRPr="002E66A0">
        <w:rPr>
          <w:rFonts w:ascii="Calibri" w:cs="Calibri"/>
          <w:i/>
          <w:iCs/>
        </w:rPr>
        <w:t>Catal</w:t>
      </w:r>
      <w:proofErr w:type="spellEnd"/>
      <w:r w:rsidRPr="002E66A0">
        <w:rPr>
          <w:rFonts w:ascii="Calibri" w:cs="Calibri"/>
          <w:i/>
          <w:iCs/>
        </w:rPr>
        <w:t>.</w:t>
      </w:r>
      <w:r w:rsidRPr="002E66A0">
        <w:rPr>
          <w:rFonts w:ascii="Calibri" w:cs="Calibri"/>
        </w:rPr>
        <w:t xml:space="preserve">, vol. 13, no. 20, pp. 13156–13166, Oct. 2023, </w:t>
      </w:r>
      <w:proofErr w:type="spellStart"/>
      <w:r w:rsidRPr="002E66A0">
        <w:rPr>
          <w:rFonts w:ascii="Calibri" w:cs="Calibri"/>
        </w:rPr>
        <w:t>doi</w:t>
      </w:r>
      <w:proofErr w:type="spellEnd"/>
      <w:r w:rsidRPr="002E66A0">
        <w:rPr>
          <w:rFonts w:ascii="Calibri" w:cs="Calibri"/>
        </w:rPr>
        <w:t>: 10.1021/acscatal.3c02922.</w:t>
      </w:r>
    </w:p>
    <w:p w14:paraId="56F74DEC" w14:textId="77777777" w:rsidR="002E66A0" w:rsidRPr="002E66A0" w:rsidRDefault="002E66A0" w:rsidP="002E66A0">
      <w:pPr>
        <w:pStyle w:val="Bibliography"/>
        <w:rPr>
          <w:rFonts w:ascii="Calibri" w:cs="Calibri"/>
        </w:rPr>
      </w:pPr>
      <w:r w:rsidRPr="002E66A0">
        <w:rPr>
          <w:rFonts w:ascii="Calibri" w:cs="Calibri"/>
        </w:rPr>
        <w:t>[45]</w:t>
      </w:r>
      <w:r w:rsidRPr="002E66A0">
        <w:rPr>
          <w:rFonts w:ascii="Calibri" w:cs="Calibri"/>
        </w:rPr>
        <w:tab/>
        <w:t xml:space="preserve">V. Kumar, R. Wimmer, and C. Varrone, “Efficient Bioprocess for Mixed PET Waste Depolymerization Using Crude </w:t>
      </w:r>
      <w:proofErr w:type="spellStart"/>
      <w:r w:rsidRPr="002E66A0">
        <w:rPr>
          <w:rFonts w:ascii="Calibri" w:cs="Calibri"/>
        </w:rPr>
        <w:t>Cutinase</w:t>
      </w:r>
      <w:proofErr w:type="spellEnd"/>
      <w:r w:rsidRPr="002E66A0">
        <w:rPr>
          <w:rFonts w:ascii="Calibri" w:cs="Calibri"/>
        </w:rPr>
        <w:t xml:space="preserve">,” </w:t>
      </w:r>
      <w:r w:rsidRPr="002E66A0">
        <w:rPr>
          <w:rFonts w:ascii="Calibri" w:cs="Calibri"/>
          <w:i/>
          <w:iCs/>
        </w:rPr>
        <w:t>Polymers</w:t>
      </w:r>
      <w:r w:rsidRPr="002E66A0">
        <w:rPr>
          <w:rFonts w:ascii="Calibri" w:cs="Calibri"/>
        </w:rPr>
        <w:t xml:space="preserve">, vol. 17, no. 6, p. 763, Mar. 2025, </w:t>
      </w:r>
      <w:proofErr w:type="spellStart"/>
      <w:r w:rsidRPr="002E66A0">
        <w:rPr>
          <w:rFonts w:ascii="Calibri" w:cs="Calibri"/>
        </w:rPr>
        <w:t>doi</w:t>
      </w:r>
      <w:proofErr w:type="spellEnd"/>
      <w:r w:rsidRPr="002E66A0">
        <w:rPr>
          <w:rFonts w:ascii="Calibri" w:cs="Calibri"/>
        </w:rPr>
        <w:t>: 10.3390/polym17060763.</w:t>
      </w:r>
    </w:p>
    <w:p w14:paraId="6875300C" w14:textId="77777777" w:rsidR="002E66A0" w:rsidRPr="002E66A0" w:rsidRDefault="002E66A0" w:rsidP="002E66A0">
      <w:pPr>
        <w:pStyle w:val="Bibliography"/>
        <w:rPr>
          <w:rFonts w:ascii="Calibri" w:cs="Calibri"/>
          <w:lang w:val="fr-CH"/>
        </w:rPr>
      </w:pPr>
      <w:r w:rsidRPr="002E66A0">
        <w:rPr>
          <w:rFonts w:ascii="Calibri" w:cs="Calibri"/>
          <w:lang w:val="fr-CH"/>
        </w:rPr>
        <w:t>[46]</w:t>
      </w:r>
      <w:r w:rsidRPr="002E66A0">
        <w:rPr>
          <w:rFonts w:ascii="Calibri" w:cs="Calibri"/>
          <w:lang w:val="fr-CH"/>
        </w:rPr>
        <w:tab/>
        <w:t xml:space="preserve">J.-P. Quentin, “PET ou </w:t>
      </w:r>
      <w:proofErr w:type="spellStart"/>
      <w:r w:rsidRPr="002E66A0">
        <w:rPr>
          <w:rFonts w:ascii="Calibri" w:cs="Calibri"/>
          <w:lang w:val="fr-CH"/>
        </w:rPr>
        <w:t>polyéthylènetéréphtalate</w:t>
      </w:r>
      <w:proofErr w:type="spellEnd"/>
      <w:r w:rsidRPr="002E66A0">
        <w:rPr>
          <w:rFonts w:ascii="Calibri" w:cs="Calibri"/>
          <w:lang w:val="fr-CH"/>
        </w:rPr>
        <w:t xml:space="preserve">,” </w:t>
      </w:r>
      <w:r w:rsidRPr="002E66A0">
        <w:rPr>
          <w:rFonts w:ascii="Calibri" w:cs="Calibri"/>
          <w:i/>
          <w:iCs/>
          <w:lang w:val="fr-CH"/>
        </w:rPr>
        <w:t>Techniques de l’</w:t>
      </w:r>
      <w:proofErr w:type="spellStart"/>
      <w:r w:rsidRPr="002E66A0">
        <w:rPr>
          <w:rFonts w:ascii="Calibri" w:cs="Calibri"/>
          <w:i/>
          <w:iCs/>
          <w:lang w:val="fr-CH"/>
        </w:rPr>
        <w:t>ingenieur</w:t>
      </w:r>
      <w:proofErr w:type="spellEnd"/>
      <w:r w:rsidRPr="002E66A0">
        <w:rPr>
          <w:rFonts w:ascii="Calibri" w:cs="Calibri"/>
          <w:lang w:val="fr-CH"/>
        </w:rPr>
        <w:t>, vol. J6488V1, Oct. 2004.</w:t>
      </w:r>
    </w:p>
    <w:p w14:paraId="72C129FA" w14:textId="77777777" w:rsidR="002E66A0" w:rsidRPr="002E66A0" w:rsidRDefault="002E66A0" w:rsidP="002E66A0">
      <w:pPr>
        <w:pStyle w:val="Bibliography"/>
        <w:rPr>
          <w:rFonts w:ascii="Calibri" w:cs="Calibri"/>
          <w:lang w:val="fr-CH"/>
        </w:rPr>
      </w:pPr>
      <w:r w:rsidRPr="002E66A0">
        <w:rPr>
          <w:rFonts w:ascii="Calibri" w:cs="Calibri"/>
          <w:lang w:val="fr-CH"/>
        </w:rPr>
        <w:t>[47]</w:t>
      </w:r>
      <w:r w:rsidRPr="002E66A0">
        <w:rPr>
          <w:rFonts w:ascii="Calibri" w:cs="Calibri"/>
          <w:lang w:val="fr-CH"/>
        </w:rPr>
        <w:tab/>
        <w:t xml:space="preserve">B. Liu, W. Fu, X. Lu, Q. Zhou, and S. Zhang, “Lewis Acid–Base </w:t>
      </w:r>
      <w:proofErr w:type="spellStart"/>
      <w:r w:rsidRPr="002E66A0">
        <w:rPr>
          <w:rFonts w:ascii="Calibri" w:cs="Calibri"/>
          <w:lang w:val="fr-CH"/>
        </w:rPr>
        <w:t>Synergistic</w:t>
      </w:r>
      <w:proofErr w:type="spellEnd"/>
      <w:r w:rsidRPr="002E66A0">
        <w:rPr>
          <w:rFonts w:ascii="Calibri" w:cs="Calibri"/>
          <w:lang w:val="fr-CH"/>
        </w:rPr>
        <w:t xml:space="preserve"> </w:t>
      </w:r>
      <w:proofErr w:type="spellStart"/>
      <w:r w:rsidRPr="002E66A0">
        <w:rPr>
          <w:rFonts w:ascii="Calibri" w:cs="Calibri"/>
          <w:lang w:val="fr-CH"/>
        </w:rPr>
        <w:t>Catalysis</w:t>
      </w:r>
      <w:proofErr w:type="spellEnd"/>
      <w:r w:rsidRPr="002E66A0">
        <w:rPr>
          <w:rFonts w:ascii="Calibri" w:cs="Calibri"/>
          <w:lang w:val="fr-CH"/>
        </w:rPr>
        <w:t xml:space="preserve"> for </w:t>
      </w:r>
      <w:proofErr w:type="spellStart"/>
      <w:r w:rsidRPr="002E66A0">
        <w:rPr>
          <w:rFonts w:ascii="Calibri" w:cs="Calibri"/>
          <w:lang w:val="fr-CH"/>
        </w:rPr>
        <w:t>Polyethylene</w:t>
      </w:r>
      <w:proofErr w:type="spellEnd"/>
      <w:r w:rsidRPr="002E66A0">
        <w:rPr>
          <w:rFonts w:ascii="Calibri" w:cs="Calibri"/>
          <w:lang w:val="fr-CH"/>
        </w:rPr>
        <w:t xml:space="preserve"> </w:t>
      </w:r>
      <w:proofErr w:type="spellStart"/>
      <w:r w:rsidRPr="002E66A0">
        <w:rPr>
          <w:rFonts w:ascii="Calibri" w:cs="Calibri"/>
          <w:lang w:val="fr-CH"/>
        </w:rPr>
        <w:t>Terephthalate</w:t>
      </w:r>
      <w:proofErr w:type="spellEnd"/>
      <w:r w:rsidRPr="002E66A0">
        <w:rPr>
          <w:rFonts w:ascii="Calibri" w:cs="Calibri"/>
          <w:lang w:val="fr-CH"/>
        </w:rPr>
        <w:t xml:space="preserve"> </w:t>
      </w:r>
      <w:proofErr w:type="spellStart"/>
      <w:r w:rsidRPr="002E66A0">
        <w:rPr>
          <w:rFonts w:ascii="Calibri" w:cs="Calibri"/>
          <w:lang w:val="fr-CH"/>
        </w:rPr>
        <w:t>Degradation</w:t>
      </w:r>
      <w:proofErr w:type="spellEnd"/>
      <w:r w:rsidRPr="002E66A0">
        <w:rPr>
          <w:rFonts w:ascii="Calibri" w:cs="Calibri"/>
          <w:lang w:val="fr-CH"/>
        </w:rPr>
        <w:t xml:space="preserve"> by 1,3-Dimethylurea/</w:t>
      </w:r>
      <w:proofErr w:type="gramStart"/>
      <w:r w:rsidRPr="002E66A0">
        <w:rPr>
          <w:rFonts w:ascii="Calibri" w:cs="Calibri"/>
          <w:lang w:val="fr-CH"/>
        </w:rPr>
        <w:t>Zn(</w:t>
      </w:r>
      <w:proofErr w:type="spellStart"/>
      <w:proofErr w:type="gramEnd"/>
      <w:r w:rsidRPr="002E66A0">
        <w:rPr>
          <w:rFonts w:ascii="Calibri" w:cs="Calibri"/>
          <w:lang w:val="fr-CH"/>
        </w:rPr>
        <w:t>OAc</w:t>
      </w:r>
      <w:proofErr w:type="spellEnd"/>
      <w:r w:rsidRPr="002E66A0">
        <w:rPr>
          <w:rFonts w:ascii="Calibri" w:cs="Calibri"/>
          <w:lang w:val="fr-CH"/>
        </w:rPr>
        <w:t>)</w:t>
      </w:r>
      <w:r w:rsidRPr="002E66A0">
        <w:rPr>
          <w:rFonts w:ascii="Calibri" w:cs="Calibri"/>
          <w:vertAlign w:val="subscript"/>
          <w:lang w:val="fr-CH"/>
        </w:rPr>
        <w:t>2</w:t>
      </w:r>
      <w:r w:rsidRPr="002E66A0">
        <w:rPr>
          <w:rFonts w:ascii="Calibri" w:cs="Calibri"/>
          <w:lang w:val="fr-CH"/>
        </w:rPr>
        <w:t xml:space="preserve"> Deep </w:t>
      </w:r>
      <w:proofErr w:type="spellStart"/>
      <w:r w:rsidRPr="002E66A0">
        <w:rPr>
          <w:rFonts w:ascii="Calibri" w:cs="Calibri"/>
          <w:lang w:val="fr-CH"/>
        </w:rPr>
        <w:t>Eutectic</w:t>
      </w:r>
      <w:proofErr w:type="spellEnd"/>
      <w:r w:rsidRPr="002E66A0">
        <w:rPr>
          <w:rFonts w:ascii="Calibri" w:cs="Calibri"/>
          <w:lang w:val="fr-CH"/>
        </w:rPr>
        <w:t xml:space="preserve"> Solvent,” </w:t>
      </w:r>
      <w:r w:rsidRPr="002E66A0">
        <w:rPr>
          <w:rFonts w:ascii="Calibri" w:cs="Calibri"/>
          <w:i/>
          <w:iCs/>
          <w:lang w:val="fr-CH"/>
        </w:rPr>
        <w:t xml:space="preserve">ACS </w:t>
      </w:r>
      <w:proofErr w:type="spellStart"/>
      <w:r w:rsidRPr="002E66A0">
        <w:rPr>
          <w:rFonts w:ascii="Calibri" w:cs="Calibri"/>
          <w:i/>
          <w:iCs/>
          <w:lang w:val="fr-CH"/>
        </w:rPr>
        <w:t>Sustainable</w:t>
      </w:r>
      <w:proofErr w:type="spellEnd"/>
      <w:r w:rsidRPr="002E66A0">
        <w:rPr>
          <w:rFonts w:ascii="Calibri" w:cs="Calibri"/>
          <w:i/>
          <w:iCs/>
          <w:lang w:val="fr-CH"/>
        </w:rPr>
        <w:t xml:space="preserve"> </w:t>
      </w:r>
      <w:proofErr w:type="spellStart"/>
      <w:r w:rsidRPr="002E66A0">
        <w:rPr>
          <w:rFonts w:ascii="Calibri" w:cs="Calibri"/>
          <w:i/>
          <w:iCs/>
          <w:lang w:val="fr-CH"/>
        </w:rPr>
        <w:t>Chem</w:t>
      </w:r>
      <w:proofErr w:type="spellEnd"/>
      <w:r w:rsidRPr="002E66A0">
        <w:rPr>
          <w:rFonts w:ascii="Calibri" w:cs="Calibri"/>
          <w:i/>
          <w:iCs/>
          <w:lang w:val="fr-CH"/>
        </w:rPr>
        <w:t>. Eng.</w:t>
      </w:r>
      <w:r w:rsidRPr="002E66A0">
        <w:rPr>
          <w:rFonts w:ascii="Calibri" w:cs="Calibri"/>
          <w:lang w:val="fr-CH"/>
        </w:rPr>
        <w:t xml:space="preserve">, vol. 7, no. 3, pp. 3292–3300, </w:t>
      </w:r>
      <w:proofErr w:type="spellStart"/>
      <w:r w:rsidRPr="002E66A0">
        <w:rPr>
          <w:rFonts w:ascii="Calibri" w:cs="Calibri"/>
          <w:lang w:val="fr-CH"/>
        </w:rPr>
        <w:t>Feb</w:t>
      </w:r>
      <w:proofErr w:type="spellEnd"/>
      <w:r w:rsidRPr="002E66A0">
        <w:rPr>
          <w:rFonts w:ascii="Calibri" w:cs="Calibri"/>
          <w:lang w:val="fr-CH"/>
        </w:rPr>
        <w:t xml:space="preserve">. 2019, </w:t>
      </w:r>
      <w:proofErr w:type="spellStart"/>
      <w:proofErr w:type="gramStart"/>
      <w:r w:rsidRPr="002E66A0">
        <w:rPr>
          <w:rFonts w:ascii="Calibri" w:cs="Calibri"/>
          <w:lang w:val="fr-CH"/>
        </w:rPr>
        <w:t>doi</w:t>
      </w:r>
      <w:proofErr w:type="spellEnd"/>
      <w:r w:rsidRPr="002E66A0">
        <w:rPr>
          <w:rFonts w:ascii="Calibri" w:cs="Calibri"/>
          <w:lang w:val="fr-CH"/>
        </w:rPr>
        <w:t>:</w:t>
      </w:r>
      <w:proofErr w:type="gramEnd"/>
      <w:r w:rsidRPr="002E66A0">
        <w:rPr>
          <w:rFonts w:ascii="Calibri" w:cs="Calibri"/>
          <w:lang w:val="fr-CH"/>
        </w:rPr>
        <w:t xml:space="preserve"> 10.1021/acssuschemeng.8b05324.</w:t>
      </w:r>
    </w:p>
    <w:p w14:paraId="7774520E" w14:textId="77777777" w:rsidR="002E66A0" w:rsidRPr="002E66A0" w:rsidRDefault="002E66A0" w:rsidP="002E66A0">
      <w:pPr>
        <w:pStyle w:val="Bibliography"/>
        <w:rPr>
          <w:rFonts w:ascii="Calibri" w:cs="Calibri"/>
        </w:rPr>
      </w:pPr>
      <w:r w:rsidRPr="002E66A0">
        <w:rPr>
          <w:rFonts w:ascii="Calibri" w:cs="Calibri"/>
        </w:rPr>
        <w:t>[48]</w:t>
      </w:r>
      <w:r w:rsidRPr="002E66A0">
        <w:rPr>
          <w:rFonts w:ascii="Calibri" w:cs="Calibri"/>
        </w:rPr>
        <w:tab/>
        <w:t xml:space="preserve">L.-H. Wang, S. Lan, Z.-B. Huang, J.-Y. Yang, J.-H. Gong, and P.-Q. Yuan, “Reaction kinetic model of glycolysis of polyethylene terephthalate,” </w:t>
      </w:r>
      <w:r w:rsidRPr="002E66A0">
        <w:rPr>
          <w:rFonts w:ascii="Calibri" w:cs="Calibri"/>
          <w:i/>
          <w:iCs/>
        </w:rPr>
        <w:t>Chemical Engineering Science</w:t>
      </w:r>
      <w:r w:rsidRPr="002E66A0">
        <w:rPr>
          <w:rFonts w:ascii="Calibri" w:cs="Calibri"/>
        </w:rPr>
        <w:t xml:space="preserve">, vol. 309, p. 121463, May 2025, </w:t>
      </w:r>
      <w:proofErr w:type="spellStart"/>
      <w:r w:rsidRPr="002E66A0">
        <w:rPr>
          <w:rFonts w:ascii="Calibri" w:cs="Calibri"/>
        </w:rPr>
        <w:t>doi</w:t>
      </w:r>
      <w:proofErr w:type="spellEnd"/>
      <w:r w:rsidRPr="002E66A0">
        <w:rPr>
          <w:rFonts w:ascii="Calibri" w:cs="Calibri"/>
        </w:rPr>
        <w:t>: 10.1016/j.ces.2025.121463.</w:t>
      </w:r>
    </w:p>
    <w:p w14:paraId="447CD50D" w14:textId="77777777" w:rsidR="002E66A0" w:rsidRPr="002E66A0" w:rsidRDefault="002E66A0" w:rsidP="002E66A0">
      <w:pPr>
        <w:pStyle w:val="Bibliography"/>
        <w:rPr>
          <w:rFonts w:ascii="Calibri" w:cs="Calibri"/>
        </w:rPr>
      </w:pPr>
      <w:r w:rsidRPr="002E66A0">
        <w:rPr>
          <w:rFonts w:ascii="Calibri" w:cs="Calibri"/>
        </w:rPr>
        <w:t>[49]</w:t>
      </w:r>
      <w:r w:rsidRPr="002E66A0">
        <w:rPr>
          <w:rFonts w:ascii="Calibri" w:cs="Calibri"/>
        </w:rPr>
        <w:tab/>
        <w:t xml:space="preserve">H. Yao, D. Yan, X. Lu, Q. Zhou, Y. Bao, and J. Xu, “Solubility determination and thermodynamic </w:t>
      </w:r>
      <w:proofErr w:type="spellStart"/>
      <w:r w:rsidRPr="002E66A0">
        <w:rPr>
          <w:rFonts w:ascii="Calibri" w:cs="Calibri"/>
        </w:rPr>
        <w:t>modeling</w:t>
      </w:r>
      <w:proofErr w:type="spellEnd"/>
      <w:r w:rsidRPr="002E66A0">
        <w:rPr>
          <w:rFonts w:ascii="Calibri" w:cs="Calibri"/>
        </w:rPr>
        <w:t xml:space="preserve"> of bis-2-hydroxyethyl terephthalate (BHET) in different solvents,” </w:t>
      </w:r>
      <w:r w:rsidRPr="002E66A0">
        <w:rPr>
          <w:rFonts w:ascii="Calibri" w:cs="Calibri"/>
          <w:i/>
          <w:iCs/>
        </w:rPr>
        <w:t>Chinese Journal of Chemical Engineering</w:t>
      </w:r>
      <w:r w:rsidRPr="002E66A0">
        <w:rPr>
          <w:rFonts w:ascii="Calibri" w:cs="Calibri"/>
        </w:rPr>
        <w:t xml:space="preserve">, vol. 45, pp. 294–300, May 2022, </w:t>
      </w:r>
      <w:proofErr w:type="spellStart"/>
      <w:r w:rsidRPr="002E66A0">
        <w:rPr>
          <w:rFonts w:ascii="Calibri" w:cs="Calibri"/>
        </w:rPr>
        <w:t>doi</w:t>
      </w:r>
      <w:proofErr w:type="spellEnd"/>
      <w:r w:rsidRPr="002E66A0">
        <w:rPr>
          <w:rFonts w:ascii="Calibri" w:cs="Calibri"/>
        </w:rPr>
        <w:t>: 10.1016/j.cjche.2021.03.024.</w:t>
      </w:r>
    </w:p>
    <w:p w14:paraId="04063835" w14:textId="77777777" w:rsidR="002E66A0" w:rsidRPr="002E66A0" w:rsidRDefault="002E66A0" w:rsidP="002E66A0">
      <w:pPr>
        <w:pStyle w:val="Bibliography"/>
        <w:rPr>
          <w:rFonts w:ascii="Calibri" w:cs="Calibri"/>
        </w:rPr>
      </w:pPr>
      <w:r w:rsidRPr="002E66A0">
        <w:rPr>
          <w:rFonts w:ascii="Calibri" w:cs="Calibri"/>
        </w:rPr>
        <w:t>[50]</w:t>
      </w:r>
      <w:r w:rsidRPr="002E66A0">
        <w:rPr>
          <w:rFonts w:ascii="Calibri" w:cs="Calibri"/>
        </w:rPr>
        <w:tab/>
        <w:t xml:space="preserve">J. </w:t>
      </w:r>
      <w:proofErr w:type="spellStart"/>
      <w:r w:rsidRPr="002E66A0">
        <w:rPr>
          <w:rFonts w:ascii="Calibri" w:cs="Calibri"/>
        </w:rPr>
        <w:t>Konidis</w:t>
      </w:r>
      <w:proofErr w:type="spellEnd"/>
      <w:r w:rsidRPr="002E66A0">
        <w:rPr>
          <w:rFonts w:ascii="Calibri" w:cs="Calibri"/>
        </w:rPr>
        <w:t xml:space="preserve">, “Design of Direct Heated Rotary Dryers,” </w:t>
      </w:r>
      <w:proofErr w:type="gramStart"/>
      <w:r w:rsidRPr="002E66A0">
        <w:rPr>
          <w:rFonts w:ascii="Calibri" w:cs="Calibri"/>
        </w:rPr>
        <w:t>Master’s</w:t>
      </w:r>
      <w:proofErr w:type="gramEnd"/>
      <w:r w:rsidRPr="002E66A0">
        <w:rPr>
          <w:rFonts w:ascii="Calibri" w:cs="Calibri"/>
        </w:rPr>
        <w:t xml:space="preserve"> Thesis, Concordia University, Montreal.</w:t>
      </w:r>
    </w:p>
    <w:p w14:paraId="7DA6EC9E" w14:textId="77777777" w:rsidR="002E66A0" w:rsidRPr="002E66A0" w:rsidRDefault="002E66A0" w:rsidP="002E66A0">
      <w:pPr>
        <w:pStyle w:val="Bibliography"/>
        <w:rPr>
          <w:rFonts w:ascii="Calibri" w:cs="Calibri"/>
        </w:rPr>
      </w:pPr>
      <w:r w:rsidRPr="002E66A0">
        <w:rPr>
          <w:rFonts w:ascii="Calibri" w:cs="Calibri"/>
        </w:rPr>
        <w:t>[51]</w:t>
      </w:r>
      <w:r w:rsidRPr="002E66A0">
        <w:rPr>
          <w:rFonts w:ascii="Calibri" w:cs="Calibri"/>
        </w:rPr>
        <w:tab/>
        <w:t xml:space="preserve">W. T. Lang, S. A. Mehta, M. M. Thomas, D. Openshaw, E. Westgate, and G. Bagnato, “Chemical recycling of polyethylene terephthalate, an industrial and sustainable opportunity for Northwest of England,” </w:t>
      </w:r>
      <w:r w:rsidRPr="002E66A0">
        <w:rPr>
          <w:rFonts w:ascii="Calibri" w:cs="Calibri"/>
          <w:i/>
          <w:iCs/>
        </w:rPr>
        <w:t>Journal of Environmental Chemical Engineering</w:t>
      </w:r>
      <w:r w:rsidRPr="002E66A0">
        <w:rPr>
          <w:rFonts w:ascii="Calibri" w:cs="Calibri"/>
        </w:rPr>
        <w:t xml:space="preserve">, vol. 11, no. 5, p. 110585, Oct. 2023, </w:t>
      </w:r>
      <w:proofErr w:type="spellStart"/>
      <w:r w:rsidRPr="002E66A0">
        <w:rPr>
          <w:rFonts w:ascii="Calibri" w:cs="Calibri"/>
        </w:rPr>
        <w:t>doi</w:t>
      </w:r>
      <w:proofErr w:type="spellEnd"/>
      <w:r w:rsidRPr="002E66A0">
        <w:rPr>
          <w:rFonts w:ascii="Calibri" w:cs="Calibri"/>
        </w:rPr>
        <w:t>: 10.1016/j.jece.2023.110585.</w:t>
      </w:r>
    </w:p>
    <w:p w14:paraId="07D05F6A" w14:textId="77777777" w:rsidR="002E66A0" w:rsidRPr="002E66A0" w:rsidRDefault="002E66A0" w:rsidP="002E66A0">
      <w:pPr>
        <w:pStyle w:val="Bibliography"/>
        <w:rPr>
          <w:rFonts w:ascii="Calibri" w:cs="Calibri"/>
        </w:rPr>
      </w:pPr>
      <w:r w:rsidRPr="002E66A0">
        <w:rPr>
          <w:rFonts w:ascii="Calibri" w:cs="Calibri"/>
        </w:rPr>
        <w:t>[52]</w:t>
      </w:r>
      <w:r w:rsidRPr="002E66A0">
        <w:rPr>
          <w:rFonts w:ascii="Calibri" w:cs="Calibri"/>
        </w:rPr>
        <w:tab/>
        <w:t xml:space="preserve">F. Barla, T. Showalter, H.-C. Su, J. Jones, and Bobe, “Methods for recycling cotton and polyester </w:t>
      </w:r>
      <w:proofErr w:type="spellStart"/>
      <w:r w:rsidRPr="002E66A0">
        <w:rPr>
          <w:rFonts w:ascii="Calibri" w:cs="Calibri"/>
        </w:rPr>
        <w:t>fibers</w:t>
      </w:r>
      <w:proofErr w:type="spellEnd"/>
      <w:r w:rsidRPr="002E66A0">
        <w:rPr>
          <w:rFonts w:ascii="Calibri" w:cs="Calibri"/>
        </w:rPr>
        <w:t xml:space="preserve"> from waste textile,” US2020/0407530A1</w:t>
      </w:r>
    </w:p>
    <w:p w14:paraId="5FE91C47" w14:textId="77777777" w:rsidR="002E66A0" w:rsidRPr="002E66A0" w:rsidRDefault="002E66A0" w:rsidP="002E66A0">
      <w:pPr>
        <w:pStyle w:val="Bibliography"/>
        <w:rPr>
          <w:rFonts w:ascii="Calibri" w:cs="Calibri"/>
        </w:rPr>
      </w:pPr>
      <w:r w:rsidRPr="002E66A0">
        <w:rPr>
          <w:rFonts w:ascii="Calibri" w:cs="Calibri"/>
        </w:rPr>
        <w:t>[53]</w:t>
      </w:r>
      <w:r w:rsidRPr="002E66A0">
        <w:rPr>
          <w:rFonts w:ascii="Calibri" w:cs="Calibri"/>
        </w:rPr>
        <w:tab/>
        <w:t xml:space="preserve">K. Tomita and H. Ida, “Studies on the formation of </w:t>
      </w:r>
      <w:proofErr w:type="gramStart"/>
      <w:r w:rsidRPr="002E66A0">
        <w:rPr>
          <w:rFonts w:ascii="Calibri" w:cs="Calibri"/>
        </w:rPr>
        <w:t>poly(</w:t>
      </w:r>
      <w:proofErr w:type="gramEnd"/>
      <w:r w:rsidRPr="002E66A0">
        <w:rPr>
          <w:rFonts w:ascii="Calibri" w:cs="Calibri"/>
        </w:rPr>
        <w:t xml:space="preserve">ethylene terephthalate): 2. Rate of transesterification of dimethyl terephthalate with ethylene glycol,” </w:t>
      </w:r>
      <w:r w:rsidRPr="002E66A0">
        <w:rPr>
          <w:rFonts w:ascii="Calibri" w:cs="Calibri"/>
          <w:i/>
          <w:iCs/>
        </w:rPr>
        <w:t>Polymer</w:t>
      </w:r>
      <w:r w:rsidRPr="002E66A0">
        <w:rPr>
          <w:rFonts w:ascii="Calibri" w:cs="Calibri"/>
        </w:rPr>
        <w:t xml:space="preserve">, vol. 14, no. 2, pp. 55–60, Feb. 1973, </w:t>
      </w:r>
      <w:proofErr w:type="spellStart"/>
      <w:r w:rsidRPr="002E66A0">
        <w:rPr>
          <w:rFonts w:ascii="Calibri" w:cs="Calibri"/>
        </w:rPr>
        <w:t>doi</w:t>
      </w:r>
      <w:proofErr w:type="spellEnd"/>
      <w:r w:rsidRPr="002E66A0">
        <w:rPr>
          <w:rFonts w:ascii="Calibri" w:cs="Calibri"/>
        </w:rPr>
        <w:t>: 10.1016/0032-3861(73)90096-7.</w:t>
      </w:r>
    </w:p>
    <w:p w14:paraId="0CEEC788" w14:textId="77777777" w:rsidR="002E66A0" w:rsidRPr="002E66A0" w:rsidRDefault="002E66A0" w:rsidP="002E66A0">
      <w:pPr>
        <w:pStyle w:val="Bibliography"/>
        <w:rPr>
          <w:rFonts w:ascii="Calibri" w:cs="Calibri"/>
        </w:rPr>
      </w:pPr>
      <w:r w:rsidRPr="002E66A0">
        <w:rPr>
          <w:rFonts w:ascii="Calibri" w:cs="Calibri"/>
          <w:lang w:val="fr-CH"/>
        </w:rPr>
        <w:t>[54]</w:t>
      </w:r>
      <w:r w:rsidRPr="002E66A0">
        <w:rPr>
          <w:rFonts w:ascii="Calibri" w:cs="Calibri"/>
          <w:lang w:val="fr-CH"/>
        </w:rPr>
        <w:tab/>
      </w:r>
      <w:proofErr w:type="spellStart"/>
      <w:r w:rsidRPr="002E66A0">
        <w:rPr>
          <w:rFonts w:ascii="Calibri" w:cs="Calibri"/>
          <w:lang w:val="fr-CH"/>
        </w:rPr>
        <w:t>Quantis</w:t>
      </w:r>
      <w:proofErr w:type="spellEnd"/>
      <w:r w:rsidRPr="002E66A0">
        <w:rPr>
          <w:rFonts w:ascii="Calibri" w:cs="Calibri"/>
          <w:lang w:val="fr-CH"/>
        </w:rPr>
        <w:t xml:space="preserve">, Sur mandat de l’Office fédéral de l’environnement (OFEV), “Flux de textiles usagés en Suisse.” </w:t>
      </w:r>
      <w:r w:rsidRPr="002E66A0">
        <w:rPr>
          <w:rFonts w:ascii="Calibri" w:cs="Calibri"/>
        </w:rPr>
        <w:t>Mar. 2024.</w:t>
      </w:r>
    </w:p>
    <w:p w14:paraId="6C09EFCB" w14:textId="3F6969EC" w:rsidR="00D30ED0" w:rsidRDefault="00243519" w:rsidP="002E66A0">
      <w:pPr>
        <w:pStyle w:val="Bibliography"/>
        <w:jc w:val="both"/>
        <w:rPr>
          <w:lang w:val="en-US"/>
        </w:rPr>
      </w:pPr>
      <w:r>
        <w:rPr>
          <w:lang w:val="en-US"/>
        </w:rPr>
        <w:fldChar w:fldCharType="end"/>
      </w:r>
    </w:p>
    <w:sectPr w:rsidR="00D30E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ebkit-standard">
    <w:altName w:val="Cambria"/>
    <w:panose1 w:val="020B0604020202020204"/>
    <w:charset w:val="00"/>
    <w:family w:val="roman"/>
    <w:pitch w:val="default"/>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1970"/>
    <w:multiLevelType w:val="hybridMultilevel"/>
    <w:tmpl w:val="0FAEC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47CBD"/>
    <w:multiLevelType w:val="hybridMultilevel"/>
    <w:tmpl w:val="CC883210"/>
    <w:lvl w:ilvl="0" w:tplc="70A28A58">
      <w:start w:val="1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374E33"/>
    <w:multiLevelType w:val="hybridMultilevel"/>
    <w:tmpl w:val="78E0C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3148E8"/>
    <w:multiLevelType w:val="multilevel"/>
    <w:tmpl w:val="850239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9410BD3"/>
    <w:multiLevelType w:val="hybridMultilevel"/>
    <w:tmpl w:val="89BEBF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5B501C"/>
    <w:multiLevelType w:val="hybridMultilevel"/>
    <w:tmpl w:val="091E116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6" w15:restartNumberingAfterBreak="0">
    <w:nsid w:val="7536669B"/>
    <w:multiLevelType w:val="multilevel"/>
    <w:tmpl w:val="04A0DBF0"/>
    <w:lvl w:ilvl="0">
      <w:start w:val="1"/>
      <w:numFmt w:val="decimal"/>
      <w:lvlText w:val="%1."/>
      <w:lvlJc w:val="left"/>
      <w:pPr>
        <w:ind w:left="720" w:hanging="360"/>
      </w:pPr>
      <w:rPr>
        <w:rFonts w:hint="default"/>
      </w:rPr>
    </w:lvl>
    <w:lvl w:ilvl="1">
      <w:start w:val="2"/>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67207190">
    <w:abstractNumId w:val="6"/>
  </w:num>
  <w:num w:numId="2" w16cid:durableId="2084259579">
    <w:abstractNumId w:val="4"/>
  </w:num>
  <w:num w:numId="3" w16cid:durableId="1046948215">
    <w:abstractNumId w:val="3"/>
  </w:num>
  <w:num w:numId="4" w16cid:durableId="1996907234">
    <w:abstractNumId w:val="1"/>
  </w:num>
  <w:num w:numId="5" w16cid:durableId="1400983085">
    <w:abstractNumId w:val="5"/>
  </w:num>
  <w:num w:numId="6" w16cid:durableId="1343704712">
    <w:abstractNumId w:val="0"/>
  </w:num>
  <w:num w:numId="7" w16cid:durableId="292711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1DA"/>
    <w:rsid w:val="0000394D"/>
    <w:rsid w:val="00003A26"/>
    <w:rsid w:val="0000641E"/>
    <w:rsid w:val="000161AA"/>
    <w:rsid w:val="000232EE"/>
    <w:rsid w:val="000407A8"/>
    <w:rsid w:val="00046A99"/>
    <w:rsid w:val="00046E90"/>
    <w:rsid w:val="00063863"/>
    <w:rsid w:val="00070480"/>
    <w:rsid w:val="000722AA"/>
    <w:rsid w:val="000851FB"/>
    <w:rsid w:val="0009202C"/>
    <w:rsid w:val="000A7338"/>
    <w:rsid w:val="000B5A9A"/>
    <w:rsid w:val="000B613D"/>
    <w:rsid w:val="000B6DEA"/>
    <w:rsid w:val="000C1F8D"/>
    <w:rsid w:val="000D0CE6"/>
    <w:rsid w:val="000D5C71"/>
    <w:rsid w:val="000D7048"/>
    <w:rsid w:val="000F1447"/>
    <w:rsid w:val="00105294"/>
    <w:rsid w:val="00105898"/>
    <w:rsid w:val="00105A1F"/>
    <w:rsid w:val="00114A01"/>
    <w:rsid w:val="00116023"/>
    <w:rsid w:val="0013070C"/>
    <w:rsid w:val="00133EC4"/>
    <w:rsid w:val="00137338"/>
    <w:rsid w:val="00145BB2"/>
    <w:rsid w:val="001500E8"/>
    <w:rsid w:val="001503F0"/>
    <w:rsid w:val="001506F2"/>
    <w:rsid w:val="00157BB7"/>
    <w:rsid w:val="00161035"/>
    <w:rsid w:val="00161D8A"/>
    <w:rsid w:val="001635C5"/>
    <w:rsid w:val="001658D1"/>
    <w:rsid w:val="001678C9"/>
    <w:rsid w:val="00167E51"/>
    <w:rsid w:val="00175C21"/>
    <w:rsid w:val="001865C9"/>
    <w:rsid w:val="00195247"/>
    <w:rsid w:val="001966EE"/>
    <w:rsid w:val="001A152B"/>
    <w:rsid w:val="001A1FCA"/>
    <w:rsid w:val="001A63C5"/>
    <w:rsid w:val="001A68F8"/>
    <w:rsid w:val="001A740D"/>
    <w:rsid w:val="001B015C"/>
    <w:rsid w:val="001C0101"/>
    <w:rsid w:val="001C334E"/>
    <w:rsid w:val="001C4B6F"/>
    <w:rsid w:val="001C7CDD"/>
    <w:rsid w:val="001D24F0"/>
    <w:rsid w:val="001D3ABE"/>
    <w:rsid w:val="001D494F"/>
    <w:rsid w:val="001E05DE"/>
    <w:rsid w:val="001F6769"/>
    <w:rsid w:val="00206EE8"/>
    <w:rsid w:val="0021132B"/>
    <w:rsid w:val="00215E00"/>
    <w:rsid w:val="002172AD"/>
    <w:rsid w:val="00221F03"/>
    <w:rsid w:val="00222DED"/>
    <w:rsid w:val="0022390C"/>
    <w:rsid w:val="00224283"/>
    <w:rsid w:val="002245B7"/>
    <w:rsid w:val="00231899"/>
    <w:rsid w:val="00234573"/>
    <w:rsid w:val="00240458"/>
    <w:rsid w:val="00242100"/>
    <w:rsid w:val="00243519"/>
    <w:rsid w:val="002457DD"/>
    <w:rsid w:val="002524D8"/>
    <w:rsid w:val="002535AD"/>
    <w:rsid w:val="00260D1E"/>
    <w:rsid w:val="002643A4"/>
    <w:rsid w:val="00271682"/>
    <w:rsid w:val="00271BD9"/>
    <w:rsid w:val="0027369B"/>
    <w:rsid w:val="00276230"/>
    <w:rsid w:val="00287250"/>
    <w:rsid w:val="00290890"/>
    <w:rsid w:val="002A3CC8"/>
    <w:rsid w:val="002A5605"/>
    <w:rsid w:val="002A69E8"/>
    <w:rsid w:val="002A7B2F"/>
    <w:rsid w:val="002B57EB"/>
    <w:rsid w:val="002C2A6F"/>
    <w:rsid w:val="002D2088"/>
    <w:rsid w:val="002D3A9C"/>
    <w:rsid w:val="002D7C14"/>
    <w:rsid w:val="002D7CB6"/>
    <w:rsid w:val="002E57F4"/>
    <w:rsid w:val="002E66A0"/>
    <w:rsid w:val="002E6A67"/>
    <w:rsid w:val="002E7BB6"/>
    <w:rsid w:val="002F4228"/>
    <w:rsid w:val="002F7D0E"/>
    <w:rsid w:val="00303D9F"/>
    <w:rsid w:val="003054E0"/>
    <w:rsid w:val="00306D76"/>
    <w:rsid w:val="00311B06"/>
    <w:rsid w:val="00311E24"/>
    <w:rsid w:val="003168F9"/>
    <w:rsid w:val="00316BA2"/>
    <w:rsid w:val="00336B63"/>
    <w:rsid w:val="00341076"/>
    <w:rsid w:val="00343F61"/>
    <w:rsid w:val="0034688F"/>
    <w:rsid w:val="0036049B"/>
    <w:rsid w:val="00370245"/>
    <w:rsid w:val="0037188D"/>
    <w:rsid w:val="0037498C"/>
    <w:rsid w:val="00376166"/>
    <w:rsid w:val="00380E8A"/>
    <w:rsid w:val="003876C0"/>
    <w:rsid w:val="003876D3"/>
    <w:rsid w:val="003A0075"/>
    <w:rsid w:val="003C7022"/>
    <w:rsid w:val="003D1EA3"/>
    <w:rsid w:val="003D234A"/>
    <w:rsid w:val="003D508A"/>
    <w:rsid w:val="003D66C8"/>
    <w:rsid w:val="003D6D65"/>
    <w:rsid w:val="003E700F"/>
    <w:rsid w:val="004008FC"/>
    <w:rsid w:val="0040337C"/>
    <w:rsid w:val="004044D4"/>
    <w:rsid w:val="004053AA"/>
    <w:rsid w:val="00412BEA"/>
    <w:rsid w:val="00414D96"/>
    <w:rsid w:val="004156BB"/>
    <w:rsid w:val="004175EC"/>
    <w:rsid w:val="004177F8"/>
    <w:rsid w:val="004232F2"/>
    <w:rsid w:val="00434C94"/>
    <w:rsid w:val="00443502"/>
    <w:rsid w:val="00444956"/>
    <w:rsid w:val="004459BA"/>
    <w:rsid w:val="00446833"/>
    <w:rsid w:val="00446E9D"/>
    <w:rsid w:val="00447638"/>
    <w:rsid w:val="00452C9C"/>
    <w:rsid w:val="00456207"/>
    <w:rsid w:val="00460AD3"/>
    <w:rsid w:val="00471AB9"/>
    <w:rsid w:val="004811A7"/>
    <w:rsid w:val="00484087"/>
    <w:rsid w:val="00485DA4"/>
    <w:rsid w:val="004879A7"/>
    <w:rsid w:val="004B250D"/>
    <w:rsid w:val="004B6052"/>
    <w:rsid w:val="004B7A1B"/>
    <w:rsid w:val="004D2823"/>
    <w:rsid w:val="004D57E7"/>
    <w:rsid w:val="004F5B91"/>
    <w:rsid w:val="005026A1"/>
    <w:rsid w:val="00502A6E"/>
    <w:rsid w:val="0051184F"/>
    <w:rsid w:val="00515536"/>
    <w:rsid w:val="00516BAC"/>
    <w:rsid w:val="00516F8C"/>
    <w:rsid w:val="00517C7B"/>
    <w:rsid w:val="005242B6"/>
    <w:rsid w:val="00524D77"/>
    <w:rsid w:val="00525407"/>
    <w:rsid w:val="00527B29"/>
    <w:rsid w:val="005313C1"/>
    <w:rsid w:val="005504FE"/>
    <w:rsid w:val="0055119A"/>
    <w:rsid w:val="00555B09"/>
    <w:rsid w:val="00560834"/>
    <w:rsid w:val="00561180"/>
    <w:rsid w:val="005800BD"/>
    <w:rsid w:val="00581EC3"/>
    <w:rsid w:val="00584FDD"/>
    <w:rsid w:val="00586579"/>
    <w:rsid w:val="005953DC"/>
    <w:rsid w:val="00597526"/>
    <w:rsid w:val="005A4221"/>
    <w:rsid w:val="005A4CD9"/>
    <w:rsid w:val="005A50E1"/>
    <w:rsid w:val="005A7974"/>
    <w:rsid w:val="005B36BD"/>
    <w:rsid w:val="005C5D2E"/>
    <w:rsid w:val="005D6AD7"/>
    <w:rsid w:val="006014BB"/>
    <w:rsid w:val="00606958"/>
    <w:rsid w:val="00606DFB"/>
    <w:rsid w:val="00611D37"/>
    <w:rsid w:val="00612B46"/>
    <w:rsid w:val="006301B2"/>
    <w:rsid w:val="00631CD9"/>
    <w:rsid w:val="00637843"/>
    <w:rsid w:val="006425B6"/>
    <w:rsid w:val="00646570"/>
    <w:rsid w:val="0065127F"/>
    <w:rsid w:val="00652F35"/>
    <w:rsid w:val="00656CD2"/>
    <w:rsid w:val="00662E70"/>
    <w:rsid w:val="00666F13"/>
    <w:rsid w:val="00674DB4"/>
    <w:rsid w:val="006765CA"/>
    <w:rsid w:val="006907A5"/>
    <w:rsid w:val="006948D3"/>
    <w:rsid w:val="00696040"/>
    <w:rsid w:val="006A4F1B"/>
    <w:rsid w:val="006A5856"/>
    <w:rsid w:val="006A7A6B"/>
    <w:rsid w:val="006B1B7A"/>
    <w:rsid w:val="006B3EE1"/>
    <w:rsid w:val="006B66D9"/>
    <w:rsid w:val="006B683C"/>
    <w:rsid w:val="006B7EA8"/>
    <w:rsid w:val="006C6E9C"/>
    <w:rsid w:val="006D0453"/>
    <w:rsid w:val="006D22C5"/>
    <w:rsid w:val="006E4E9E"/>
    <w:rsid w:val="006E540B"/>
    <w:rsid w:val="006E5632"/>
    <w:rsid w:val="006E77B9"/>
    <w:rsid w:val="006F37C6"/>
    <w:rsid w:val="00705A94"/>
    <w:rsid w:val="00712785"/>
    <w:rsid w:val="00715106"/>
    <w:rsid w:val="00720486"/>
    <w:rsid w:val="00721F55"/>
    <w:rsid w:val="007228AE"/>
    <w:rsid w:val="0072533A"/>
    <w:rsid w:val="007254EF"/>
    <w:rsid w:val="00726DFF"/>
    <w:rsid w:val="00731A0C"/>
    <w:rsid w:val="00734EA7"/>
    <w:rsid w:val="00736F06"/>
    <w:rsid w:val="00737E27"/>
    <w:rsid w:val="0074602E"/>
    <w:rsid w:val="00746B95"/>
    <w:rsid w:val="007471DF"/>
    <w:rsid w:val="007559FD"/>
    <w:rsid w:val="00770C41"/>
    <w:rsid w:val="007855CC"/>
    <w:rsid w:val="0078768A"/>
    <w:rsid w:val="007912A0"/>
    <w:rsid w:val="00791B74"/>
    <w:rsid w:val="00795A59"/>
    <w:rsid w:val="007A4717"/>
    <w:rsid w:val="007B4299"/>
    <w:rsid w:val="007B503A"/>
    <w:rsid w:val="007B56BA"/>
    <w:rsid w:val="007C266A"/>
    <w:rsid w:val="007C4235"/>
    <w:rsid w:val="007D5B27"/>
    <w:rsid w:val="007D6A23"/>
    <w:rsid w:val="007D7048"/>
    <w:rsid w:val="007F1BDB"/>
    <w:rsid w:val="008015D4"/>
    <w:rsid w:val="0080338D"/>
    <w:rsid w:val="00812370"/>
    <w:rsid w:val="00814F2A"/>
    <w:rsid w:val="00824A97"/>
    <w:rsid w:val="00833C32"/>
    <w:rsid w:val="00833F96"/>
    <w:rsid w:val="0083743C"/>
    <w:rsid w:val="00837A87"/>
    <w:rsid w:val="008411F0"/>
    <w:rsid w:val="00843B8E"/>
    <w:rsid w:val="0085093D"/>
    <w:rsid w:val="00851A30"/>
    <w:rsid w:val="008554B2"/>
    <w:rsid w:val="0086113C"/>
    <w:rsid w:val="00876D10"/>
    <w:rsid w:val="008804E5"/>
    <w:rsid w:val="0088208D"/>
    <w:rsid w:val="00893F01"/>
    <w:rsid w:val="00894A95"/>
    <w:rsid w:val="00897AFE"/>
    <w:rsid w:val="00897DAA"/>
    <w:rsid w:val="008A0CF9"/>
    <w:rsid w:val="008A167B"/>
    <w:rsid w:val="008A4061"/>
    <w:rsid w:val="008B1D60"/>
    <w:rsid w:val="008B2CC4"/>
    <w:rsid w:val="008B4F76"/>
    <w:rsid w:val="008B646A"/>
    <w:rsid w:val="008B6D98"/>
    <w:rsid w:val="008B7DDC"/>
    <w:rsid w:val="008C0DBD"/>
    <w:rsid w:val="008C566A"/>
    <w:rsid w:val="008D2C98"/>
    <w:rsid w:val="008D6E2F"/>
    <w:rsid w:val="008E6B84"/>
    <w:rsid w:val="008E769C"/>
    <w:rsid w:val="008F1F43"/>
    <w:rsid w:val="0091184D"/>
    <w:rsid w:val="00920BE2"/>
    <w:rsid w:val="0092653B"/>
    <w:rsid w:val="00927CC5"/>
    <w:rsid w:val="00932BFC"/>
    <w:rsid w:val="00941E2D"/>
    <w:rsid w:val="00942361"/>
    <w:rsid w:val="00944A00"/>
    <w:rsid w:val="00945A19"/>
    <w:rsid w:val="00945E9C"/>
    <w:rsid w:val="0095231C"/>
    <w:rsid w:val="00952C93"/>
    <w:rsid w:val="00954CAC"/>
    <w:rsid w:val="00960195"/>
    <w:rsid w:val="009763FC"/>
    <w:rsid w:val="00976CDB"/>
    <w:rsid w:val="009849F4"/>
    <w:rsid w:val="00985646"/>
    <w:rsid w:val="0098637B"/>
    <w:rsid w:val="009961E2"/>
    <w:rsid w:val="00997A75"/>
    <w:rsid w:val="009A2B02"/>
    <w:rsid w:val="009A3581"/>
    <w:rsid w:val="009A40CE"/>
    <w:rsid w:val="009A78D2"/>
    <w:rsid w:val="009B18FB"/>
    <w:rsid w:val="009B42EE"/>
    <w:rsid w:val="009C78FB"/>
    <w:rsid w:val="009D39EC"/>
    <w:rsid w:val="009E372A"/>
    <w:rsid w:val="009E76D6"/>
    <w:rsid w:val="009E7A52"/>
    <w:rsid w:val="009E7D47"/>
    <w:rsid w:val="009F50F7"/>
    <w:rsid w:val="00A00B0D"/>
    <w:rsid w:val="00A03BC7"/>
    <w:rsid w:val="00A07DA2"/>
    <w:rsid w:val="00A11B83"/>
    <w:rsid w:val="00A15D1F"/>
    <w:rsid w:val="00A170DD"/>
    <w:rsid w:val="00A312A3"/>
    <w:rsid w:val="00A3199C"/>
    <w:rsid w:val="00A327C4"/>
    <w:rsid w:val="00A32DF1"/>
    <w:rsid w:val="00A35BBF"/>
    <w:rsid w:val="00A40EF7"/>
    <w:rsid w:val="00A43CAC"/>
    <w:rsid w:val="00A43FC7"/>
    <w:rsid w:val="00A463E7"/>
    <w:rsid w:val="00A525D6"/>
    <w:rsid w:val="00A66D37"/>
    <w:rsid w:val="00A730C3"/>
    <w:rsid w:val="00A74493"/>
    <w:rsid w:val="00A84679"/>
    <w:rsid w:val="00A84DB2"/>
    <w:rsid w:val="00A91749"/>
    <w:rsid w:val="00A95F83"/>
    <w:rsid w:val="00A96F7F"/>
    <w:rsid w:val="00AA3046"/>
    <w:rsid w:val="00AA6A6E"/>
    <w:rsid w:val="00AC440E"/>
    <w:rsid w:val="00AD117E"/>
    <w:rsid w:val="00AD2FC6"/>
    <w:rsid w:val="00AD39F7"/>
    <w:rsid w:val="00AE622F"/>
    <w:rsid w:val="00AF5BFB"/>
    <w:rsid w:val="00B00C83"/>
    <w:rsid w:val="00B05119"/>
    <w:rsid w:val="00B052AD"/>
    <w:rsid w:val="00B060C5"/>
    <w:rsid w:val="00B0620D"/>
    <w:rsid w:val="00B12ADE"/>
    <w:rsid w:val="00B1624E"/>
    <w:rsid w:val="00B167B3"/>
    <w:rsid w:val="00B173CA"/>
    <w:rsid w:val="00B1772A"/>
    <w:rsid w:val="00B22EA6"/>
    <w:rsid w:val="00B25866"/>
    <w:rsid w:val="00B318B3"/>
    <w:rsid w:val="00B34148"/>
    <w:rsid w:val="00B43A25"/>
    <w:rsid w:val="00B57F54"/>
    <w:rsid w:val="00B63428"/>
    <w:rsid w:val="00B66635"/>
    <w:rsid w:val="00B75DFF"/>
    <w:rsid w:val="00B809DE"/>
    <w:rsid w:val="00B850A1"/>
    <w:rsid w:val="00B85724"/>
    <w:rsid w:val="00B97E74"/>
    <w:rsid w:val="00BA7D76"/>
    <w:rsid w:val="00BB06D7"/>
    <w:rsid w:val="00BB2A4A"/>
    <w:rsid w:val="00BC368B"/>
    <w:rsid w:val="00BC549E"/>
    <w:rsid w:val="00BD04F6"/>
    <w:rsid w:val="00BD111E"/>
    <w:rsid w:val="00BD1D65"/>
    <w:rsid w:val="00BD2B37"/>
    <w:rsid w:val="00BD4638"/>
    <w:rsid w:val="00BD759B"/>
    <w:rsid w:val="00BF1333"/>
    <w:rsid w:val="00BF2837"/>
    <w:rsid w:val="00BF53EA"/>
    <w:rsid w:val="00BF6CC2"/>
    <w:rsid w:val="00BF6DDE"/>
    <w:rsid w:val="00BF7185"/>
    <w:rsid w:val="00C03D26"/>
    <w:rsid w:val="00C071DA"/>
    <w:rsid w:val="00C072EB"/>
    <w:rsid w:val="00C07BE8"/>
    <w:rsid w:val="00C10B44"/>
    <w:rsid w:val="00C16446"/>
    <w:rsid w:val="00C239FA"/>
    <w:rsid w:val="00C277F1"/>
    <w:rsid w:val="00C328E7"/>
    <w:rsid w:val="00C34577"/>
    <w:rsid w:val="00C36897"/>
    <w:rsid w:val="00C412A3"/>
    <w:rsid w:val="00C47AE4"/>
    <w:rsid w:val="00C509DD"/>
    <w:rsid w:val="00C50DAF"/>
    <w:rsid w:val="00C530D5"/>
    <w:rsid w:val="00C54785"/>
    <w:rsid w:val="00C612E9"/>
    <w:rsid w:val="00C64499"/>
    <w:rsid w:val="00C70231"/>
    <w:rsid w:val="00C71259"/>
    <w:rsid w:val="00C73D21"/>
    <w:rsid w:val="00C81E5F"/>
    <w:rsid w:val="00C84D48"/>
    <w:rsid w:val="00C97875"/>
    <w:rsid w:val="00C979B1"/>
    <w:rsid w:val="00CA29C9"/>
    <w:rsid w:val="00CA4C2E"/>
    <w:rsid w:val="00CB4F13"/>
    <w:rsid w:val="00CB51E5"/>
    <w:rsid w:val="00CC0B35"/>
    <w:rsid w:val="00CC607D"/>
    <w:rsid w:val="00CD6670"/>
    <w:rsid w:val="00CE09FC"/>
    <w:rsid w:val="00CE12BB"/>
    <w:rsid w:val="00CE3B07"/>
    <w:rsid w:val="00CE3BF4"/>
    <w:rsid w:val="00CE5947"/>
    <w:rsid w:val="00CE6497"/>
    <w:rsid w:val="00CF103F"/>
    <w:rsid w:val="00CF1F91"/>
    <w:rsid w:val="00CF4899"/>
    <w:rsid w:val="00D00BAA"/>
    <w:rsid w:val="00D30ED0"/>
    <w:rsid w:val="00D3523F"/>
    <w:rsid w:val="00D35823"/>
    <w:rsid w:val="00D36E10"/>
    <w:rsid w:val="00D40750"/>
    <w:rsid w:val="00D43ECE"/>
    <w:rsid w:val="00D507F6"/>
    <w:rsid w:val="00D56B8D"/>
    <w:rsid w:val="00D756D8"/>
    <w:rsid w:val="00D75AE2"/>
    <w:rsid w:val="00D76E58"/>
    <w:rsid w:val="00D8102A"/>
    <w:rsid w:val="00D829D4"/>
    <w:rsid w:val="00D90131"/>
    <w:rsid w:val="00D97D4F"/>
    <w:rsid w:val="00DA0FB0"/>
    <w:rsid w:val="00DA3F09"/>
    <w:rsid w:val="00DA6C5A"/>
    <w:rsid w:val="00DA78D4"/>
    <w:rsid w:val="00DB3B55"/>
    <w:rsid w:val="00DB7E13"/>
    <w:rsid w:val="00DD7640"/>
    <w:rsid w:val="00DE1990"/>
    <w:rsid w:val="00DE3A0C"/>
    <w:rsid w:val="00DF0A7F"/>
    <w:rsid w:val="00E022AE"/>
    <w:rsid w:val="00E02633"/>
    <w:rsid w:val="00E129D3"/>
    <w:rsid w:val="00E15DAE"/>
    <w:rsid w:val="00E173BF"/>
    <w:rsid w:val="00E2657F"/>
    <w:rsid w:val="00E323F9"/>
    <w:rsid w:val="00E32C0D"/>
    <w:rsid w:val="00E3611F"/>
    <w:rsid w:val="00E37F41"/>
    <w:rsid w:val="00E40E37"/>
    <w:rsid w:val="00E4195D"/>
    <w:rsid w:val="00E41DC9"/>
    <w:rsid w:val="00E4273F"/>
    <w:rsid w:val="00E44F92"/>
    <w:rsid w:val="00E46585"/>
    <w:rsid w:val="00E50B95"/>
    <w:rsid w:val="00E536AC"/>
    <w:rsid w:val="00E53D1C"/>
    <w:rsid w:val="00E65DDA"/>
    <w:rsid w:val="00E7279C"/>
    <w:rsid w:val="00E72859"/>
    <w:rsid w:val="00E75FBB"/>
    <w:rsid w:val="00E80B2E"/>
    <w:rsid w:val="00E8227B"/>
    <w:rsid w:val="00E8625C"/>
    <w:rsid w:val="00E929BA"/>
    <w:rsid w:val="00EA35A2"/>
    <w:rsid w:val="00EB5689"/>
    <w:rsid w:val="00EB7E11"/>
    <w:rsid w:val="00EC21E6"/>
    <w:rsid w:val="00EC34D2"/>
    <w:rsid w:val="00EC7DEE"/>
    <w:rsid w:val="00ED26CF"/>
    <w:rsid w:val="00ED60E3"/>
    <w:rsid w:val="00ED781A"/>
    <w:rsid w:val="00EE0AE8"/>
    <w:rsid w:val="00EE6611"/>
    <w:rsid w:val="00EF16B9"/>
    <w:rsid w:val="00EF2ABF"/>
    <w:rsid w:val="00F006FB"/>
    <w:rsid w:val="00F03692"/>
    <w:rsid w:val="00F03AF2"/>
    <w:rsid w:val="00F07C9C"/>
    <w:rsid w:val="00F13E90"/>
    <w:rsid w:val="00F149C1"/>
    <w:rsid w:val="00F14B04"/>
    <w:rsid w:val="00F17D78"/>
    <w:rsid w:val="00F2055C"/>
    <w:rsid w:val="00F26032"/>
    <w:rsid w:val="00F30B28"/>
    <w:rsid w:val="00F312A6"/>
    <w:rsid w:val="00F4334C"/>
    <w:rsid w:val="00F51122"/>
    <w:rsid w:val="00F55B6A"/>
    <w:rsid w:val="00F57EFC"/>
    <w:rsid w:val="00F617AA"/>
    <w:rsid w:val="00F6504B"/>
    <w:rsid w:val="00F76EA1"/>
    <w:rsid w:val="00F76F3E"/>
    <w:rsid w:val="00F77C67"/>
    <w:rsid w:val="00F86DDA"/>
    <w:rsid w:val="00F91F67"/>
    <w:rsid w:val="00F96AEA"/>
    <w:rsid w:val="00FB2282"/>
    <w:rsid w:val="00FB3B4A"/>
    <w:rsid w:val="00FC10E2"/>
    <w:rsid w:val="00FC1E0C"/>
    <w:rsid w:val="00FC2D7A"/>
    <w:rsid w:val="00FC483D"/>
    <w:rsid w:val="00FC5B2D"/>
    <w:rsid w:val="00FC7AED"/>
    <w:rsid w:val="00FD4569"/>
    <w:rsid w:val="00FD5959"/>
    <w:rsid w:val="00FD6A8D"/>
    <w:rsid w:val="00FE21FB"/>
    <w:rsid w:val="00FE4611"/>
    <w:rsid w:val="00FE4E3D"/>
    <w:rsid w:val="00FF366A"/>
    <w:rsid w:val="00FF5A72"/>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734C2"/>
  <w15:chartTrackingRefBased/>
  <w15:docId w15:val="{5FD4989D-600D-F048-B621-C4869F25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7F4"/>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071DA"/>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GB" w:eastAsia="en-US"/>
      <w14:ligatures w14:val="standardContextual"/>
    </w:rPr>
  </w:style>
  <w:style w:type="paragraph" w:styleId="Heading2">
    <w:name w:val="heading 2"/>
    <w:basedOn w:val="Normal"/>
    <w:next w:val="Normal"/>
    <w:link w:val="Heading2Char"/>
    <w:uiPriority w:val="9"/>
    <w:unhideWhenUsed/>
    <w:qFormat/>
    <w:rsid w:val="00C071DA"/>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GB" w:eastAsia="en-US"/>
      <w14:ligatures w14:val="standardContextual"/>
    </w:rPr>
  </w:style>
  <w:style w:type="paragraph" w:styleId="Heading3">
    <w:name w:val="heading 3"/>
    <w:basedOn w:val="Normal"/>
    <w:next w:val="Normal"/>
    <w:link w:val="Heading3Char"/>
    <w:uiPriority w:val="9"/>
    <w:unhideWhenUsed/>
    <w:qFormat/>
    <w:rsid w:val="00C071DA"/>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GB" w:eastAsia="en-US"/>
      <w14:ligatures w14:val="standardContextual"/>
    </w:rPr>
  </w:style>
  <w:style w:type="paragraph" w:styleId="Heading4">
    <w:name w:val="heading 4"/>
    <w:basedOn w:val="Normal"/>
    <w:next w:val="Normal"/>
    <w:link w:val="Heading4Char"/>
    <w:uiPriority w:val="9"/>
    <w:unhideWhenUsed/>
    <w:qFormat/>
    <w:rsid w:val="00C071DA"/>
    <w:pPr>
      <w:keepNext/>
      <w:keepLines/>
      <w:spacing w:before="80" w:after="40"/>
      <w:outlineLvl w:val="3"/>
    </w:pPr>
    <w:rPr>
      <w:rFonts w:asciiTheme="minorHAnsi" w:eastAsiaTheme="majorEastAsia" w:hAnsiTheme="minorHAnsi" w:cstheme="majorBidi"/>
      <w:i/>
      <w:iCs/>
      <w:color w:val="2F5496" w:themeColor="accent1" w:themeShade="BF"/>
      <w:kern w:val="2"/>
      <w:lang w:val="en-GB" w:eastAsia="en-US"/>
      <w14:ligatures w14:val="standardContextual"/>
    </w:rPr>
  </w:style>
  <w:style w:type="paragraph" w:styleId="Heading5">
    <w:name w:val="heading 5"/>
    <w:basedOn w:val="Normal"/>
    <w:next w:val="Normal"/>
    <w:link w:val="Heading5Char"/>
    <w:uiPriority w:val="9"/>
    <w:semiHidden/>
    <w:unhideWhenUsed/>
    <w:qFormat/>
    <w:rsid w:val="00C071DA"/>
    <w:pPr>
      <w:keepNext/>
      <w:keepLines/>
      <w:spacing w:before="80" w:after="40"/>
      <w:outlineLvl w:val="4"/>
    </w:pPr>
    <w:rPr>
      <w:rFonts w:asciiTheme="minorHAnsi" w:eastAsiaTheme="majorEastAsia" w:hAnsiTheme="minorHAnsi" w:cstheme="majorBidi"/>
      <w:color w:val="2F5496" w:themeColor="accent1" w:themeShade="BF"/>
      <w:kern w:val="2"/>
      <w:lang w:val="en-GB" w:eastAsia="en-US"/>
      <w14:ligatures w14:val="standardContextual"/>
    </w:rPr>
  </w:style>
  <w:style w:type="paragraph" w:styleId="Heading6">
    <w:name w:val="heading 6"/>
    <w:basedOn w:val="Normal"/>
    <w:next w:val="Normal"/>
    <w:link w:val="Heading6Char"/>
    <w:uiPriority w:val="9"/>
    <w:semiHidden/>
    <w:unhideWhenUsed/>
    <w:qFormat/>
    <w:rsid w:val="00C071DA"/>
    <w:pPr>
      <w:keepNext/>
      <w:keepLines/>
      <w:spacing w:before="40"/>
      <w:outlineLvl w:val="5"/>
    </w:pPr>
    <w:rPr>
      <w:rFonts w:asciiTheme="minorHAnsi" w:eastAsiaTheme="majorEastAsia" w:hAnsiTheme="minorHAnsi" w:cstheme="majorBidi"/>
      <w:i/>
      <w:iCs/>
      <w:color w:val="595959" w:themeColor="text1" w:themeTint="A6"/>
      <w:kern w:val="2"/>
      <w:lang w:val="en-GB" w:eastAsia="en-US"/>
      <w14:ligatures w14:val="standardContextual"/>
    </w:rPr>
  </w:style>
  <w:style w:type="paragraph" w:styleId="Heading7">
    <w:name w:val="heading 7"/>
    <w:basedOn w:val="Normal"/>
    <w:next w:val="Normal"/>
    <w:link w:val="Heading7Char"/>
    <w:uiPriority w:val="9"/>
    <w:semiHidden/>
    <w:unhideWhenUsed/>
    <w:qFormat/>
    <w:rsid w:val="00C071DA"/>
    <w:pPr>
      <w:keepNext/>
      <w:keepLines/>
      <w:spacing w:before="40"/>
      <w:outlineLvl w:val="6"/>
    </w:pPr>
    <w:rPr>
      <w:rFonts w:asciiTheme="minorHAnsi" w:eastAsiaTheme="majorEastAsia" w:hAnsiTheme="minorHAnsi" w:cstheme="majorBidi"/>
      <w:color w:val="595959" w:themeColor="text1" w:themeTint="A6"/>
      <w:kern w:val="2"/>
      <w:lang w:val="en-GB" w:eastAsia="en-US"/>
      <w14:ligatures w14:val="standardContextual"/>
    </w:rPr>
  </w:style>
  <w:style w:type="paragraph" w:styleId="Heading8">
    <w:name w:val="heading 8"/>
    <w:basedOn w:val="Normal"/>
    <w:next w:val="Normal"/>
    <w:link w:val="Heading8Char"/>
    <w:uiPriority w:val="9"/>
    <w:semiHidden/>
    <w:unhideWhenUsed/>
    <w:qFormat/>
    <w:rsid w:val="00C071DA"/>
    <w:pPr>
      <w:keepNext/>
      <w:keepLines/>
      <w:outlineLvl w:val="7"/>
    </w:pPr>
    <w:rPr>
      <w:rFonts w:asciiTheme="minorHAnsi" w:eastAsiaTheme="majorEastAsia" w:hAnsiTheme="minorHAnsi" w:cstheme="majorBidi"/>
      <w:i/>
      <w:iCs/>
      <w:color w:val="272727" w:themeColor="text1" w:themeTint="D8"/>
      <w:kern w:val="2"/>
      <w:lang w:val="en-GB" w:eastAsia="en-US"/>
      <w14:ligatures w14:val="standardContextual"/>
    </w:rPr>
  </w:style>
  <w:style w:type="paragraph" w:styleId="Heading9">
    <w:name w:val="heading 9"/>
    <w:basedOn w:val="Normal"/>
    <w:next w:val="Normal"/>
    <w:link w:val="Heading9Char"/>
    <w:uiPriority w:val="9"/>
    <w:semiHidden/>
    <w:unhideWhenUsed/>
    <w:qFormat/>
    <w:rsid w:val="00C071DA"/>
    <w:pPr>
      <w:keepNext/>
      <w:keepLines/>
      <w:outlineLvl w:val="8"/>
    </w:pPr>
    <w:rPr>
      <w:rFonts w:asciiTheme="minorHAnsi" w:eastAsiaTheme="majorEastAsia" w:hAnsiTheme="minorHAnsi" w:cstheme="majorBidi"/>
      <w:color w:val="272727" w:themeColor="text1" w:themeTint="D8"/>
      <w:kern w:val="2"/>
      <w:lang w:val="en-GB"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71DA"/>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rsid w:val="00C071DA"/>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rsid w:val="00C071DA"/>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rsid w:val="00C071DA"/>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C071DA"/>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C071DA"/>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071DA"/>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071DA"/>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071DA"/>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C071DA"/>
    <w:pPr>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C071D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071DA"/>
    <w:pPr>
      <w:numPr>
        <w:ilvl w:val="1"/>
      </w:numPr>
      <w:spacing w:after="160"/>
    </w:pPr>
    <w:rPr>
      <w:rFonts w:asciiTheme="minorHAnsi" w:eastAsiaTheme="majorEastAsia" w:hAnsiTheme="minorHAnsi" w:cstheme="majorBidi"/>
      <w:color w:val="595959" w:themeColor="text1" w:themeTint="A6"/>
      <w:spacing w:val="15"/>
      <w:kern w:val="2"/>
      <w:sz w:val="28"/>
      <w:szCs w:val="28"/>
      <w:lang w:val="en-GB" w:eastAsia="en-US"/>
      <w14:ligatures w14:val="standardContextual"/>
    </w:rPr>
  </w:style>
  <w:style w:type="character" w:customStyle="1" w:styleId="SubtitleChar">
    <w:name w:val="Subtitle Char"/>
    <w:basedOn w:val="DefaultParagraphFont"/>
    <w:link w:val="Subtitle"/>
    <w:uiPriority w:val="11"/>
    <w:rsid w:val="00C071DA"/>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071DA"/>
    <w:pPr>
      <w:spacing w:before="160" w:after="160"/>
      <w:jc w:val="center"/>
    </w:pPr>
    <w:rPr>
      <w:rFonts w:asciiTheme="minorHAnsi" w:eastAsiaTheme="minorHAnsi" w:hAnsiTheme="minorHAnsi" w:cstheme="minorBidi"/>
      <w:i/>
      <w:iCs/>
      <w:color w:val="404040" w:themeColor="text1" w:themeTint="BF"/>
      <w:kern w:val="2"/>
      <w:lang w:val="en-GB" w:eastAsia="en-US"/>
      <w14:ligatures w14:val="standardContextual"/>
    </w:rPr>
  </w:style>
  <w:style w:type="character" w:customStyle="1" w:styleId="QuoteChar">
    <w:name w:val="Quote Char"/>
    <w:basedOn w:val="DefaultParagraphFont"/>
    <w:link w:val="Quote"/>
    <w:uiPriority w:val="29"/>
    <w:rsid w:val="00C071DA"/>
    <w:rPr>
      <w:i/>
      <w:iCs/>
      <w:color w:val="404040" w:themeColor="text1" w:themeTint="BF"/>
      <w:lang w:val="en-GB"/>
    </w:rPr>
  </w:style>
  <w:style w:type="paragraph" w:styleId="ListParagraph">
    <w:name w:val="List Paragraph"/>
    <w:basedOn w:val="Normal"/>
    <w:uiPriority w:val="34"/>
    <w:qFormat/>
    <w:rsid w:val="00C071DA"/>
    <w:pPr>
      <w:ind w:left="720"/>
      <w:contextualSpacing/>
    </w:pPr>
    <w:rPr>
      <w:rFonts w:asciiTheme="minorHAnsi" w:eastAsiaTheme="minorHAnsi" w:hAnsiTheme="minorHAnsi" w:cstheme="minorBidi"/>
      <w:kern w:val="2"/>
      <w:lang w:val="en-GB" w:eastAsia="en-US"/>
      <w14:ligatures w14:val="standardContextual"/>
    </w:rPr>
  </w:style>
  <w:style w:type="character" w:styleId="IntenseEmphasis">
    <w:name w:val="Intense Emphasis"/>
    <w:basedOn w:val="DefaultParagraphFont"/>
    <w:uiPriority w:val="21"/>
    <w:qFormat/>
    <w:rsid w:val="00C071DA"/>
    <w:rPr>
      <w:i/>
      <w:iCs/>
      <w:color w:val="2F5496" w:themeColor="accent1" w:themeShade="BF"/>
    </w:rPr>
  </w:style>
  <w:style w:type="paragraph" w:styleId="IntenseQuote">
    <w:name w:val="Intense Quote"/>
    <w:basedOn w:val="Normal"/>
    <w:next w:val="Normal"/>
    <w:link w:val="IntenseQuoteChar"/>
    <w:uiPriority w:val="30"/>
    <w:qFormat/>
    <w:rsid w:val="00C071DA"/>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en-GB" w:eastAsia="en-US"/>
      <w14:ligatures w14:val="standardContextual"/>
    </w:rPr>
  </w:style>
  <w:style w:type="character" w:customStyle="1" w:styleId="IntenseQuoteChar">
    <w:name w:val="Intense Quote Char"/>
    <w:basedOn w:val="DefaultParagraphFont"/>
    <w:link w:val="IntenseQuote"/>
    <w:uiPriority w:val="30"/>
    <w:rsid w:val="00C071DA"/>
    <w:rPr>
      <w:i/>
      <w:iCs/>
      <w:color w:val="2F5496" w:themeColor="accent1" w:themeShade="BF"/>
      <w:lang w:val="en-GB"/>
    </w:rPr>
  </w:style>
  <w:style w:type="character" w:styleId="IntenseReference">
    <w:name w:val="Intense Reference"/>
    <w:basedOn w:val="DefaultParagraphFont"/>
    <w:uiPriority w:val="32"/>
    <w:qFormat/>
    <w:rsid w:val="00C071DA"/>
    <w:rPr>
      <w:b/>
      <w:bCs/>
      <w:smallCaps/>
      <w:color w:val="2F5496" w:themeColor="accent1" w:themeShade="BF"/>
      <w:spacing w:val="5"/>
    </w:rPr>
  </w:style>
  <w:style w:type="paragraph" w:styleId="NormalWeb">
    <w:name w:val="Normal (Web)"/>
    <w:basedOn w:val="Normal"/>
    <w:uiPriority w:val="99"/>
    <w:unhideWhenUsed/>
    <w:rsid w:val="001678C9"/>
    <w:pPr>
      <w:spacing w:before="100" w:beforeAutospacing="1" w:after="100" w:afterAutospacing="1"/>
    </w:pPr>
  </w:style>
  <w:style w:type="character" w:styleId="Hyperlink">
    <w:name w:val="Hyperlink"/>
    <w:basedOn w:val="DefaultParagraphFont"/>
    <w:uiPriority w:val="99"/>
    <w:unhideWhenUsed/>
    <w:rsid w:val="001678C9"/>
    <w:rPr>
      <w:color w:val="0000FF"/>
      <w:u w:val="single"/>
    </w:rPr>
  </w:style>
  <w:style w:type="table" w:styleId="TableGrid">
    <w:name w:val="Table Grid"/>
    <w:basedOn w:val="TableNormal"/>
    <w:uiPriority w:val="59"/>
    <w:rsid w:val="001678C9"/>
    <w:rPr>
      <w:kern w:val="0"/>
      <w:sz w:val="22"/>
      <w:szCs w:val="22"/>
      <w:lang w:val="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Text"/>
    <w:aliases w:val="MT"/>
    <w:basedOn w:val="Normal"/>
    <w:rsid w:val="001678C9"/>
    <w:pPr>
      <w:spacing w:line="240" w:lineRule="atLeast"/>
      <w:ind w:firstLine="300"/>
      <w:jc w:val="both"/>
    </w:pPr>
    <w:rPr>
      <w:sz w:val="20"/>
      <w:szCs w:val="20"/>
      <w:lang w:val="en-GB" w:eastAsia="en-US"/>
    </w:rPr>
  </w:style>
  <w:style w:type="paragraph" w:styleId="TOCHeading">
    <w:name w:val="TOC Heading"/>
    <w:basedOn w:val="Heading1"/>
    <w:next w:val="Normal"/>
    <w:uiPriority w:val="39"/>
    <w:unhideWhenUsed/>
    <w:qFormat/>
    <w:rsid w:val="00CF103F"/>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CF103F"/>
    <w:pPr>
      <w:spacing w:before="120"/>
    </w:pPr>
    <w:rPr>
      <w:rFonts w:asciiTheme="minorHAnsi" w:eastAsiaTheme="minorHAnsi" w:hAnsiTheme="minorHAnsi" w:cstheme="minorHAnsi"/>
      <w:b/>
      <w:bCs/>
      <w:i/>
      <w:iCs/>
      <w:kern w:val="2"/>
      <w:lang w:val="en-GB" w:eastAsia="en-US"/>
      <w14:ligatures w14:val="standardContextual"/>
    </w:rPr>
  </w:style>
  <w:style w:type="paragraph" w:styleId="TOC3">
    <w:name w:val="toc 3"/>
    <w:basedOn w:val="Normal"/>
    <w:next w:val="Normal"/>
    <w:autoRedefine/>
    <w:uiPriority w:val="39"/>
    <w:unhideWhenUsed/>
    <w:rsid w:val="00CF103F"/>
    <w:pPr>
      <w:ind w:left="480"/>
    </w:pPr>
    <w:rPr>
      <w:rFonts w:asciiTheme="minorHAnsi" w:eastAsiaTheme="minorHAnsi" w:hAnsiTheme="minorHAnsi" w:cstheme="minorHAnsi"/>
      <w:kern w:val="2"/>
      <w:sz w:val="20"/>
      <w:szCs w:val="20"/>
      <w:lang w:val="en-GB" w:eastAsia="en-US"/>
      <w14:ligatures w14:val="standardContextual"/>
    </w:rPr>
  </w:style>
  <w:style w:type="paragraph" w:styleId="TOC2">
    <w:name w:val="toc 2"/>
    <w:basedOn w:val="Normal"/>
    <w:next w:val="Normal"/>
    <w:autoRedefine/>
    <w:uiPriority w:val="39"/>
    <w:unhideWhenUsed/>
    <w:rsid w:val="00CF103F"/>
    <w:pPr>
      <w:spacing w:before="120"/>
      <w:ind w:left="240"/>
    </w:pPr>
    <w:rPr>
      <w:rFonts w:asciiTheme="minorHAnsi" w:eastAsiaTheme="minorHAnsi" w:hAnsiTheme="minorHAnsi" w:cstheme="minorHAnsi"/>
      <w:b/>
      <w:bCs/>
      <w:kern w:val="2"/>
      <w:sz w:val="22"/>
      <w:szCs w:val="22"/>
      <w:lang w:val="en-GB" w:eastAsia="en-US"/>
      <w14:ligatures w14:val="standardContextual"/>
    </w:rPr>
  </w:style>
  <w:style w:type="paragraph" w:styleId="TOC4">
    <w:name w:val="toc 4"/>
    <w:basedOn w:val="Normal"/>
    <w:next w:val="Normal"/>
    <w:autoRedefine/>
    <w:uiPriority w:val="39"/>
    <w:semiHidden/>
    <w:unhideWhenUsed/>
    <w:rsid w:val="00CF103F"/>
    <w:pPr>
      <w:ind w:left="720"/>
    </w:pPr>
    <w:rPr>
      <w:rFonts w:asciiTheme="minorHAnsi" w:eastAsiaTheme="minorHAnsi" w:hAnsiTheme="minorHAnsi" w:cstheme="minorHAnsi"/>
      <w:kern w:val="2"/>
      <w:sz w:val="20"/>
      <w:szCs w:val="20"/>
      <w:lang w:val="en-GB" w:eastAsia="en-US"/>
      <w14:ligatures w14:val="standardContextual"/>
    </w:rPr>
  </w:style>
  <w:style w:type="paragraph" w:styleId="TOC5">
    <w:name w:val="toc 5"/>
    <w:basedOn w:val="Normal"/>
    <w:next w:val="Normal"/>
    <w:autoRedefine/>
    <w:uiPriority w:val="39"/>
    <w:semiHidden/>
    <w:unhideWhenUsed/>
    <w:rsid w:val="00CF103F"/>
    <w:pPr>
      <w:ind w:left="960"/>
    </w:pPr>
    <w:rPr>
      <w:rFonts w:asciiTheme="minorHAnsi" w:eastAsiaTheme="minorHAnsi" w:hAnsiTheme="minorHAnsi" w:cstheme="minorHAnsi"/>
      <w:kern w:val="2"/>
      <w:sz w:val="20"/>
      <w:szCs w:val="20"/>
      <w:lang w:val="en-GB" w:eastAsia="en-US"/>
      <w14:ligatures w14:val="standardContextual"/>
    </w:rPr>
  </w:style>
  <w:style w:type="paragraph" w:styleId="TOC6">
    <w:name w:val="toc 6"/>
    <w:basedOn w:val="Normal"/>
    <w:next w:val="Normal"/>
    <w:autoRedefine/>
    <w:uiPriority w:val="39"/>
    <w:semiHidden/>
    <w:unhideWhenUsed/>
    <w:rsid w:val="00CF103F"/>
    <w:pPr>
      <w:ind w:left="1200"/>
    </w:pPr>
    <w:rPr>
      <w:rFonts w:asciiTheme="minorHAnsi" w:eastAsiaTheme="minorHAnsi" w:hAnsiTheme="minorHAnsi" w:cstheme="minorHAnsi"/>
      <w:kern w:val="2"/>
      <w:sz w:val="20"/>
      <w:szCs w:val="20"/>
      <w:lang w:val="en-GB" w:eastAsia="en-US"/>
      <w14:ligatures w14:val="standardContextual"/>
    </w:rPr>
  </w:style>
  <w:style w:type="paragraph" w:styleId="TOC7">
    <w:name w:val="toc 7"/>
    <w:basedOn w:val="Normal"/>
    <w:next w:val="Normal"/>
    <w:autoRedefine/>
    <w:uiPriority w:val="39"/>
    <w:semiHidden/>
    <w:unhideWhenUsed/>
    <w:rsid w:val="00CF103F"/>
    <w:pPr>
      <w:ind w:left="1440"/>
    </w:pPr>
    <w:rPr>
      <w:rFonts w:asciiTheme="minorHAnsi" w:eastAsiaTheme="minorHAnsi" w:hAnsiTheme="minorHAnsi" w:cstheme="minorHAnsi"/>
      <w:kern w:val="2"/>
      <w:sz w:val="20"/>
      <w:szCs w:val="20"/>
      <w:lang w:val="en-GB" w:eastAsia="en-US"/>
      <w14:ligatures w14:val="standardContextual"/>
    </w:rPr>
  </w:style>
  <w:style w:type="paragraph" w:styleId="TOC8">
    <w:name w:val="toc 8"/>
    <w:basedOn w:val="Normal"/>
    <w:next w:val="Normal"/>
    <w:autoRedefine/>
    <w:uiPriority w:val="39"/>
    <w:semiHidden/>
    <w:unhideWhenUsed/>
    <w:rsid w:val="00CF103F"/>
    <w:pPr>
      <w:ind w:left="1680"/>
    </w:pPr>
    <w:rPr>
      <w:rFonts w:asciiTheme="minorHAnsi" w:eastAsiaTheme="minorHAnsi" w:hAnsiTheme="minorHAnsi" w:cstheme="minorHAnsi"/>
      <w:kern w:val="2"/>
      <w:sz w:val="20"/>
      <w:szCs w:val="20"/>
      <w:lang w:val="en-GB" w:eastAsia="en-US"/>
      <w14:ligatures w14:val="standardContextual"/>
    </w:rPr>
  </w:style>
  <w:style w:type="paragraph" w:styleId="TOC9">
    <w:name w:val="toc 9"/>
    <w:basedOn w:val="Normal"/>
    <w:next w:val="Normal"/>
    <w:autoRedefine/>
    <w:uiPriority w:val="39"/>
    <w:semiHidden/>
    <w:unhideWhenUsed/>
    <w:rsid w:val="00CF103F"/>
    <w:pPr>
      <w:ind w:left="1920"/>
    </w:pPr>
    <w:rPr>
      <w:rFonts w:asciiTheme="minorHAnsi" w:eastAsiaTheme="minorHAnsi" w:hAnsiTheme="minorHAnsi" w:cstheme="minorHAnsi"/>
      <w:kern w:val="2"/>
      <w:sz w:val="20"/>
      <w:szCs w:val="20"/>
      <w:lang w:val="en-GB" w:eastAsia="en-US"/>
      <w14:ligatures w14:val="standardContextual"/>
    </w:rPr>
  </w:style>
  <w:style w:type="paragraph" w:styleId="Bibliography">
    <w:name w:val="Bibliography"/>
    <w:basedOn w:val="Normal"/>
    <w:next w:val="Normal"/>
    <w:uiPriority w:val="37"/>
    <w:unhideWhenUsed/>
    <w:rsid w:val="00243519"/>
    <w:pPr>
      <w:tabs>
        <w:tab w:val="left" w:pos="500"/>
      </w:tabs>
      <w:ind w:left="504" w:hanging="504"/>
    </w:pPr>
    <w:rPr>
      <w:rFonts w:asciiTheme="minorHAnsi" w:eastAsiaTheme="minorHAnsi" w:hAnsiTheme="minorHAnsi" w:cstheme="minorBidi"/>
      <w:kern w:val="2"/>
      <w:lang w:val="en-GB" w:eastAsia="en-US"/>
      <w14:ligatures w14:val="standardContextual"/>
    </w:rPr>
  </w:style>
  <w:style w:type="character" w:styleId="CommentReference">
    <w:name w:val="annotation reference"/>
    <w:basedOn w:val="DefaultParagraphFont"/>
    <w:uiPriority w:val="99"/>
    <w:semiHidden/>
    <w:unhideWhenUsed/>
    <w:rsid w:val="00CE3B07"/>
    <w:rPr>
      <w:sz w:val="16"/>
      <w:szCs w:val="16"/>
    </w:rPr>
  </w:style>
  <w:style w:type="paragraph" w:styleId="CommentText">
    <w:name w:val="annotation text"/>
    <w:basedOn w:val="Normal"/>
    <w:link w:val="CommentTextChar"/>
    <w:uiPriority w:val="99"/>
    <w:unhideWhenUsed/>
    <w:rsid w:val="00CE3B07"/>
    <w:rPr>
      <w:sz w:val="20"/>
      <w:szCs w:val="20"/>
      <w:lang w:val="en-GB" w:eastAsia="en-US"/>
    </w:rPr>
  </w:style>
  <w:style w:type="character" w:customStyle="1" w:styleId="CommentTextChar">
    <w:name w:val="Comment Text Char"/>
    <w:basedOn w:val="DefaultParagraphFont"/>
    <w:link w:val="CommentText"/>
    <w:uiPriority w:val="99"/>
    <w:rsid w:val="00CE3B07"/>
    <w:rPr>
      <w:rFonts w:ascii="Times New Roman" w:eastAsia="Times New Roman" w:hAnsi="Times New Roman" w:cs="Times New Roman"/>
      <w:kern w:val="0"/>
      <w:sz w:val="20"/>
      <w:szCs w:val="20"/>
      <w:lang w:val="en-GB"/>
      <w14:ligatures w14:val="none"/>
    </w:rPr>
  </w:style>
  <w:style w:type="paragraph" w:customStyle="1" w:styleId="Els-Author">
    <w:name w:val="Els-Author"/>
    <w:next w:val="Normal"/>
    <w:rsid w:val="00515536"/>
    <w:pPr>
      <w:keepNext/>
      <w:suppressAutoHyphens/>
      <w:spacing w:after="60" w:line="310" w:lineRule="exact"/>
    </w:pPr>
    <w:rPr>
      <w:rFonts w:ascii="Times New Roman" w:eastAsia="Times New Roman" w:hAnsi="Times New Roman" w:cs="Times New Roman"/>
      <w:noProof/>
      <w:kern w:val="0"/>
      <w:sz w:val="22"/>
      <w:szCs w:val="20"/>
      <w:lang w:val="en-GB"/>
      <w14:ligatures w14:val="none"/>
    </w:rPr>
  </w:style>
  <w:style w:type="paragraph" w:customStyle="1" w:styleId="Els-Affiliation">
    <w:name w:val="Els-Affiliation"/>
    <w:rsid w:val="000C1F8D"/>
    <w:pPr>
      <w:suppressAutoHyphens/>
      <w:spacing w:line="240" w:lineRule="exact"/>
    </w:pPr>
    <w:rPr>
      <w:rFonts w:ascii="Times New Roman" w:eastAsia="Times New Roman" w:hAnsi="Times New Roman" w:cs="Times New Roman"/>
      <w:i/>
      <w:noProof/>
      <w:kern w:val="0"/>
      <w:sz w:val="20"/>
      <w:szCs w:val="20"/>
      <w:lang w:val="en-GB"/>
      <w14:ligatures w14:val="none"/>
    </w:rPr>
  </w:style>
  <w:style w:type="character" w:styleId="FollowedHyperlink">
    <w:name w:val="FollowedHyperlink"/>
    <w:basedOn w:val="DefaultParagraphFont"/>
    <w:uiPriority w:val="99"/>
    <w:semiHidden/>
    <w:unhideWhenUsed/>
    <w:rsid w:val="001A740D"/>
    <w:rPr>
      <w:color w:val="954F72" w:themeColor="followedHyperlink"/>
      <w:u w:val="single"/>
    </w:rPr>
  </w:style>
  <w:style w:type="paragraph" w:styleId="Caption">
    <w:name w:val="caption"/>
    <w:basedOn w:val="Normal"/>
    <w:next w:val="Normal"/>
    <w:uiPriority w:val="35"/>
    <w:unhideWhenUsed/>
    <w:qFormat/>
    <w:rsid w:val="00721F55"/>
    <w:pPr>
      <w:spacing w:after="200"/>
      <w:jc w:val="both"/>
    </w:pPr>
    <w:rPr>
      <w:rFonts w:ascii="Arial" w:eastAsiaTheme="minorEastAsia" w:hAnsi="Arial" w:cstheme="minorBidi"/>
      <w:i/>
      <w:iCs/>
      <w:color w:val="44546A" w:themeColor="text2"/>
      <w:kern w:val="2"/>
      <w:sz w:val="18"/>
      <w:szCs w:val="18"/>
      <w:lang w:val="en-GB" w:eastAsia="zh-CN"/>
      <w14:ligatures w14:val="standardContextual"/>
    </w:rPr>
  </w:style>
  <w:style w:type="paragraph" w:customStyle="1" w:styleId="Els-body-text">
    <w:name w:val="Els-body-text"/>
    <w:link w:val="Els-body-textChar"/>
    <w:rsid w:val="00721F55"/>
    <w:pPr>
      <w:jc w:val="both"/>
    </w:pPr>
    <w:rPr>
      <w:rFonts w:ascii="Times New Roman" w:eastAsia="Times New Roman" w:hAnsi="Times New Roman" w:cs="Times New Roman"/>
      <w:kern w:val="0"/>
      <w:sz w:val="20"/>
      <w:szCs w:val="20"/>
      <w:lang w:val="en-US"/>
      <w14:ligatures w14:val="none"/>
    </w:rPr>
  </w:style>
  <w:style w:type="character" w:customStyle="1" w:styleId="Els-body-textChar">
    <w:name w:val="Els-body-text Char"/>
    <w:basedOn w:val="DefaultParagraphFont"/>
    <w:link w:val="Els-body-text"/>
    <w:locked/>
    <w:rsid w:val="00721F55"/>
    <w:rPr>
      <w:rFonts w:ascii="Times New Roman" w:eastAsia="Times New Roman" w:hAnsi="Times New Roman" w:cs="Times New Roman"/>
      <w:kern w:val="0"/>
      <w:sz w:val="20"/>
      <w:szCs w:val="20"/>
      <w:lang w:val="en-US"/>
      <w14:ligatures w14:val="none"/>
    </w:rPr>
  </w:style>
  <w:style w:type="paragraph" w:styleId="NoSpacing">
    <w:name w:val="No Spacing"/>
    <w:uiPriority w:val="1"/>
    <w:qFormat/>
    <w:rsid w:val="00A35BBF"/>
    <w:rPr>
      <w:rFonts w:ascii="Times New Roman" w:eastAsia="Times New Roman" w:hAnsi="Times New Roman" w:cs="Times New Roman"/>
      <w:kern w:val="0"/>
      <w:lang w:eastAsia="en-GB"/>
      <w14:ligatures w14:val="none"/>
    </w:rPr>
  </w:style>
  <w:style w:type="table" w:styleId="PlainTable3">
    <w:name w:val="Plain Table 3"/>
    <w:basedOn w:val="TableNormal"/>
    <w:uiPriority w:val="43"/>
    <w:rsid w:val="00AA6A6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1E05D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8B1D60"/>
    <w:rPr>
      <w:color w:val="666666"/>
    </w:rPr>
  </w:style>
  <w:style w:type="paragraph" w:customStyle="1" w:styleId="Els-Abstract">
    <w:name w:val="Els-Abstract"/>
    <w:basedOn w:val="Normal"/>
    <w:next w:val="Els-body-text"/>
    <w:autoRedefine/>
    <w:rsid w:val="00D30ED0"/>
    <w:pPr>
      <w:keepNext/>
      <w:suppressAutoHyphens/>
      <w:spacing w:before="240" w:after="60" w:line="240" w:lineRule="exact"/>
      <w:jc w:val="both"/>
    </w:pPr>
    <w:rPr>
      <w:b/>
      <w:color w:val="FF668F"/>
      <w:sz w:val="25"/>
      <w:lang w:val="en-US" w:eastAsia="en-US"/>
    </w:rPr>
  </w:style>
  <w:style w:type="character" w:styleId="Strong">
    <w:name w:val="Strong"/>
    <w:basedOn w:val="DefaultParagraphFont"/>
    <w:uiPriority w:val="22"/>
    <w:qFormat/>
    <w:rsid w:val="00D30ED0"/>
    <w:rPr>
      <w:b/>
      <w:bCs/>
    </w:rPr>
  </w:style>
  <w:style w:type="character" w:customStyle="1" w:styleId="apple-converted-space">
    <w:name w:val="apple-converted-space"/>
    <w:basedOn w:val="DefaultParagraphFont"/>
    <w:rsid w:val="00F13E90"/>
  </w:style>
  <w:style w:type="character" w:styleId="Emphasis">
    <w:name w:val="Emphasis"/>
    <w:basedOn w:val="DefaultParagraphFont"/>
    <w:uiPriority w:val="20"/>
    <w:qFormat/>
    <w:rsid w:val="00CF4899"/>
    <w:rPr>
      <w:i/>
      <w:iCs/>
    </w:rPr>
  </w:style>
  <w:style w:type="character" w:styleId="SubtleEmphasis">
    <w:name w:val="Subtle Emphasis"/>
    <w:basedOn w:val="DefaultParagraphFont"/>
    <w:uiPriority w:val="19"/>
    <w:qFormat/>
    <w:rsid w:val="00CF489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oline.corre@epfl.ch"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4086C-F9F7-594C-AE47-E0B950000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23</Pages>
  <Words>22770</Words>
  <Characters>144364</Characters>
  <Application>Microsoft Office Word</Application>
  <DocSecurity>0</DocSecurity>
  <Lines>2489</Lines>
  <Paragraphs>717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Soline</dc:creator>
  <cp:keywords/>
  <dc:description/>
  <cp:lastModifiedBy>Soline Corre</cp:lastModifiedBy>
  <cp:revision>84</cp:revision>
  <dcterms:created xsi:type="dcterms:W3CDTF">2026-07-07T08:20:00Z</dcterms:created>
  <dcterms:modified xsi:type="dcterms:W3CDTF">2026-07-23T09:00:00Z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id="r3EvVuQ5"/&gt;&lt;style id="http://www.zotero.org/styles/ieee" locale="en-US" hasBibliography="1" bibliographyStyleHasBeenSet="1"/&gt;&lt;prefs&gt;&lt;pref name="fieldType" value="Field"/&gt;&lt;/prefs&gt;&lt;/data&gt;</vt:lpwstr>
  </property>
</Properties>
</file>