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4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4405"/>
        <w:gridCol w:w="2307"/>
      </w:tblGrid>
      <w:tr w:rsidR="00AB3F87" w14:paraId="09B0046D" w14:textId="77777777" w:rsidTr="001120BB">
        <w:tc>
          <w:tcPr>
            <w:tcW w:w="1559" w:type="dxa"/>
            <w:shd w:val="clear" w:color="auto" w:fill="auto"/>
          </w:tcPr>
          <w:p w14:paraId="4DDE095D" w14:textId="77777777" w:rsidR="00AB3F87" w:rsidRDefault="00AB3F87" w:rsidP="001120BB">
            <w:pPr>
              <w:ind w:firstLine="402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P</w:t>
            </w:r>
            <w:r>
              <w:rPr>
                <w:b/>
                <w:sz w:val="20"/>
              </w:rPr>
              <w:t>rimers</w:t>
            </w:r>
          </w:p>
        </w:tc>
        <w:tc>
          <w:tcPr>
            <w:tcW w:w="4405" w:type="dxa"/>
            <w:shd w:val="clear" w:color="auto" w:fill="auto"/>
          </w:tcPr>
          <w:p w14:paraId="5A1A100C" w14:textId="77777777" w:rsidR="00AB3F87" w:rsidRDefault="00AB3F87" w:rsidP="001120BB">
            <w:pPr>
              <w:ind w:firstLine="402"/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S</w:t>
            </w:r>
            <w:r>
              <w:rPr>
                <w:b/>
                <w:sz w:val="20"/>
              </w:rPr>
              <w:t>equences</w:t>
            </w:r>
          </w:p>
        </w:tc>
        <w:tc>
          <w:tcPr>
            <w:tcW w:w="2307" w:type="dxa"/>
          </w:tcPr>
          <w:p w14:paraId="34E67F57" w14:textId="77777777" w:rsidR="00AB3F87" w:rsidRDefault="00AB3F87" w:rsidP="001120BB">
            <w:pPr>
              <w:ind w:firstLine="402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R</w:t>
            </w:r>
            <w:r>
              <w:rPr>
                <w:b/>
                <w:sz w:val="20"/>
              </w:rPr>
              <w:t>eferences</w:t>
            </w:r>
          </w:p>
        </w:tc>
      </w:tr>
      <w:tr w:rsidR="00AB3F87" w14:paraId="1B39C26E" w14:textId="77777777" w:rsidTr="001120BB">
        <w:trPr>
          <w:trHeight w:val="1590"/>
        </w:trPr>
        <w:tc>
          <w:tcPr>
            <w:tcW w:w="1559" w:type="dxa"/>
            <w:shd w:val="clear" w:color="auto" w:fill="auto"/>
          </w:tcPr>
          <w:p w14:paraId="40A67894" w14:textId="77777777" w:rsidR="00AB3F87" w:rsidRDefault="00AB3F87" w:rsidP="001120BB">
            <w:pPr>
              <w:ind w:firstLineChars="0" w:firstLine="0"/>
              <w:jc w:val="center"/>
            </w:pPr>
            <w:proofErr w:type="spellStart"/>
            <w:r>
              <w:rPr>
                <w:bCs/>
                <w:color w:val="000000"/>
                <w:kern w:val="0"/>
              </w:rPr>
              <w:t>Bifido</w:t>
            </w:r>
            <w:proofErr w:type="spellEnd"/>
            <w:r>
              <w:rPr>
                <w:bCs/>
                <w:color w:val="000000"/>
                <w:kern w:val="0"/>
              </w:rPr>
              <w:t>-F</w:t>
            </w:r>
          </w:p>
          <w:p w14:paraId="4D6C9B55" w14:textId="77777777" w:rsidR="00AB3F87" w:rsidRDefault="00AB3F87" w:rsidP="001120BB">
            <w:pPr>
              <w:ind w:firstLineChars="0" w:firstLine="0"/>
              <w:jc w:val="center"/>
            </w:pPr>
            <w:proofErr w:type="spellStart"/>
            <w:r>
              <w:rPr>
                <w:bCs/>
                <w:color w:val="000000"/>
                <w:kern w:val="0"/>
              </w:rPr>
              <w:t>Bifido</w:t>
            </w:r>
            <w:proofErr w:type="spellEnd"/>
            <w:r>
              <w:rPr>
                <w:bCs/>
                <w:color w:val="000000"/>
                <w:kern w:val="0"/>
              </w:rPr>
              <w:t>-R</w:t>
            </w:r>
          </w:p>
          <w:p w14:paraId="5A8FF65A" w14:textId="77777777" w:rsidR="00AB3F87" w:rsidRDefault="00AB3F87" w:rsidP="001120BB">
            <w:pPr>
              <w:ind w:firstLineChars="0" w:firstLine="0"/>
              <w:jc w:val="center"/>
            </w:pPr>
            <w:proofErr w:type="spellStart"/>
            <w:r>
              <w:t>Lacto</w:t>
            </w:r>
            <w:proofErr w:type="spellEnd"/>
            <w:r>
              <w:t>-F</w:t>
            </w:r>
          </w:p>
          <w:p w14:paraId="5FEAB8CE" w14:textId="77777777" w:rsidR="00AB3F87" w:rsidRDefault="00AB3F87" w:rsidP="001120BB">
            <w:pPr>
              <w:ind w:firstLineChars="0" w:firstLine="0"/>
              <w:jc w:val="center"/>
            </w:pPr>
            <w:proofErr w:type="spellStart"/>
            <w:r>
              <w:rPr>
                <w:bCs/>
                <w:color w:val="000000"/>
                <w:kern w:val="0"/>
              </w:rPr>
              <w:t>Lacto</w:t>
            </w:r>
            <w:proofErr w:type="spellEnd"/>
            <w:r>
              <w:rPr>
                <w:bCs/>
                <w:color w:val="000000"/>
                <w:kern w:val="0"/>
              </w:rPr>
              <w:t>-R</w:t>
            </w:r>
          </w:p>
        </w:tc>
        <w:tc>
          <w:tcPr>
            <w:tcW w:w="4405" w:type="dxa"/>
            <w:shd w:val="clear" w:color="auto" w:fill="auto"/>
          </w:tcPr>
          <w:p w14:paraId="4AC09612" w14:textId="77777777" w:rsidR="00AB3F87" w:rsidRDefault="00AB3F87" w:rsidP="001120BB">
            <w:pPr>
              <w:ind w:firstLine="480"/>
              <w:jc w:val="left"/>
            </w:pPr>
            <w:r>
              <w:rPr>
                <w:bCs/>
                <w:color w:val="000000"/>
                <w:kern w:val="0"/>
              </w:rPr>
              <w:t>CAAGCGAGAGTGAGTGTACC</w:t>
            </w:r>
          </w:p>
          <w:p w14:paraId="594A0535" w14:textId="77777777" w:rsidR="00AB3F87" w:rsidRDefault="00AB3F87" w:rsidP="001120BB">
            <w:pPr>
              <w:ind w:firstLine="480"/>
              <w:jc w:val="left"/>
            </w:pPr>
            <w:r>
              <w:rPr>
                <w:bCs/>
                <w:color w:val="000000"/>
                <w:kern w:val="0"/>
              </w:rPr>
              <w:t>GCCGATCCACCGTTAAGC</w:t>
            </w:r>
          </w:p>
          <w:p w14:paraId="07B6A5D6" w14:textId="77777777" w:rsidR="00AB3F87" w:rsidRDefault="00AB3F87" w:rsidP="001120BB">
            <w:pPr>
              <w:ind w:firstLine="480"/>
              <w:jc w:val="left"/>
            </w:pPr>
            <w:r>
              <w:rPr>
                <w:bCs/>
                <w:color w:val="000000"/>
                <w:kern w:val="0"/>
              </w:rPr>
              <w:t>TAACGCATTAAGCACTCC</w:t>
            </w:r>
          </w:p>
          <w:p w14:paraId="0504C595" w14:textId="77777777" w:rsidR="00AB3F87" w:rsidRDefault="00AB3F87" w:rsidP="001120BB">
            <w:pPr>
              <w:keepNext/>
              <w:ind w:firstLine="480"/>
              <w:jc w:val="left"/>
            </w:pPr>
            <w:r>
              <w:rPr>
                <w:bCs/>
                <w:color w:val="000000"/>
                <w:kern w:val="0"/>
              </w:rPr>
              <w:t>GCTGGCAACTAATAATAAGG</w:t>
            </w:r>
          </w:p>
        </w:tc>
        <w:tc>
          <w:tcPr>
            <w:tcW w:w="2307" w:type="dxa"/>
            <w:vAlign w:val="center"/>
          </w:tcPr>
          <w:p w14:paraId="231C9982" w14:textId="77777777" w:rsidR="00AB3F87" w:rsidRDefault="00AB3F87" w:rsidP="001120BB">
            <w:pPr>
              <w:ind w:firstLineChars="0" w:firstLine="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noProof/>
                <w:color w:val="000000"/>
                <w:kern w:val="0"/>
              </w:rPr>
              <w:t>(Li et al 2012)</w:t>
            </w:r>
          </w:p>
        </w:tc>
      </w:tr>
      <w:tr w:rsidR="00AB3F87" w14:paraId="27A92F7C" w14:textId="77777777" w:rsidTr="001120BB">
        <w:trPr>
          <w:trHeight w:val="1492"/>
        </w:trPr>
        <w:tc>
          <w:tcPr>
            <w:tcW w:w="1559" w:type="dxa"/>
            <w:shd w:val="clear" w:color="auto" w:fill="auto"/>
          </w:tcPr>
          <w:p w14:paraId="11E4C444" w14:textId="77777777" w:rsidR="00AB3F87" w:rsidRDefault="00AB3F87" w:rsidP="001120BB">
            <w:pPr>
              <w:ind w:firstLineChars="0" w:firstLine="0"/>
              <w:jc w:val="center"/>
            </w:pPr>
            <w:r>
              <w:t>S. alvi</w:t>
            </w:r>
            <w:r>
              <w:rPr>
                <w:rFonts w:hint="eastAsia"/>
              </w:rPr>
              <w:t>-F</w:t>
            </w:r>
          </w:p>
          <w:p w14:paraId="104A1110" w14:textId="77777777" w:rsidR="00AB3F87" w:rsidRDefault="00AB3F87" w:rsidP="001120BB">
            <w:pPr>
              <w:ind w:firstLineChars="0" w:firstLine="0"/>
              <w:jc w:val="center"/>
            </w:pPr>
            <w:r>
              <w:t>S. alvi</w:t>
            </w:r>
            <w:r>
              <w:rPr>
                <w:rFonts w:hint="eastAsia"/>
              </w:rPr>
              <w:t>-R</w:t>
            </w:r>
          </w:p>
          <w:p w14:paraId="047D5AAC" w14:textId="77777777" w:rsidR="00AB3F87" w:rsidRDefault="00AB3F87" w:rsidP="001120BB">
            <w:pPr>
              <w:ind w:firstLineChars="0" w:firstLine="0"/>
              <w:jc w:val="center"/>
            </w:pPr>
            <w:r>
              <w:t>G</w:t>
            </w:r>
            <w:r>
              <w:rPr>
                <w:rFonts w:hint="eastAsia"/>
              </w:rPr>
              <w:t xml:space="preserve">. </w:t>
            </w:r>
            <w:proofErr w:type="spellStart"/>
            <w:r>
              <w:t>api</w:t>
            </w:r>
            <w:proofErr w:type="spellEnd"/>
            <w:r>
              <w:rPr>
                <w:rFonts w:hint="eastAsia"/>
              </w:rPr>
              <w:t>-F</w:t>
            </w:r>
          </w:p>
          <w:p w14:paraId="580C3360" w14:textId="77777777" w:rsidR="00AB3F87" w:rsidRDefault="00AB3F87" w:rsidP="001120BB">
            <w:pPr>
              <w:ind w:firstLineChars="0" w:firstLine="0"/>
              <w:jc w:val="center"/>
            </w:pPr>
            <w:r>
              <w:t>G</w:t>
            </w:r>
            <w:r>
              <w:rPr>
                <w:rFonts w:hint="eastAsia"/>
              </w:rPr>
              <w:t xml:space="preserve">. </w:t>
            </w:r>
            <w:proofErr w:type="spellStart"/>
            <w:r>
              <w:t>api</w:t>
            </w:r>
            <w:proofErr w:type="spellEnd"/>
            <w:r>
              <w:rPr>
                <w:rFonts w:hint="eastAsia"/>
              </w:rPr>
              <w:t>-R</w:t>
            </w:r>
          </w:p>
        </w:tc>
        <w:tc>
          <w:tcPr>
            <w:tcW w:w="4405" w:type="dxa"/>
            <w:shd w:val="clear" w:color="auto" w:fill="auto"/>
          </w:tcPr>
          <w:p w14:paraId="671BE13C" w14:textId="77777777" w:rsidR="00AB3F87" w:rsidRDefault="00AB3F87" w:rsidP="001120BB">
            <w:pPr>
              <w:keepNext/>
              <w:ind w:firstLine="48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color w:val="000000"/>
                <w:kern w:val="0"/>
              </w:rPr>
              <w:t>CTTAGAGATAGGAGAGTG</w:t>
            </w:r>
          </w:p>
          <w:p w14:paraId="339CA233" w14:textId="77777777" w:rsidR="00AB3F87" w:rsidRDefault="00AB3F87" w:rsidP="001120BB">
            <w:pPr>
              <w:keepNext/>
              <w:ind w:firstLine="48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color w:val="000000"/>
                <w:kern w:val="0"/>
              </w:rPr>
              <w:t>TAATGATGGCAACTAATGACAA</w:t>
            </w:r>
          </w:p>
          <w:p w14:paraId="1B074B7B" w14:textId="77777777" w:rsidR="00AB3F87" w:rsidRDefault="00AB3F87" w:rsidP="001120BB">
            <w:pPr>
              <w:keepNext/>
              <w:ind w:leftChars="200" w:left="480" w:firstLineChars="0" w:firstLine="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color w:val="000000"/>
                <w:kern w:val="0"/>
              </w:rPr>
              <w:t>GTATCTAATAGGTGCATCAATT TCCTCTACAATACTCTAGTT</w:t>
            </w:r>
          </w:p>
        </w:tc>
        <w:tc>
          <w:tcPr>
            <w:tcW w:w="2307" w:type="dxa"/>
            <w:vAlign w:val="center"/>
          </w:tcPr>
          <w:p w14:paraId="01E77612" w14:textId="77777777" w:rsidR="00AB3F87" w:rsidRDefault="00AB3F87" w:rsidP="001120BB">
            <w:pPr>
              <w:keepNext/>
              <w:ind w:firstLineChars="0" w:firstLine="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noProof/>
                <w:color w:val="000000"/>
                <w:kern w:val="0"/>
              </w:rPr>
              <w:t>(Schwarz et al 2016)</w:t>
            </w:r>
          </w:p>
        </w:tc>
      </w:tr>
      <w:tr w:rsidR="00AB3F87" w14:paraId="4F5E8899" w14:textId="77777777" w:rsidTr="001120BB">
        <w:trPr>
          <w:trHeight w:val="790"/>
        </w:trPr>
        <w:tc>
          <w:tcPr>
            <w:tcW w:w="1559" w:type="dxa"/>
            <w:shd w:val="clear" w:color="auto" w:fill="auto"/>
          </w:tcPr>
          <w:p w14:paraId="208F8291" w14:textId="77777777" w:rsidR="00AB3F87" w:rsidRDefault="00AB3F87" w:rsidP="001120BB">
            <w:pPr>
              <w:ind w:firstLineChars="83" w:firstLine="199"/>
              <w:jc w:val="center"/>
            </w:pPr>
            <w:r>
              <w:rPr>
                <w:rFonts w:hint="eastAsia"/>
              </w:rPr>
              <w:t>1</w:t>
            </w:r>
            <w:r>
              <w:t>114F</w:t>
            </w:r>
          </w:p>
          <w:p w14:paraId="3C90A8FA" w14:textId="77777777" w:rsidR="00AB3F87" w:rsidRDefault="00AB3F87" w:rsidP="001120BB">
            <w:pPr>
              <w:ind w:firstLineChars="83" w:firstLine="199"/>
              <w:jc w:val="center"/>
            </w:pPr>
            <w:r>
              <w:rPr>
                <w:rFonts w:hint="eastAsia"/>
              </w:rPr>
              <w:t>1</w:t>
            </w:r>
            <w:r>
              <w:t>275R</w:t>
            </w:r>
          </w:p>
        </w:tc>
        <w:tc>
          <w:tcPr>
            <w:tcW w:w="4405" w:type="dxa"/>
            <w:shd w:val="clear" w:color="auto" w:fill="auto"/>
          </w:tcPr>
          <w:p w14:paraId="14AF506C" w14:textId="77777777" w:rsidR="00AB3F87" w:rsidRDefault="00AB3F87" w:rsidP="001120BB">
            <w:pPr>
              <w:keepNext/>
              <w:ind w:firstLineChars="183" w:firstLine="439"/>
              <w:jc w:val="left"/>
              <w:rPr>
                <w:bCs/>
                <w:color w:val="000000"/>
                <w:kern w:val="0"/>
              </w:rPr>
            </w:pPr>
            <w:r w:rsidRPr="007D6B4E">
              <w:rPr>
                <w:bCs/>
                <w:color w:val="000000"/>
                <w:kern w:val="0"/>
              </w:rPr>
              <w:t>CGGCAACGAGCGCAACCC</w:t>
            </w:r>
          </w:p>
          <w:p w14:paraId="24ACEB4B" w14:textId="77777777" w:rsidR="00AB3F87" w:rsidRDefault="00AB3F87" w:rsidP="001120BB">
            <w:pPr>
              <w:keepNext/>
              <w:ind w:firstLineChars="183" w:firstLine="439"/>
              <w:rPr>
                <w:bCs/>
                <w:color w:val="000000"/>
                <w:kern w:val="0"/>
              </w:rPr>
            </w:pPr>
            <w:r w:rsidRPr="007D6B4E">
              <w:rPr>
                <w:bCs/>
                <w:color w:val="000000"/>
                <w:kern w:val="0"/>
              </w:rPr>
              <w:t>CCATTGTAGCACGTGTGTAGCC</w:t>
            </w:r>
          </w:p>
        </w:tc>
        <w:tc>
          <w:tcPr>
            <w:tcW w:w="2307" w:type="dxa"/>
            <w:vAlign w:val="center"/>
          </w:tcPr>
          <w:p w14:paraId="18CB6E98" w14:textId="77777777" w:rsidR="00AB3F87" w:rsidRPr="007D6B4E" w:rsidRDefault="00AB3F87" w:rsidP="001120BB">
            <w:pPr>
              <w:ind w:firstLineChars="0" w:firstLine="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noProof/>
                <w:color w:val="000000"/>
                <w:kern w:val="0"/>
              </w:rPr>
              <w:t>(Denman and McSweeney 2006)</w:t>
            </w:r>
          </w:p>
        </w:tc>
      </w:tr>
      <w:tr w:rsidR="00AB3F87" w14:paraId="6AF231E7" w14:textId="77777777" w:rsidTr="001120BB">
        <w:trPr>
          <w:trHeight w:val="751"/>
        </w:trPr>
        <w:tc>
          <w:tcPr>
            <w:tcW w:w="1559" w:type="dxa"/>
            <w:shd w:val="clear" w:color="auto" w:fill="auto"/>
          </w:tcPr>
          <w:p w14:paraId="78AB2514" w14:textId="77777777" w:rsidR="00AB3F87" w:rsidRDefault="00AB3F87" w:rsidP="001120BB">
            <w:pPr>
              <w:ind w:firstLineChars="0" w:firstLine="0"/>
              <w:jc w:val="center"/>
            </w:pPr>
            <w:r>
              <w:t>A</w:t>
            </w:r>
            <w:r>
              <w:rPr>
                <w:rFonts w:hint="eastAsia"/>
              </w:rPr>
              <w:t>ctin-F</w:t>
            </w:r>
          </w:p>
          <w:p w14:paraId="58BA65C1" w14:textId="77777777" w:rsidR="00AB3F87" w:rsidRDefault="00AB3F87" w:rsidP="001120BB">
            <w:pPr>
              <w:ind w:firstLineChars="0" w:firstLine="0"/>
              <w:jc w:val="center"/>
              <w:rPr>
                <w:bCs/>
                <w:color w:val="000000"/>
                <w:kern w:val="0"/>
              </w:rPr>
            </w:pPr>
            <w:r>
              <w:t>A</w:t>
            </w:r>
            <w:r>
              <w:rPr>
                <w:rFonts w:hint="eastAsia"/>
              </w:rPr>
              <w:t>ctin-R</w:t>
            </w:r>
          </w:p>
        </w:tc>
        <w:tc>
          <w:tcPr>
            <w:tcW w:w="4405" w:type="dxa"/>
            <w:shd w:val="clear" w:color="auto" w:fill="auto"/>
          </w:tcPr>
          <w:p w14:paraId="01DE6FC3" w14:textId="77777777" w:rsidR="00AB3F87" w:rsidRDefault="00AB3F87" w:rsidP="001120BB">
            <w:pPr>
              <w:keepNext/>
              <w:ind w:firstLine="48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color w:val="000000"/>
                <w:kern w:val="0"/>
              </w:rPr>
              <w:t>TGCCAACACTGTCCTTTCTG</w:t>
            </w:r>
          </w:p>
          <w:p w14:paraId="4D724CBA" w14:textId="77777777" w:rsidR="00AB3F87" w:rsidRDefault="00AB3F87" w:rsidP="001120BB">
            <w:pPr>
              <w:ind w:firstLine="48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color w:val="000000"/>
                <w:kern w:val="0"/>
              </w:rPr>
              <w:t>AGAATTGACCCACCAATCCA</w:t>
            </w:r>
          </w:p>
        </w:tc>
        <w:tc>
          <w:tcPr>
            <w:tcW w:w="2307" w:type="dxa"/>
            <w:vAlign w:val="center"/>
          </w:tcPr>
          <w:p w14:paraId="34F660F4" w14:textId="77777777" w:rsidR="00AB3F87" w:rsidRDefault="00AB3F87" w:rsidP="001120BB">
            <w:pPr>
              <w:keepNext/>
              <w:ind w:firstLineChars="0" w:firstLine="0"/>
              <w:jc w:val="left"/>
              <w:rPr>
                <w:bCs/>
                <w:color w:val="000000"/>
                <w:kern w:val="0"/>
              </w:rPr>
            </w:pPr>
            <w:r>
              <w:rPr>
                <w:bCs/>
                <w:noProof/>
                <w:color w:val="000000"/>
                <w:kern w:val="0"/>
              </w:rPr>
              <w:t>(Scharlaken et al 2008)</w:t>
            </w:r>
          </w:p>
        </w:tc>
      </w:tr>
    </w:tbl>
    <w:p w14:paraId="68714CC6" w14:textId="2E8C0EF0" w:rsidR="00AB3F87" w:rsidRDefault="001120BB" w:rsidP="001521AB">
      <w:pPr>
        <w:ind w:firstLineChars="0" w:firstLine="0"/>
        <w:jc w:val="left"/>
        <w:rPr>
          <w:rFonts w:hint="eastAsia"/>
        </w:rPr>
      </w:pPr>
      <w:r>
        <w:rPr>
          <w:rFonts w:hint="eastAsia"/>
        </w:rPr>
        <w:t>T</w:t>
      </w:r>
      <w:r>
        <w:t>able S1. Primers used in the qPCR</w:t>
      </w:r>
    </w:p>
    <w:p w14:paraId="5D9B2A75" w14:textId="77777777" w:rsidR="00AB3F87" w:rsidRDefault="00AB3F87" w:rsidP="001521AB">
      <w:pPr>
        <w:ind w:firstLineChars="0" w:firstLine="0"/>
        <w:jc w:val="left"/>
      </w:pPr>
      <w:r>
        <w:rPr>
          <w:rFonts w:hint="eastAsia"/>
        </w:rPr>
        <w:t>R</w:t>
      </w:r>
      <w:r>
        <w:t>eferences</w:t>
      </w:r>
    </w:p>
    <w:p w14:paraId="24B8C53D" w14:textId="77777777" w:rsidR="00AB3F87" w:rsidRPr="00A601D2" w:rsidRDefault="00AB3F87" w:rsidP="00A601D2">
      <w:pPr>
        <w:pStyle w:val="EndNoteBibliography"/>
        <w:ind w:firstLine="480"/>
      </w:pPr>
      <w:r w:rsidRPr="00A601D2">
        <w:t xml:space="preserve">Denman SE, McSweeney CS (2006). Development of a real-time PCR assay for monitoring anaerobic fungal and cellulolytic bacterial populations within the rumen. </w:t>
      </w:r>
      <w:r w:rsidRPr="00A601D2">
        <w:rPr>
          <w:i/>
        </w:rPr>
        <w:t>FEMS Microbiology Ecology</w:t>
      </w:r>
      <w:r w:rsidRPr="00A601D2">
        <w:t xml:space="preserve"> </w:t>
      </w:r>
      <w:r w:rsidRPr="00A601D2">
        <w:rPr>
          <w:b/>
        </w:rPr>
        <w:t>58:</w:t>
      </w:r>
      <w:r w:rsidRPr="00A601D2">
        <w:t xml:space="preserve"> 572-582.</w:t>
      </w:r>
    </w:p>
    <w:p w14:paraId="5F737CDD" w14:textId="77777777" w:rsidR="00AB3F87" w:rsidRPr="00A601D2" w:rsidRDefault="00AB3F87" w:rsidP="00A601D2">
      <w:pPr>
        <w:pStyle w:val="EndNoteBibliography"/>
        <w:ind w:firstLine="480"/>
      </w:pPr>
    </w:p>
    <w:p w14:paraId="6C8A23F7" w14:textId="77777777" w:rsidR="00AB3F87" w:rsidRPr="00A601D2" w:rsidRDefault="00AB3F87" w:rsidP="00A601D2">
      <w:pPr>
        <w:pStyle w:val="EndNoteBibliography"/>
        <w:ind w:firstLine="480"/>
      </w:pPr>
      <w:r w:rsidRPr="00A601D2">
        <w:t>Li J, Qin H, Wu J, Sadd BM, Wang X, Evans JD</w:t>
      </w:r>
      <w:r w:rsidRPr="00A601D2">
        <w:rPr>
          <w:i/>
        </w:rPr>
        <w:t xml:space="preserve"> et al</w:t>
      </w:r>
      <w:r w:rsidRPr="00A601D2">
        <w:t xml:space="preserve"> (2012). The prevalence of parasites and pathogens in Asian honeybees Apis cerana in China. </w:t>
      </w:r>
      <w:r w:rsidRPr="00A601D2">
        <w:rPr>
          <w:i/>
        </w:rPr>
        <w:t>PloS one</w:t>
      </w:r>
      <w:r w:rsidRPr="00A601D2">
        <w:t xml:space="preserve"> </w:t>
      </w:r>
      <w:r w:rsidRPr="00A601D2">
        <w:rPr>
          <w:b/>
        </w:rPr>
        <w:t>7:</w:t>
      </w:r>
      <w:r w:rsidRPr="00A601D2">
        <w:t xml:space="preserve"> e47955-e47955.</w:t>
      </w:r>
    </w:p>
    <w:p w14:paraId="0A92BA56" w14:textId="77777777" w:rsidR="00AB3F87" w:rsidRPr="00A601D2" w:rsidRDefault="00AB3F87" w:rsidP="00A601D2">
      <w:pPr>
        <w:pStyle w:val="EndNoteBibliography"/>
        <w:ind w:firstLine="480"/>
      </w:pPr>
    </w:p>
    <w:p w14:paraId="3A03359B" w14:textId="77777777" w:rsidR="00AB3F87" w:rsidRPr="00A601D2" w:rsidRDefault="00AB3F87" w:rsidP="00A601D2">
      <w:pPr>
        <w:pStyle w:val="EndNoteBibliography"/>
        <w:ind w:firstLine="480"/>
      </w:pPr>
      <w:r w:rsidRPr="00A601D2">
        <w:t xml:space="preserve">Scharlaken B, de Graaf DC, Goossens K, Brunain M, Peelman LJ, Jacobs FJ (2008). Reference Gene Selection for Insect Expression Studies Using Quantitative Real-Time PCR: The Head of the Honeybee, Apis mellifera, After a Bacterial Challenge. </w:t>
      </w:r>
      <w:r w:rsidRPr="00A601D2">
        <w:rPr>
          <w:i/>
        </w:rPr>
        <w:t>J Insect Sci</w:t>
      </w:r>
      <w:r w:rsidRPr="00A601D2">
        <w:t xml:space="preserve"> </w:t>
      </w:r>
      <w:r w:rsidRPr="00A601D2">
        <w:rPr>
          <w:b/>
        </w:rPr>
        <w:t>8:</w:t>
      </w:r>
      <w:r w:rsidRPr="00A601D2">
        <w:t xml:space="preserve"> 33.</w:t>
      </w:r>
    </w:p>
    <w:p w14:paraId="282C5646" w14:textId="77777777" w:rsidR="00AB3F87" w:rsidRPr="00A601D2" w:rsidRDefault="00AB3F87" w:rsidP="00A601D2">
      <w:pPr>
        <w:pStyle w:val="EndNoteBibliography"/>
        <w:ind w:firstLine="480"/>
      </w:pPr>
    </w:p>
    <w:p w14:paraId="47F68289" w14:textId="77777777" w:rsidR="00AB3F87" w:rsidRPr="00A601D2" w:rsidRDefault="00AB3F87" w:rsidP="00A601D2">
      <w:pPr>
        <w:pStyle w:val="EndNoteBibliography"/>
        <w:ind w:firstLine="480"/>
      </w:pPr>
      <w:r w:rsidRPr="00A601D2">
        <w:t xml:space="preserve">Schwarz RS, Moran NA, Evans JD (2016). Early gut colonizers shape parasite susceptibility and microbiota composition in honey bee workers. </w:t>
      </w:r>
      <w:r w:rsidRPr="00A601D2">
        <w:rPr>
          <w:i/>
        </w:rPr>
        <w:t>Proceedings of the National Academy of Sciences</w:t>
      </w:r>
      <w:r w:rsidRPr="00A601D2">
        <w:t xml:space="preserve"> </w:t>
      </w:r>
      <w:r w:rsidRPr="00A601D2">
        <w:rPr>
          <w:b/>
        </w:rPr>
        <w:t>113:</w:t>
      </w:r>
      <w:r w:rsidRPr="00A601D2">
        <w:t xml:space="preserve"> 9345-9350.</w:t>
      </w:r>
    </w:p>
    <w:p w14:paraId="56FAAA12" w14:textId="77777777" w:rsidR="00AB3F87" w:rsidRPr="00A601D2" w:rsidRDefault="00AB3F87" w:rsidP="00A601D2">
      <w:pPr>
        <w:pStyle w:val="EndNoteBibliography"/>
        <w:ind w:firstLine="480"/>
      </w:pPr>
    </w:p>
    <w:p w14:paraId="695B4862" w14:textId="77777777" w:rsidR="00AB3F87" w:rsidRDefault="00AB3F87" w:rsidP="001521AB">
      <w:pPr>
        <w:ind w:firstLine="480"/>
      </w:pPr>
    </w:p>
    <w:p w14:paraId="6DF4BB41" w14:textId="77777777" w:rsidR="00AB3F87" w:rsidRDefault="00AB3F87">
      <w:pPr>
        <w:spacing w:line="240" w:lineRule="auto"/>
        <w:ind w:firstLineChars="0" w:firstLine="0"/>
        <w:jc w:val="left"/>
      </w:pPr>
      <w:r>
        <w:br w:type="page"/>
      </w:r>
    </w:p>
    <w:p w14:paraId="60C09CC7" w14:textId="6CE171AC" w:rsidR="00AB3F87" w:rsidRPr="001521AB" w:rsidRDefault="00AB3F87" w:rsidP="00AB3F87">
      <w:pPr>
        <w:ind w:firstLineChars="0" w:firstLine="0"/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2C7E53D" wp14:editId="29B2422F">
            <wp:simplePos x="0" y="0"/>
            <wp:positionH relativeFrom="margin">
              <wp:align>center</wp:align>
            </wp:positionH>
            <wp:positionV relativeFrom="paragraph">
              <wp:posOffset>29845</wp:posOffset>
            </wp:positionV>
            <wp:extent cx="5551664" cy="4492263"/>
            <wp:effectExtent l="0" t="0" r="0" b="3810"/>
            <wp:wrapTopAndBottom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1664" cy="4492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F</w:t>
      </w:r>
      <w:r>
        <w:t xml:space="preserve">igure S1. </w:t>
      </w:r>
      <w:r>
        <w:rPr>
          <w:rFonts w:eastAsia="新細明體"/>
          <w:lang w:eastAsia="zh-TW"/>
        </w:rPr>
        <w:t>Hindgut samples</w:t>
      </w:r>
      <w:r w:rsidRPr="00BD09B3">
        <w:rPr>
          <w:rFonts w:eastAsia="新細明體"/>
          <w:lang w:eastAsia="zh-TW"/>
        </w:rPr>
        <w:t xml:space="preserve"> </w:t>
      </w:r>
      <w:r>
        <w:rPr>
          <w:rFonts w:eastAsia="新細明體"/>
          <w:lang w:eastAsia="zh-TW"/>
        </w:rPr>
        <w:t xml:space="preserve">qPCR results, the </w:t>
      </w:r>
      <w:r w:rsidRPr="004238EB">
        <w:rPr>
          <w:rFonts w:eastAsia="新細明體"/>
          <w:lang w:eastAsia="zh-TW"/>
        </w:rPr>
        <w:t>relative quantification</w:t>
      </w:r>
      <w:r>
        <w:rPr>
          <w:rFonts w:eastAsia="新細明體"/>
          <w:lang w:eastAsia="zh-TW"/>
        </w:rPr>
        <w:t xml:space="preserve"> results</w:t>
      </w:r>
      <w:r w:rsidRPr="004238EB">
        <w:rPr>
          <w:rFonts w:eastAsia="新細明體"/>
          <w:lang w:eastAsia="zh-TW"/>
        </w:rPr>
        <w:t xml:space="preserve"> normalized by the </w:t>
      </w:r>
      <w:r>
        <w:rPr>
          <w:rFonts w:eastAsia="新細明體"/>
          <w:lang w:eastAsia="zh-TW"/>
        </w:rPr>
        <w:t>universal bacteria primer set.</w:t>
      </w:r>
    </w:p>
    <w:p w14:paraId="584B7B59" w14:textId="77777777" w:rsidR="0031661D" w:rsidRDefault="0031661D">
      <w:pPr>
        <w:ind w:firstLine="480"/>
      </w:pPr>
    </w:p>
    <w:sectPr w:rsidR="0031661D" w:rsidSect="0047344E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pbkdfAdvTT3713a231">
    <w:altName w:val="Times New Roman"/>
    <w:charset w:val="00"/>
    <w:family w:val="roman"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D32512" w14:textId="77777777" w:rsidR="00B67287" w:rsidRDefault="001120BB" w:rsidP="00B6728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49356848"/>
      <w:docPartObj>
        <w:docPartGallery w:val="Page Numbers (Bottom of Page)"/>
        <w:docPartUnique/>
      </w:docPartObj>
    </w:sdtPr>
    <w:sdtEndPr/>
    <w:sdtContent>
      <w:p w14:paraId="45BA9EF5" w14:textId="77777777" w:rsidR="00A601D2" w:rsidRDefault="001120BB">
        <w:pPr>
          <w:pStyle w:val="a5"/>
          <w:ind w:firstLine="360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70E802" w14:textId="77777777" w:rsidR="00B67287" w:rsidRDefault="001120BB" w:rsidP="00B6728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829FA" w14:textId="77777777" w:rsidR="00B67287" w:rsidRDefault="001120BB" w:rsidP="00B67287">
    <w:pPr>
      <w:pStyle w:val="a5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30B8B9" w14:textId="77777777" w:rsidR="00B67287" w:rsidRDefault="001120BB" w:rsidP="00B6728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D61B9C" w14:textId="77777777" w:rsidR="00B67287" w:rsidRPr="00A601D2" w:rsidRDefault="001120BB" w:rsidP="00A601D2">
    <w:pPr>
      <w:pStyle w:val="a3"/>
      <w:pBdr>
        <w:bottom w:val="single" w:sz="6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75EE1E" w14:textId="77777777" w:rsidR="00B67287" w:rsidRDefault="001120BB" w:rsidP="00B6728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1sTQ3NzU2MzCxNDRS0lEKTi0uzszPAykwrAUAqR1K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B3F87"/>
    <w:rsid w:val="001120BB"/>
    <w:rsid w:val="0031661D"/>
    <w:rsid w:val="00AB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A864D"/>
  <w15:chartTrackingRefBased/>
  <w15:docId w15:val="{8A9EC979-A73F-4033-84A3-C56158E90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3F87"/>
    <w:pPr>
      <w:spacing w:line="300" w:lineRule="auto"/>
      <w:ind w:firstLineChars="200" w:firstLine="200"/>
      <w:jc w:val="both"/>
    </w:pPr>
    <w:rPr>
      <w:rFonts w:ascii="Times New Roman" w:eastAsia="SimSun" w:hAnsi="Times New Roman" w:cs="Times New Roman"/>
      <w:sz w:val="24"/>
      <w:szCs w:val="20"/>
    </w:rPr>
  </w:style>
  <w:style w:type="character" w:default="1" w:styleId="a0">
    <w:name w:val="Default Paragraph Font"/>
    <w:uiPriority w:val="1"/>
    <w:unhideWhenUsed/>
    <w:rsid w:val="00AB3F87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AB3F87"/>
  </w:style>
  <w:style w:type="paragraph" w:styleId="a3">
    <w:name w:val="header"/>
    <w:basedOn w:val="a"/>
    <w:link w:val="a4"/>
    <w:uiPriority w:val="99"/>
    <w:semiHidden/>
    <w:unhideWhenUsed/>
    <w:rsid w:val="00AB3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B3F87"/>
    <w:rPr>
      <w:rFonts w:ascii="Times New Roman" w:eastAsia="SimSu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3F8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3F87"/>
    <w:rPr>
      <w:rFonts w:ascii="Times New Roman" w:eastAsia="SimSun" w:hAnsi="Times New Roman" w:cs="Times New Roman"/>
      <w:sz w:val="18"/>
      <w:szCs w:val="18"/>
    </w:rPr>
  </w:style>
  <w:style w:type="character" w:customStyle="1" w:styleId="fontstyle01">
    <w:name w:val="fontstyle01"/>
    <w:basedOn w:val="a0"/>
    <w:rsid w:val="00AB3F87"/>
    <w:rPr>
      <w:rFonts w:ascii="PpbkdfAdvTT3713a231" w:hAnsi="PpbkdfAdvTT3713a231" w:hint="default"/>
      <w:b w:val="0"/>
      <w:bCs w:val="0"/>
      <w:i w:val="0"/>
      <w:iCs w:val="0"/>
      <w:color w:val="131413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B3F87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AB3F87"/>
    <w:rPr>
      <w:rFonts w:ascii="Times New Roman" w:eastAsia="SimSun" w:hAnsi="Times New Roman" w:cs="Times New Roman"/>
      <w:noProof/>
      <w:sz w:val="24"/>
      <w:szCs w:val="20"/>
    </w:rPr>
  </w:style>
  <w:style w:type="paragraph" w:customStyle="1" w:styleId="EndNoteBibliography">
    <w:name w:val="EndNote Bibliography"/>
    <w:basedOn w:val="a"/>
    <w:link w:val="EndNoteBibliography0"/>
    <w:rsid w:val="00AB3F87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AB3F87"/>
    <w:rPr>
      <w:rFonts w:ascii="Times New Roman" w:eastAsia="SimSun" w:hAnsi="Times New Roman" w:cs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tiff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WF Huang</dc:creator>
  <cp:keywords/>
  <dc:description/>
  <cp:lastModifiedBy>WF Huang</cp:lastModifiedBy>
  <cp:revision>2</cp:revision>
  <dcterms:created xsi:type="dcterms:W3CDTF">2020-10-07T13:09:00Z</dcterms:created>
  <dcterms:modified xsi:type="dcterms:W3CDTF">2020-10-07T13:13:00Z</dcterms:modified>
</cp:coreProperties>
</file>