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A5DEB" w14:textId="5A3200B2" w:rsidR="00263F81" w:rsidRPr="008B306B" w:rsidRDefault="00556CC0" w:rsidP="00066BEC">
      <w:pPr>
        <w:rPr>
          <w:rFonts w:ascii="Times New Roman" w:eastAsia="Lucida Sans Unicode" w:hAnsi="Times New Roman" w:cs="Times New Roman"/>
          <w:b/>
          <w:kern w:val="3"/>
          <w:sz w:val="28"/>
          <w:szCs w:val="28"/>
          <w:lang w:eastAsia="en-IN"/>
        </w:rPr>
      </w:pPr>
      <w:bookmarkStart w:id="0" w:name="_Hlk219800668"/>
      <w:bookmarkEnd w:id="0"/>
      <w:r w:rsidRPr="008B306B">
        <w:rPr>
          <w:rFonts w:ascii="Times New Roman" w:eastAsia="Lucida Sans Unicode" w:hAnsi="Times New Roman" w:cs="Times New Roman"/>
          <w:b/>
          <w:kern w:val="3"/>
          <w:sz w:val="28"/>
          <w:szCs w:val="28"/>
          <w:lang w:eastAsia="en-IN"/>
        </w:rPr>
        <w:t xml:space="preserve">                         </w:t>
      </w:r>
      <w:r w:rsidR="009E4D5A" w:rsidRPr="008B306B">
        <w:rPr>
          <w:rFonts w:ascii="Times New Roman" w:eastAsia="Lucida Sans Unicode" w:hAnsi="Times New Roman" w:cs="Times New Roman"/>
          <w:b/>
          <w:kern w:val="3"/>
          <w:sz w:val="28"/>
          <w:szCs w:val="28"/>
          <w:lang w:eastAsia="en-IN"/>
        </w:rPr>
        <w:t xml:space="preserve">   </w:t>
      </w:r>
      <w:r w:rsidRPr="008B306B">
        <w:rPr>
          <w:rFonts w:ascii="Times New Roman" w:eastAsia="Lucida Sans Unicode" w:hAnsi="Times New Roman" w:cs="Times New Roman"/>
          <w:b/>
          <w:kern w:val="3"/>
          <w:sz w:val="28"/>
          <w:szCs w:val="28"/>
          <w:lang w:eastAsia="en-IN"/>
        </w:rPr>
        <w:t xml:space="preserve">  </w:t>
      </w:r>
      <w:r w:rsidR="009E4D5A" w:rsidRPr="008B306B">
        <w:rPr>
          <w:rFonts w:ascii="Times New Roman" w:eastAsia="Lucida Sans Unicode" w:hAnsi="Times New Roman" w:cs="Times New Roman"/>
          <w:b/>
          <w:kern w:val="3"/>
          <w:sz w:val="28"/>
          <w:szCs w:val="28"/>
          <w:lang w:eastAsia="en-IN"/>
        </w:rPr>
        <w:t xml:space="preserve"> </w:t>
      </w:r>
      <w:r w:rsidR="00897D78" w:rsidRPr="008B306B">
        <w:rPr>
          <w:rFonts w:ascii="Times New Roman" w:eastAsia="Lucida Sans Unicode" w:hAnsi="Times New Roman" w:cs="Times New Roman"/>
          <w:b/>
          <w:kern w:val="3"/>
          <w:sz w:val="28"/>
          <w:szCs w:val="28"/>
          <w:lang w:eastAsia="en-IN"/>
        </w:rPr>
        <w:t xml:space="preserve">Research Protocol Template (AIMS) </w:t>
      </w:r>
    </w:p>
    <w:p w14:paraId="7905EDC9" w14:textId="529C889E" w:rsidR="00556CC0" w:rsidRPr="008B306B" w:rsidRDefault="00556CC0" w:rsidP="00066BEC">
      <w:pPr>
        <w:rPr>
          <w:rFonts w:ascii="Times New Roman" w:hAnsi="Times New Roman" w:cs="Times New Roman"/>
          <w:b/>
          <w:sz w:val="28"/>
          <w:szCs w:val="28"/>
        </w:rPr>
      </w:pPr>
    </w:p>
    <w:p w14:paraId="4658DFB6" w14:textId="3CEC9545" w:rsidR="00066BEC" w:rsidRPr="008B306B" w:rsidRDefault="00263F81" w:rsidP="00066BEC">
      <w:pPr>
        <w:rPr>
          <w:rFonts w:ascii="Times New Roman" w:hAnsi="Times New Roman" w:cs="Times New Roman"/>
          <w:sz w:val="28"/>
          <w:szCs w:val="28"/>
        </w:rPr>
      </w:pPr>
      <w:r w:rsidRPr="008B306B">
        <w:rPr>
          <w:rFonts w:ascii="Times New Roman" w:hAnsi="Times New Roman" w:cs="Times New Roman"/>
          <w:sz w:val="28"/>
          <w:szCs w:val="28"/>
        </w:rPr>
        <w:t xml:space="preserve">Proposed Title: </w:t>
      </w:r>
      <w:r w:rsidR="00066BEC" w:rsidRPr="008B306B">
        <w:rPr>
          <w:rFonts w:ascii="Times New Roman" w:hAnsi="Times New Roman" w:cs="Times New Roman"/>
          <w:sz w:val="28"/>
          <w:szCs w:val="28"/>
        </w:rPr>
        <w:t xml:space="preserve">Prognostic Significance of Circulating Tumour Cells and Emboli in Oral Tongue Squamous Cell Carcinoma (OTSCC): A Prospective Single- </w:t>
      </w:r>
      <w:proofErr w:type="spellStart"/>
      <w:r w:rsidR="00066BEC" w:rsidRPr="008B306B">
        <w:rPr>
          <w:rFonts w:ascii="Times New Roman" w:hAnsi="Times New Roman" w:cs="Times New Roman"/>
          <w:sz w:val="28"/>
          <w:szCs w:val="28"/>
        </w:rPr>
        <w:t>Center</w:t>
      </w:r>
      <w:proofErr w:type="spellEnd"/>
      <w:r w:rsidR="00066BEC" w:rsidRPr="008B306B">
        <w:rPr>
          <w:rFonts w:ascii="Times New Roman" w:hAnsi="Times New Roman" w:cs="Times New Roman"/>
          <w:sz w:val="28"/>
          <w:szCs w:val="28"/>
        </w:rPr>
        <w:t xml:space="preserve"> Study</w:t>
      </w:r>
    </w:p>
    <w:p w14:paraId="0B0869D6" w14:textId="68C3256F"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Background</w:t>
      </w:r>
    </w:p>
    <w:p w14:paraId="5CD0E2B9"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Oral tongue squamous cell carcinoma (OTSCC) is one of the most common cancers affecting the oral cavity. Although treatment methods have improved over the years, many patients still develop recurrence or metastasis after treatment. Early identification of patients at high risk of recurrence remains a major challenge.</w:t>
      </w:r>
    </w:p>
    <w:p w14:paraId="5496C4F2"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 xml:space="preserve">Circulating tumour cells (CTCs) are cancer cells that detach from the primary tumour and enter the bloodstream. Sometimes these cells travel as groups, called circulating tumour </w:t>
      </w:r>
      <w:proofErr w:type="spellStart"/>
      <w:r w:rsidRPr="008B306B">
        <w:rPr>
          <w:rFonts w:ascii="Times New Roman" w:hAnsi="Times New Roman" w:cs="Times New Roman"/>
          <w:sz w:val="28"/>
          <w:szCs w:val="28"/>
        </w:rPr>
        <w:t>microemboli</w:t>
      </w:r>
      <w:proofErr w:type="spellEnd"/>
      <w:r w:rsidRPr="008B306B">
        <w:rPr>
          <w:rFonts w:ascii="Times New Roman" w:hAnsi="Times New Roman" w:cs="Times New Roman"/>
          <w:sz w:val="28"/>
          <w:szCs w:val="28"/>
        </w:rPr>
        <w:t xml:space="preserve"> (CTM) or tumour emboli. Studies have shown that tumour cell clusters have a much higher ability to form metastasis than single tumour cells.</w:t>
      </w:r>
    </w:p>
    <w:p w14:paraId="370E6DC7"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Aim</w:t>
      </w:r>
    </w:p>
    <w:p w14:paraId="3F963A6B"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To evaluate the prognostic significance of circulating tumour cells and tumour emboli in patients with oral tongue squamous cell carcinoma and to determine their association with clinicopathological characteristics, recurrence, disease-free survival, and overall survival.</w:t>
      </w:r>
    </w:p>
    <w:p w14:paraId="014BED85"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Methods</w:t>
      </w:r>
    </w:p>
    <w:p w14:paraId="58E3C834"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 xml:space="preserve">This prospective observational cohort study included newly diagnosed patients with oral tongue squamous cell carcinoma who underwent curative surgery at a tertiary cancer centre. Peripheral blood samples were collected before surgery for CTC and CTM analysis using the </w:t>
      </w:r>
      <w:proofErr w:type="spellStart"/>
      <w:r w:rsidRPr="008B306B">
        <w:rPr>
          <w:rFonts w:ascii="Times New Roman" w:hAnsi="Times New Roman" w:cs="Times New Roman"/>
          <w:sz w:val="28"/>
          <w:szCs w:val="28"/>
        </w:rPr>
        <w:t>OncoDiscover</w:t>
      </w:r>
      <w:proofErr w:type="spellEnd"/>
      <w:r w:rsidRPr="008B306B">
        <w:rPr>
          <w:rFonts w:ascii="Times New Roman" w:hAnsi="Times New Roman" w:cs="Times New Roman"/>
          <w:sz w:val="28"/>
          <w:szCs w:val="28"/>
        </w:rPr>
        <w:t xml:space="preserve"> immunomagnetic enrichment platform. Patients were followed after treatment to record recurrence and survival outcomes.</w:t>
      </w:r>
    </w:p>
    <w:p w14:paraId="35845845"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Expected Outcome</w:t>
      </w:r>
    </w:p>
    <w:p w14:paraId="313B2B28"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 xml:space="preserve">The study aims to determine whether circulating tumour cells and tumour emboli can serve as reliable prognostic biomarkers for predicting recurrence and </w:t>
      </w:r>
      <w:r w:rsidRPr="008B306B">
        <w:rPr>
          <w:rFonts w:ascii="Times New Roman" w:hAnsi="Times New Roman" w:cs="Times New Roman"/>
          <w:sz w:val="28"/>
          <w:szCs w:val="28"/>
        </w:rPr>
        <w:lastRenderedPageBreak/>
        <w:t>survival in OTSCC. The findings may help identify high-risk patients who require closer follow-up and personalized treatment.</w:t>
      </w:r>
    </w:p>
    <w:p w14:paraId="39A4F540" w14:textId="5382F030"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BACKGROUND</w:t>
      </w:r>
    </w:p>
    <w:p w14:paraId="0861637B"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Oral cancer is one of the most common cancers worldwide and remains a major public health problem. According to global cancer statistics, oral cavity cancers account for a significant proportion of cancer-related deaths, particularly in developing countries.</w:t>
      </w:r>
    </w:p>
    <w:p w14:paraId="1B322740"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Among oral cancers, oral squamous cell carcinoma (OSCC) accounts for nearly 90–95% of all cases. The tongue is one of the most frequently affected sites. In India, oral tongue squamous cell carcinoma represents a major health burden because of the high prevalence of tobacco use, alcohol consumption, and other lifestyle-related risk factors.</w:t>
      </w:r>
    </w:p>
    <w:p w14:paraId="6E187340"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Despite improvements in surgery, radiotherapy, chemotherapy, and targeted therapy, the survival rate of patients with OTSCC has improved only slightly over the last few decades. Many patients develop local recurrence, regional lymph node metastasis, or distant metastasis even after receiving appropriate treatment.</w:t>
      </w:r>
    </w:p>
    <w:p w14:paraId="3B0A5683"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One of the main reasons for treatment failure is the spread of tumour cells from the primary tumour to distant organs. Before visible metastasis develops, tumour cells may enter the bloodstream and travel to different parts of the body. These cells are called circulating tumour cells (CTCs).</w:t>
      </w:r>
    </w:p>
    <w:p w14:paraId="16A5A799"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 xml:space="preserve">CTCs can travel as single cells or as clusters of tumour cells. Tumour cell clusters, also known as circulating tumour </w:t>
      </w:r>
      <w:proofErr w:type="spellStart"/>
      <w:r w:rsidRPr="008B306B">
        <w:rPr>
          <w:rFonts w:ascii="Times New Roman" w:hAnsi="Times New Roman" w:cs="Times New Roman"/>
          <w:sz w:val="28"/>
          <w:szCs w:val="28"/>
        </w:rPr>
        <w:t>microemboli</w:t>
      </w:r>
      <w:proofErr w:type="spellEnd"/>
      <w:r w:rsidRPr="008B306B">
        <w:rPr>
          <w:rFonts w:ascii="Times New Roman" w:hAnsi="Times New Roman" w:cs="Times New Roman"/>
          <w:sz w:val="28"/>
          <w:szCs w:val="28"/>
        </w:rPr>
        <w:t xml:space="preserve"> (CTM), have been shown to possess a much greater metastatic potential than isolated tumour cells. These clusters are more resistant to apoptosis, survive better in circulation, and are more likely to establish metastatic lesions.</w:t>
      </w:r>
    </w:p>
    <w:p w14:paraId="6C1B6169"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Recent advances in liquid biopsy technology have made it possible to detect CTCs using peripheral blood samples. Liquid biopsy is a minimally invasive technique that provides real-time information about tumour biology and disease progression.</w:t>
      </w:r>
    </w:p>
    <w:p w14:paraId="7174E843"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 xml:space="preserve">Although CTCs have been studied extensively in breast, colorectal, prostate, and lung cancers, there are relatively few prospective studies evaluating their prognostic significance in oral tongue squamous cell carcinoma. Furthermore, </w:t>
      </w:r>
      <w:r w:rsidRPr="008B306B">
        <w:rPr>
          <w:rFonts w:ascii="Times New Roman" w:hAnsi="Times New Roman" w:cs="Times New Roman"/>
          <w:sz w:val="28"/>
          <w:szCs w:val="28"/>
        </w:rPr>
        <w:lastRenderedPageBreak/>
        <w:t>limited information is available regarding the clinical significance of circulating tumour emboli in OTSCC.</w:t>
      </w:r>
    </w:p>
    <w:p w14:paraId="1EF07DDF" w14:textId="4B3B1C30"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RATIONALE</w:t>
      </w:r>
    </w:p>
    <w:p w14:paraId="0B199953"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Most patients with oral tongue squamous cell carcinoma are diagnosed at an advanced stage. Although treatment has improved considerably, recurrence and metastasis remain common causes of treatment failure and death.</w:t>
      </w:r>
    </w:p>
    <w:p w14:paraId="701BB94D"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Currently available prognostic indicators mainly depend on clinical stage and histopathological findings after surgery. These parameters do not always accurately identify patients who are at high risk of recurrence.</w:t>
      </w:r>
    </w:p>
    <w:p w14:paraId="72A0A8FE"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Circulating tumour cells and tumour emboli represent important biomarkers of tumour dissemination. Detecting these cells before surgery may provide additional prognostic information that cannot be obtained through routine pathological examination.</w:t>
      </w:r>
    </w:p>
    <w:p w14:paraId="18801961"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The present study was therefore designed to investigate whether CTCs and tumour emboli detected in peripheral blood could predict recurrence, disease-free survival, and overall survival in patients with oral tongue squamous cell carcinoma.</w:t>
      </w:r>
    </w:p>
    <w:p w14:paraId="74CFAD38" w14:textId="6DB5ABC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CURRENT RELEVANCE</w:t>
      </w:r>
    </w:p>
    <w:p w14:paraId="5E35324E"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Liquid biopsy has emerged as an important tool in precision oncology. Unlike tissue biopsy, it is minimally invasive and can be repeated during different stages of treatment.</w:t>
      </w:r>
    </w:p>
    <w:p w14:paraId="39D7C901"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Several studies have demonstrated the prognostic value of circulating tumour cells in different solid malignancies. However, evidence regarding their role in oral tongue squamous cell carcinoma remains limited.</w:t>
      </w:r>
    </w:p>
    <w:p w14:paraId="26471012"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This study provides prospective clinical evidence regarding the association between circulating tumour cells, tumour emboli, and patient outcomes in OTSCC. The findings may contribute to improved risk stratification, individualized follow-up, and future development of precision oncology approaches in oral cancer.</w:t>
      </w:r>
    </w:p>
    <w:p w14:paraId="29B66305" w14:textId="44E3E48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 xml:space="preserve">STUDY HYPOTHESIS </w:t>
      </w:r>
    </w:p>
    <w:p w14:paraId="550176A8"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lastRenderedPageBreak/>
        <w:t>Patients with detectable circulating tumour cells and tumour emboli before treatment have a higher risk of recurrence and poorer survival compared with patients without detectable circulating tumour cells.</w:t>
      </w:r>
    </w:p>
    <w:p w14:paraId="77C1A0B8" w14:textId="7841288F"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STUDY OBJECTIVES</w:t>
      </w:r>
    </w:p>
    <w:p w14:paraId="5A3F9885"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Primary Objective</w:t>
      </w:r>
    </w:p>
    <w:p w14:paraId="54CB12E3"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To evaluate the prognostic significance of circulating tumour cells and tumour emboli in patients with oral tongue squamous cell carcinoma.</w:t>
      </w:r>
    </w:p>
    <w:p w14:paraId="0DA06FE0"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Secondary Objectives</w:t>
      </w:r>
    </w:p>
    <w:p w14:paraId="5931D99A" w14:textId="77777777" w:rsidR="009E30FC" w:rsidRPr="008B306B" w:rsidRDefault="009E30FC" w:rsidP="009E30FC">
      <w:pPr>
        <w:numPr>
          <w:ilvl w:val="0"/>
          <w:numId w:val="1"/>
        </w:numPr>
        <w:rPr>
          <w:rFonts w:ascii="Times New Roman" w:hAnsi="Times New Roman" w:cs="Times New Roman"/>
          <w:sz w:val="28"/>
          <w:szCs w:val="28"/>
        </w:rPr>
      </w:pPr>
      <w:r w:rsidRPr="008B306B">
        <w:rPr>
          <w:rFonts w:ascii="Times New Roman" w:hAnsi="Times New Roman" w:cs="Times New Roman"/>
          <w:sz w:val="28"/>
          <w:szCs w:val="28"/>
        </w:rPr>
        <w:t xml:space="preserve">To assess the association between CTCs and disease recurrence. </w:t>
      </w:r>
    </w:p>
    <w:p w14:paraId="6875D0A5" w14:textId="77777777" w:rsidR="009E30FC" w:rsidRPr="008B306B" w:rsidRDefault="009E30FC" w:rsidP="009E30FC">
      <w:pPr>
        <w:numPr>
          <w:ilvl w:val="0"/>
          <w:numId w:val="1"/>
        </w:numPr>
        <w:rPr>
          <w:rFonts w:ascii="Times New Roman" w:hAnsi="Times New Roman" w:cs="Times New Roman"/>
          <w:sz w:val="28"/>
          <w:szCs w:val="28"/>
        </w:rPr>
      </w:pPr>
      <w:r w:rsidRPr="008B306B">
        <w:rPr>
          <w:rFonts w:ascii="Times New Roman" w:hAnsi="Times New Roman" w:cs="Times New Roman"/>
          <w:sz w:val="28"/>
          <w:szCs w:val="28"/>
        </w:rPr>
        <w:t xml:space="preserve">To determine the relationship between CTCs and disease-free survival. </w:t>
      </w:r>
    </w:p>
    <w:p w14:paraId="3CF26777" w14:textId="77777777" w:rsidR="009E30FC" w:rsidRPr="008B306B" w:rsidRDefault="009E30FC" w:rsidP="009E30FC">
      <w:pPr>
        <w:numPr>
          <w:ilvl w:val="0"/>
          <w:numId w:val="1"/>
        </w:numPr>
        <w:rPr>
          <w:rFonts w:ascii="Times New Roman" w:hAnsi="Times New Roman" w:cs="Times New Roman"/>
          <w:sz w:val="28"/>
          <w:szCs w:val="28"/>
        </w:rPr>
      </w:pPr>
      <w:r w:rsidRPr="008B306B">
        <w:rPr>
          <w:rFonts w:ascii="Times New Roman" w:hAnsi="Times New Roman" w:cs="Times New Roman"/>
          <w:sz w:val="28"/>
          <w:szCs w:val="28"/>
        </w:rPr>
        <w:t xml:space="preserve">To evaluate whether tumour emboli provide additional prognostic information beyond conventional clinicopathological parameters. </w:t>
      </w:r>
    </w:p>
    <w:p w14:paraId="29B2D710" w14:textId="0B72F8A5"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STUDY DESIGN</w:t>
      </w:r>
    </w:p>
    <w:p w14:paraId="4CF13EC7"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This was a prospective observational cohort study conducted at a tertiary care cancer centre.</w:t>
      </w:r>
    </w:p>
    <w:p w14:paraId="168925AC" w14:textId="6CE05189"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 xml:space="preserve">Eligible patients with newly diagnosed </w:t>
      </w:r>
      <w:r w:rsidR="00990E05" w:rsidRPr="008B306B">
        <w:rPr>
          <w:rFonts w:ascii="Times New Roman" w:hAnsi="Times New Roman" w:cs="Times New Roman"/>
          <w:sz w:val="28"/>
          <w:szCs w:val="28"/>
        </w:rPr>
        <w:t>OTSCC to be</w:t>
      </w:r>
      <w:r w:rsidRPr="008B306B">
        <w:rPr>
          <w:rFonts w:ascii="Times New Roman" w:hAnsi="Times New Roman" w:cs="Times New Roman"/>
          <w:sz w:val="28"/>
          <w:szCs w:val="28"/>
        </w:rPr>
        <w:t xml:space="preserve"> enrolled consecutively after obtaining written informed consent. Blood samples </w:t>
      </w:r>
      <w:r w:rsidR="00990E05" w:rsidRPr="008B306B">
        <w:rPr>
          <w:rFonts w:ascii="Times New Roman" w:hAnsi="Times New Roman" w:cs="Times New Roman"/>
          <w:sz w:val="28"/>
          <w:szCs w:val="28"/>
        </w:rPr>
        <w:t>to</w:t>
      </w:r>
      <w:r w:rsidRPr="008B306B">
        <w:rPr>
          <w:rFonts w:ascii="Times New Roman" w:hAnsi="Times New Roman" w:cs="Times New Roman"/>
          <w:sz w:val="28"/>
          <w:szCs w:val="28"/>
        </w:rPr>
        <w:t xml:space="preserve"> collected before surgery for circulating tumour cell analysis. Patients</w:t>
      </w:r>
      <w:r w:rsidR="00046E64" w:rsidRPr="008B306B">
        <w:rPr>
          <w:rFonts w:ascii="Times New Roman" w:hAnsi="Times New Roman" w:cs="Times New Roman"/>
          <w:sz w:val="28"/>
          <w:szCs w:val="28"/>
        </w:rPr>
        <w:t xml:space="preserve"> who</w:t>
      </w:r>
      <w:r w:rsidRPr="008B306B">
        <w:rPr>
          <w:rFonts w:ascii="Times New Roman" w:hAnsi="Times New Roman" w:cs="Times New Roman"/>
          <w:sz w:val="28"/>
          <w:szCs w:val="28"/>
        </w:rPr>
        <w:t xml:space="preserve"> </w:t>
      </w:r>
      <w:proofErr w:type="gramStart"/>
      <w:r w:rsidRPr="008B306B">
        <w:rPr>
          <w:rFonts w:ascii="Times New Roman" w:hAnsi="Times New Roman" w:cs="Times New Roman"/>
          <w:sz w:val="28"/>
          <w:szCs w:val="28"/>
        </w:rPr>
        <w:t>under</w:t>
      </w:r>
      <w:r w:rsidR="00046E64" w:rsidRPr="008B306B">
        <w:rPr>
          <w:rFonts w:ascii="Times New Roman" w:hAnsi="Times New Roman" w:cs="Times New Roman"/>
          <w:sz w:val="28"/>
          <w:szCs w:val="28"/>
        </w:rPr>
        <w:t>goes</w:t>
      </w:r>
      <w:proofErr w:type="gramEnd"/>
      <w:r w:rsidR="00046E64" w:rsidRPr="008B306B">
        <w:rPr>
          <w:rFonts w:ascii="Times New Roman" w:hAnsi="Times New Roman" w:cs="Times New Roman"/>
          <w:sz w:val="28"/>
          <w:szCs w:val="28"/>
        </w:rPr>
        <w:t xml:space="preserve"> </w:t>
      </w:r>
      <w:r w:rsidRPr="008B306B">
        <w:rPr>
          <w:rFonts w:ascii="Times New Roman" w:hAnsi="Times New Roman" w:cs="Times New Roman"/>
          <w:sz w:val="28"/>
          <w:szCs w:val="28"/>
        </w:rPr>
        <w:t xml:space="preserve">standard treatment according to institutional protocols and </w:t>
      </w:r>
      <w:r w:rsidR="00046E64" w:rsidRPr="008B306B">
        <w:rPr>
          <w:rFonts w:ascii="Times New Roman" w:hAnsi="Times New Roman" w:cs="Times New Roman"/>
          <w:sz w:val="28"/>
          <w:szCs w:val="28"/>
        </w:rPr>
        <w:t>are</w:t>
      </w:r>
      <w:r w:rsidRPr="008B306B">
        <w:rPr>
          <w:rFonts w:ascii="Times New Roman" w:hAnsi="Times New Roman" w:cs="Times New Roman"/>
          <w:sz w:val="28"/>
          <w:szCs w:val="28"/>
        </w:rPr>
        <w:t xml:space="preserve"> followed prospectively to assess recurrence and survival outcomes.</w:t>
      </w:r>
      <w:r w:rsidR="00046E64" w:rsidRPr="008B306B">
        <w:rPr>
          <w:rFonts w:ascii="Times New Roman" w:hAnsi="Times New Roman" w:cs="Times New Roman"/>
          <w:sz w:val="28"/>
          <w:szCs w:val="28"/>
        </w:rPr>
        <w:t xml:space="preserve"> </w:t>
      </w:r>
      <w:r w:rsidRPr="008B306B">
        <w:rPr>
          <w:rFonts w:ascii="Times New Roman" w:hAnsi="Times New Roman" w:cs="Times New Roman"/>
          <w:sz w:val="28"/>
          <w:szCs w:val="28"/>
        </w:rPr>
        <w:t>No additional intervention was performed as part of the study.</w:t>
      </w:r>
    </w:p>
    <w:p w14:paraId="67E5D736" w14:textId="47597243"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Study Description</w:t>
      </w:r>
    </w:p>
    <w:p w14:paraId="56619060" w14:textId="702C5A6D" w:rsidR="005B2574" w:rsidRPr="008B306B" w:rsidRDefault="005B2574" w:rsidP="005B2574">
      <w:pPr>
        <w:rPr>
          <w:rFonts w:ascii="Times New Roman" w:hAnsi="Times New Roman" w:cs="Times New Roman"/>
          <w:b/>
          <w:bCs/>
          <w:sz w:val="28"/>
          <w:szCs w:val="28"/>
        </w:rPr>
      </w:pPr>
      <w:r w:rsidRPr="008B306B">
        <w:rPr>
          <w:rFonts w:ascii="Times New Roman" w:hAnsi="Times New Roman" w:cs="Times New Roman"/>
          <w:b/>
          <w:bCs/>
          <w:noProof/>
          <w:sz w:val="28"/>
          <w:szCs w:val="28"/>
        </w:rPr>
        <w:drawing>
          <wp:inline distT="0" distB="0" distL="0" distR="0" wp14:anchorId="26DBB954" wp14:editId="20582266">
            <wp:extent cx="4978400" cy="1847850"/>
            <wp:effectExtent l="0" t="0" r="0" b="0"/>
            <wp:docPr id="17279978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78400" cy="1847850"/>
                    </a:xfrm>
                    <a:prstGeom prst="rect">
                      <a:avLst/>
                    </a:prstGeom>
                    <a:noFill/>
                    <a:ln>
                      <a:noFill/>
                    </a:ln>
                  </pic:spPr>
                </pic:pic>
              </a:graphicData>
            </a:graphic>
          </wp:inline>
        </w:drawing>
      </w:r>
    </w:p>
    <w:p w14:paraId="77EC89F0" w14:textId="77777777" w:rsidR="005B2574" w:rsidRPr="008B306B" w:rsidRDefault="005B2574" w:rsidP="005B2574">
      <w:pPr>
        <w:rPr>
          <w:rFonts w:ascii="Times New Roman" w:hAnsi="Times New Roman" w:cs="Times New Roman"/>
          <w:b/>
          <w:bCs/>
          <w:sz w:val="28"/>
          <w:szCs w:val="28"/>
        </w:rPr>
      </w:pPr>
    </w:p>
    <w:p w14:paraId="4874BEF0" w14:textId="77777777" w:rsidR="005B2574" w:rsidRPr="008B306B" w:rsidRDefault="005B2574" w:rsidP="005B2574">
      <w:pPr>
        <w:rPr>
          <w:rFonts w:ascii="Times New Roman" w:hAnsi="Times New Roman" w:cs="Times New Roman"/>
          <w:b/>
          <w:bCs/>
          <w:sz w:val="28"/>
          <w:szCs w:val="28"/>
        </w:rPr>
      </w:pPr>
      <w:r w:rsidRPr="008B306B">
        <w:rPr>
          <w:rFonts w:ascii="Times New Roman" w:hAnsi="Times New Roman" w:cs="Times New Roman"/>
          <w:b/>
          <w:bCs/>
          <w:sz w:val="28"/>
          <w:szCs w:val="28"/>
        </w:rPr>
        <w:lastRenderedPageBreak/>
        <w:t>Fig 1: Flow chart of Study Design</w:t>
      </w:r>
    </w:p>
    <w:p w14:paraId="777E1B97"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(a) Study Design</w:t>
      </w:r>
    </w:p>
    <w:p w14:paraId="3BF55C0D" w14:textId="49C41AE0"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 xml:space="preserve">This is a prospective observational study conducted to evaluate the prognostic significance of circulating tumour cells (CTCs) and circulating tumour cell clusters (tumour emboli) in patients with OTSCC. Patients will be enrolled before treatment and followed after treatment to assess disease recurrence and survival. </w:t>
      </w:r>
    </w:p>
    <w:p w14:paraId="00052AD9"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(b) Study Setting</w:t>
      </w:r>
    </w:p>
    <w:p w14:paraId="61497DC1" w14:textId="6BB77F22"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 xml:space="preserve">The study will be carried out at the Department of Head and Neck Oncology and the Department of Pathology, Amrita Institute of Medical Sciences (AIMS), Kochi, a tertiary care referral centre for cancer treatment. Patients diagnosed with oral tongue squamous cell carcinoma who meet the eligibility criteria will be included in the study. </w:t>
      </w:r>
    </w:p>
    <w:p w14:paraId="1469FCBD"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(c) Short Description of the Conduct of the Study</w:t>
      </w:r>
    </w:p>
    <w:p w14:paraId="4111888C"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Patients with newly diagnosed oral tongue squamous cell carcinoma will be screened for eligibility. After explaining the study and obtaining written informed consent, demographic details, clinical history, and tumour characteristics will be recorded.</w:t>
      </w:r>
    </w:p>
    <w:p w14:paraId="58B02AF0"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 xml:space="preserve">Peripheral blood samples will be collected before surgery for circulating tumour cell analysis. The collected blood samples will be processed using the approved </w:t>
      </w:r>
      <w:proofErr w:type="spellStart"/>
      <w:r w:rsidRPr="008B306B">
        <w:rPr>
          <w:rFonts w:ascii="Times New Roman" w:hAnsi="Times New Roman" w:cs="Times New Roman"/>
          <w:b/>
          <w:bCs/>
          <w:sz w:val="28"/>
          <w:szCs w:val="28"/>
        </w:rPr>
        <w:t>OncoDiscover</w:t>
      </w:r>
      <w:proofErr w:type="spellEnd"/>
      <w:r w:rsidRPr="008B306B">
        <w:rPr>
          <w:rFonts w:ascii="Times New Roman" w:hAnsi="Times New Roman" w:cs="Times New Roman"/>
          <w:b/>
          <w:bCs/>
          <w:sz w:val="28"/>
          <w:szCs w:val="28"/>
        </w:rPr>
        <w:t xml:space="preserve"> liquid biopsy technology</w:t>
      </w:r>
      <w:r w:rsidRPr="008B306B">
        <w:rPr>
          <w:rFonts w:ascii="Times New Roman" w:hAnsi="Times New Roman" w:cs="Times New Roman"/>
          <w:sz w:val="28"/>
          <w:szCs w:val="28"/>
        </w:rPr>
        <w:t>, which is based on immunomagnetic enrichment for circulating tumour cell detection.</w:t>
      </w:r>
    </w:p>
    <w:p w14:paraId="796C2F59"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All patients will receive standard treatment as planned by the treating Head and Neck Oncology team. Surgical specimens and lymph node specimens will be examined by the Department of Pathology. Histopathological findings, including tumour characteristics and nodal status, will be recorded.</w:t>
      </w:r>
    </w:p>
    <w:p w14:paraId="1EED030B" w14:textId="0D4BA0CB"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Patients will be followed after treatment according to the institutional follow-up schedule. Information regarding recurrence, disease-free survival, and overall survival will be collected and analysed to determine the prognostic significance of circulating tumour cells and tumour emboli.</w:t>
      </w:r>
      <w:r w:rsidRPr="008B306B">
        <w:rPr>
          <w:rFonts w:ascii="Times New Roman" w:hAnsi="Times New Roman" w:cs="Times New Roman"/>
          <w:sz w:val="28"/>
          <w:szCs w:val="28"/>
        </w:rPr>
        <w:br/>
        <w:t>Clinical information, laboratory findings, histopathological parameters, and follow-up data will be entered into a structured database for analysis. Patient confidentiality will be maintained throughout the study.</w:t>
      </w:r>
    </w:p>
    <w:p w14:paraId="059A7F63" w14:textId="00CC0EDF" w:rsidR="009E30FC" w:rsidRPr="008B306B" w:rsidRDefault="009E30FC" w:rsidP="009E30FC">
      <w:pPr>
        <w:rPr>
          <w:rFonts w:ascii="Times New Roman" w:hAnsi="Times New Roman" w:cs="Times New Roman"/>
          <w:sz w:val="28"/>
          <w:szCs w:val="28"/>
        </w:rPr>
      </w:pPr>
    </w:p>
    <w:p w14:paraId="1315A9E5"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(d) Study Duration</w:t>
      </w:r>
    </w:p>
    <w:p w14:paraId="21523AEA" w14:textId="28DC3FD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The study will be conducted over the period specified in the approved protocol. Patient recruitment, blood sample collection, laboratory analysis, treatment, and follow-up will be completed during the study period.</w:t>
      </w:r>
    </w:p>
    <w:p w14:paraId="6AAAF367" w14:textId="296435BF" w:rsidR="009E30FC" w:rsidRPr="008B306B" w:rsidRDefault="009E30FC" w:rsidP="009E30FC">
      <w:pPr>
        <w:rPr>
          <w:rFonts w:ascii="Times New Roman" w:hAnsi="Times New Roman" w:cs="Times New Roman"/>
          <w:sz w:val="28"/>
          <w:szCs w:val="28"/>
        </w:rPr>
      </w:pPr>
    </w:p>
    <w:p w14:paraId="3B48B2CD" w14:textId="77777777" w:rsidR="009E30FC" w:rsidRPr="008B306B" w:rsidRDefault="009E30FC" w:rsidP="009E30FC">
      <w:pPr>
        <w:rPr>
          <w:rFonts w:ascii="Times New Roman" w:hAnsi="Times New Roman" w:cs="Times New Roman"/>
          <w:b/>
          <w:bCs/>
          <w:sz w:val="28"/>
          <w:szCs w:val="28"/>
        </w:rPr>
      </w:pPr>
      <w:r w:rsidRPr="008B306B">
        <w:rPr>
          <w:rFonts w:ascii="Times New Roman" w:hAnsi="Times New Roman" w:cs="Times New Roman"/>
          <w:b/>
          <w:bCs/>
          <w:sz w:val="28"/>
          <w:szCs w:val="28"/>
        </w:rPr>
        <w:t>10. Study Tools</w:t>
      </w:r>
    </w:p>
    <w:p w14:paraId="6F002A07" w14:textId="77777777" w:rsidR="009E30FC" w:rsidRPr="008B306B" w:rsidRDefault="009E30FC" w:rsidP="009E30FC">
      <w:pPr>
        <w:rPr>
          <w:rFonts w:ascii="Times New Roman" w:hAnsi="Times New Roman" w:cs="Times New Roman"/>
          <w:sz w:val="28"/>
          <w:szCs w:val="28"/>
        </w:rPr>
      </w:pPr>
      <w:r w:rsidRPr="008B306B">
        <w:rPr>
          <w:rFonts w:ascii="Times New Roman" w:hAnsi="Times New Roman" w:cs="Times New Roman"/>
          <w:sz w:val="28"/>
          <w:szCs w:val="28"/>
        </w:rPr>
        <w:t>The following tools and procedures will be used during the study:</w:t>
      </w:r>
    </w:p>
    <w:p w14:paraId="74593A49" w14:textId="77777777" w:rsidR="009E30FC" w:rsidRPr="008B306B" w:rsidRDefault="009E30FC" w:rsidP="009E30FC">
      <w:pPr>
        <w:numPr>
          <w:ilvl w:val="0"/>
          <w:numId w:val="2"/>
        </w:numPr>
        <w:rPr>
          <w:rFonts w:ascii="Times New Roman" w:hAnsi="Times New Roman" w:cs="Times New Roman"/>
          <w:sz w:val="28"/>
          <w:szCs w:val="28"/>
        </w:rPr>
      </w:pPr>
      <w:r w:rsidRPr="008B306B">
        <w:rPr>
          <w:rFonts w:ascii="Times New Roman" w:hAnsi="Times New Roman" w:cs="Times New Roman"/>
          <w:sz w:val="28"/>
          <w:szCs w:val="28"/>
        </w:rPr>
        <w:t xml:space="preserve">Clinical examination and patient records. </w:t>
      </w:r>
    </w:p>
    <w:p w14:paraId="1E1E0A84" w14:textId="77777777" w:rsidR="009E30FC" w:rsidRPr="008B306B" w:rsidRDefault="009E30FC" w:rsidP="009E30FC">
      <w:pPr>
        <w:numPr>
          <w:ilvl w:val="0"/>
          <w:numId w:val="2"/>
        </w:numPr>
        <w:rPr>
          <w:rFonts w:ascii="Times New Roman" w:hAnsi="Times New Roman" w:cs="Times New Roman"/>
          <w:sz w:val="28"/>
          <w:szCs w:val="28"/>
        </w:rPr>
      </w:pPr>
      <w:r w:rsidRPr="008B306B">
        <w:rPr>
          <w:rFonts w:ascii="Times New Roman" w:hAnsi="Times New Roman" w:cs="Times New Roman"/>
          <w:sz w:val="28"/>
          <w:szCs w:val="28"/>
        </w:rPr>
        <w:t xml:space="preserve">Histopathological evaluation of surgical specimens. </w:t>
      </w:r>
    </w:p>
    <w:p w14:paraId="01863782" w14:textId="77777777" w:rsidR="009E30FC" w:rsidRPr="008B306B" w:rsidRDefault="009E30FC" w:rsidP="009E30FC">
      <w:pPr>
        <w:numPr>
          <w:ilvl w:val="0"/>
          <w:numId w:val="2"/>
        </w:numPr>
        <w:rPr>
          <w:rFonts w:ascii="Times New Roman" w:hAnsi="Times New Roman" w:cs="Times New Roman"/>
          <w:sz w:val="28"/>
          <w:szCs w:val="28"/>
        </w:rPr>
      </w:pPr>
      <w:r w:rsidRPr="008B306B">
        <w:rPr>
          <w:rFonts w:ascii="Times New Roman" w:hAnsi="Times New Roman" w:cs="Times New Roman"/>
          <w:sz w:val="28"/>
          <w:szCs w:val="28"/>
        </w:rPr>
        <w:t xml:space="preserve">Peripheral blood sample collection for circulating tumour cell analysis. </w:t>
      </w:r>
    </w:p>
    <w:p w14:paraId="150C29A1" w14:textId="77777777" w:rsidR="009E30FC" w:rsidRPr="008B306B" w:rsidRDefault="009E30FC" w:rsidP="009E30FC">
      <w:pPr>
        <w:numPr>
          <w:ilvl w:val="0"/>
          <w:numId w:val="2"/>
        </w:numPr>
        <w:rPr>
          <w:rFonts w:ascii="Times New Roman" w:hAnsi="Times New Roman" w:cs="Times New Roman"/>
          <w:sz w:val="28"/>
          <w:szCs w:val="28"/>
        </w:rPr>
      </w:pPr>
      <w:proofErr w:type="spellStart"/>
      <w:r w:rsidRPr="008B306B">
        <w:rPr>
          <w:rFonts w:ascii="Times New Roman" w:hAnsi="Times New Roman" w:cs="Times New Roman"/>
          <w:sz w:val="28"/>
          <w:szCs w:val="28"/>
        </w:rPr>
        <w:t>OncoDiscover</w:t>
      </w:r>
      <w:proofErr w:type="spellEnd"/>
      <w:r w:rsidRPr="008B306B">
        <w:rPr>
          <w:rFonts w:ascii="Times New Roman" w:hAnsi="Times New Roman" w:cs="Times New Roman"/>
          <w:sz w:val="28"/>
          <w:szCs w:val="28"/>
        </w:rPr>
        <w:t xml:space="preserve"> liquid biopsy platform for isolation and enumeration of circulating tumour cells. </w:t>
      </w:r>
    </w:p>
    <w:p w14:paraId="0EA5D032" w14:textId="77777777" w:rsidR="009E30FC" w:rsidRPr="008B306B" w:rsidRDefault="009E30FC" w:rsidP="009E30FC">
      <w:pPr>
        <w:numPr>
          <w:ilvl w:val="0"/>
          <w:numId w:val="2"/>
        </w:numPr>
        <w:rPr>
          <w:rFonts w:ascii="Times New Roman" w:hAnsi="Times New Roman" w:cs="Times New Roman"/>
          <w:sz w:val="28"/>
          <w:szCs w:val="28"/>
        </w:rPr>
      </w:pPr>
      <w:r w:rsidRPr="008B306B">
        <w:rPr>
          <w:rFonts w:ascii="Times New Roman" w:hAnsi="Times New Roman" w:cs="Times New Roman"/>
          <w:sz w:val="28"/>
          <w:szCs w:val="28"/>
        </w:rPr>
        <w:t>Follow-up records for recurrence and survival assessment.</w:t>
      </w:r>
    </w:p>
    <w:p w14:paraId="787E6E8C" w14:textId="7CBDA48E" w:rsidR="00D2665E" w:rsidRPr="008B306B" w:rsidRDefault="00D2665E" w:rsidP="00D2665E">
      <w:pPr>
        <w:spacing w:before="100" w:beforeAutospacing="1" w:after="100" w:afterAutospacing="1" w:line="240" w:lineRule="auto"/>
        <w:outlineLvl w:val="1"/>
        <w:rPr>
          <w:rFonts w:ascii="Times New Roman" w:eastAsia="Times New Roman" w:hAnsi="Times New Roman" w:cs="Times New Roman"/>
          <w:b/>
          <w:bCs/>
          <w:kern w:val="0"/>
          <w:sz w:val="28"/>
          <w:szCs w:val="28"/>
          <w:lang w:eastAsia="en-IN"/>
          <w14:ligatures w14:val="none"/>
        </w:rPr>
      </w:pPr>
      <w:r w:rsidRPr="008B306B">
        <w:rPr>
          <w:rFonts w:ascii="Times New Roman" w:eastAsia="Times New Roman" w:hAnsi="Times New Roman" w:cs="Times New Roman"/>
          <w:b/>
          <w:bCs/>
          <w:kern w:val="0"/>
          <w:sz w:val="28"/>
          <w:szCs w:val="28"/>
          <w:lang w:eastAsia="en-IN"/>
          <w14:ligatures w14:val="none"/>
        </w:rPr>
        <w:t>Sample Size</w:t>
      </w:r>
    </w:p>
    <w:p w14:paraId="3A7968C4" w14:textId="7A8C8652" w:rsidR="00C54CBC" w:rsidRPr="008B306B" w:rsidRDefault="00A5122C" w:rsidP="00A5122C">
      <w:pPr>
        <w:spacing w:before="100" w:beforeAutospacing="1" w:after="100" w:afterAutospacing="1" w:line="240" w:lineRule="auto"/>
        <w:rPr>
          <w:rFonts w:ascii="Times New Roman" w:eastAsia="Times New Roman" w:hAnsi="Times New Roman" w:cs="Times New Roman"/>
          <w:kern w:val="0"/>
          <w:sz w:val="28"/>
          <w:szCs w:val="28"/>
          <w:lang w:eastAsia="en-IN"/>
          <w14:ligatures w14:val="none"/>
        </w:rPr>
      </w:pPr>
      <w:r w:rsidRPr="008B306B">
        <w:rPr>
          <w:rFonts w:ascii="Times New Roman" w:eastAsia="Times New Roman" w:hAnsi="Times New Roman" w:cs="Times New Roman"/>
          <w:kern w:val="0"/>
          <w:sz w:val="28"/>
          <w:szCs w:val="28"/>
          <w:lang w:eastAsia="en-IN"/>
          <w14:ligatures w14:val="none"/>
        </w:rPr>
        <w:t>N</w:t>
      </w:r>
      <w:r w:rsidR="00D2665E" w:rsidRPr="008B306B">
        <w:rPr>
          <w:rFonts w:ascii="Times New Roman" w:eastAsia="Times New Roman" w:hAnsi="Times New Roman" w:cs="Times New Roman"/>
          <w:kern w:val="0"/>
          <w:sz w:val="28"/>
          <w:szCs w:val="28"/>
          <w:lang w:eastAsia="en-IN"/>
          <w14:ligatures w14:val="none"/>
        </w:rPr>
        <w:t xml:space="preserve">o previous study with a similar design was available during protocol preparation. </w:t>
      </w:r>
      <w:r w:rsidR="00C20336" w:rsidRPr="008B306B">
        <w:rPr>
          <w:rFonts w:ascii="Times New Roman" w:eastAsia="Times New Roman" w:hAnsi="Times New Roman" w:cs="Times New Roman"/>
          <w:kern w:val="0"/>
          <w:sz w:val="28"/>
          <w:szCs w:val="28"/>
          <w:lang w:eastAsia="en-IN"/>
          <w14:ligatures w14:val="none"/>
        </w:rPr>
        <w:t>The appropriate sample size is calculated based on the standard formula for estimating a population proportion: n = (Z² × p × (1 − p)) / d², z = Co-efficient of significance (1.96), α = Level of significance (5.0%),</w:t>
      </w:r>
      <m:oMath>
        <m:r>
          <w:rPr>
            <w:rFonts w:ascii="Cambria Math" w:eastAsia="Times New Roman" w:hAnsi="Cambria Math" w:cs="Times New Roman"/>
            <w:kern w:val="0"/>
            <w:sz w:val="28"/>
            <w:szCs w:val="28"/>
            <w:lang w:eastAsia="en-IN"/>
            <w14:ligatures w14:val="none"/>
          </w:rPr>
          <m:t>p </m:t>
        </m:r>
      </m:oMath>
      <w:r w:rsidR="00C20336" w:rsidRPr="008B306B">
        <w:rPr>
          <w:rFonts w:ascii="Times New Roman" w:eastAsia="Times New Roman" w:hAnsi="Times New Roman" w:cs="Times New Roman"/>
          <w:kern w:val="0"/>
          <w:sz w:val="28"/>
          <w:szCs w:val="28"/>
          <w:lang w:eastAsia="en-IN"/>
          <w14:ligatures w14:val="none"/>
        </w:rPr>
        <w:t xml:space="preserve">= Prevalence of oral tongue tumour (50.0%) </w:t>
      </w:r>
      <m:oMath>
        <m:r>
          <w:rPr>
            <w:rFonts w:ascii="Cambria Math" w:eastAsia="Times New Roman" w:hAnsi="Cambria Math" w:cs="Times New Roman"/>
            <w:kern w:val="0"/>
            <w:sz w:val="28"/>
            <w:szCs w:val="28"/>
            <w:lang w:eastAsia="en-IN"/>
            <w14:ligatures w14:val="none"/>
          </w:rPr>
          <m:t>q</m:t>
        </m:r>
      </m:oMath>
      <w:r w:rsidR="00C20336" w:rsidRPr="008B306B">
        <w:rPr>
          <w:rFonts w:ascii="Times New Roman" w:eastAsia="Times New Roman" w:hAnsi="Times New Roman" w:cs="Times New Roman"/>
          <w:kern w:val="0"/>
          <w:sz w:val="28"/>
          <w:szCs w:val="28"/>
          <w:lang w:eastAsia="en-IN"/>
          <w14:ligatures w14:val="none"/>
        </w:rPr>
        <w:t xml:space="preserve"> = 1-</w:t>
      </w:r>
      <m:oMath>
        <m:r>
          <w:rPr>
            <w:rFonts w:ascii="Cambria Math" w:eastAsia="Times New Roman" w:hAnsi="Cambria Math" w:cs="Times New Roman"/>
            <w:kern w:val="0"/>
            <w:sz w:val="28"/>
            <w:szCs w:val="28"/>
            <w:lang w:eastAsia="en-IN"/>
            <w14:ligatures w14:val="none"/>
          </w:rPr>
          <m:t> p</m:t>
        </m:r>
      </m:oMath>
      <w:r w:rsidR="00C20336" w:rsidRPr="008B306B">
        <w:rPr>
          <w:rFonts w:ascii="Times New Roman" w:eastAsia="Times New Roman" w:hAnsi="Times New Roman" w:cs="Times New Roman"/>
          <w:kern w:val="0"/>
          <w:sz w:val="28"/>
          <w:szCs w:val="28"/>
          <w:lang w:eastAsia="en-IN"/>
          <w14:ligatures w14:val="none"/>
        </w:rPr>
        <w:t xml:space="preserve"> (50.0%), d = Desired precision (10.0%). </w:t>
      </w:r>
      <w:bookmarkStart w:id="1" w:name="_Hlk208919376"/>
      <w:r w:rsidR="00C20336" w:rsidRPr="008B306B">
        <w:rPr>
          <w:rFonts w:ascii="Times New Roman" w:eastAsia="Times New Roman" w:hAnsi="Times New Roman" w:cs="Times New Roman"/>
          <w:kern w:val="0"/>
          <w:sz w:val="28"/>
          <w:szCs w:val="28"/>
          <w:lang w:eastAsia="en-IN"/>
          <w14:ligatures w14:val="none"/>
        </w:rPr>
        <w:t>Based on this calculation, a minimum sample size of 55 patients was considered adequate for exploratory or preliminary analyses, although a sample size of 90 patients would be more desirable.</w:t>
      </w:r>
      <w:bookmarkEnd w:id="1"/>
    </w:p>
    <w:p w14:paraId="3D6C08E0" w14:textId="77777777" w:rsidR="00717C6A" w:rsidRPr="008B306B" w:rsidRDefault="00717C6A" w:rsidP="00717C6A">
      <w:pPr>
        <w:spacing w:before="100" w:beforeAutospacing="1" w:after="100" w:afterAutospacing="1" w:line="240" w:lineRule="auto"/>
        <w:rPr>
          <w:rFonts w:ascii="Times New Roman" w:eastAsia="Times New Roman" w:hAnsi="Times New Roman" w:cs="Times New Roman"/>
          <w:b/>
          <w:bCs/>
          <w:kern w:val="0"/>
          <w:sz w:val="28"/>
          <w:szCs w:val="28"/>
          <w:lang w:eastAsia="en-IN"/>
          <w14:ligatures w14:val="none"/>
        </w:rPr>
      </w:pPr>
      <w:r w:rsidRPr="008B306B">
        <w:rPr>
          <w:rFonts w:ascii="Times New Roman" w:eastAsia="Times New Roman" w:hAnsi="Times New Roman" w:cs="Times New Roman"/>
          <w:b/>
          <w:bCs/>
          <w:kern w:val="0"/>
          <w:sz w:val="28"/>
          <w:szCs w:val="28"/>
          <w:lang w:eastAsia="en-IN"/>
          <w14:ligatures w14:val="none"/>
        </w:rPr>
        <w:t>Sample Selection</w:t>
      </w:r>
    </w:p>
    <w:p w14:paraId="749D4221" w14:textId="77777777" w:rsidR="00717C6A" w:rsidRPr="008B306B" w:rsidRDefault="00717C6A" w:rsidP="00717C6A">
      <w:pPr>
        <w:spacing w:before="100" w:beforeAutospacing="1" w:after="100" w:afterAutospacing="1" w:line="240" w:lineRule="auto"/>
        <w:rPr>
          <w:rFonts w:ascii="Times New Roman" w:eastAsia="Times New Roman" w:hAnsi="Times New Roman" w:cs="Times New Roman"/>
          <w:b/>
          <w:bCs/>
          <w:kern w:val="0"/>
          <w:sz w:val="28"/>
          <w:szCs w:val="28"/>
          <w:lang w:eastAsia="en-IN"/>
          <w14:ligatures w14:val="none"/>
        </w:rPr>
      </w:pPr>
      <w:r w:rsidRPr="008B306B">
        <w:rPr>
          <w:rFonts w:ascii="Times New Roman" w:eastAsia="Times New Roman" w:hAnsi="Times New Roman" w:cs="Times New Roman"/>
          <w:b/>
          <w:bCs/>
          <w:kern w:val="0"/>
          <w:sz w:val="28"/>
          <w:szCs w:val="28"/>
          <w:lang w:eastAsia="en-IN"/>
          <w14:ligatures w14:val="none"/>
        </w:rPr>
        <w:t>(a) Selection Process</w:t>
      </w:r>
    </w:p>
    <w:p w14:paraId="4FFED423" w14:textId="77777777" w:rsidR="00717C6A" w:rsidRPr="008B306B" w:rsidRDefault="00717C6A" w:rsidP="00717C6A">
      <w:pPr>
        <w:spacing w:before="100" w:beforeAutospacing="1" w:after="100" w:afterAutospacing="1" w:line="240" w:lineRule="auto"/>
        <w:rPr>
          <w:rFonts w:ascii="Times New Roman" w:eastAsia="Times New Roman" w:hAnsi="Times New Roman" w:cs="Times New Roman"/>
          <w:kern w:val="0"/>
          <w:sz w:val="28"/>
          <w:szCs w:val="28"/>
          <w:lang w:eastAsia="en-IN"/>
          <w14:ligatures w14:val="none"/>
        </w:rPr>
      </w:pPr>
      <w:r w:rsidRPr="008B306B">
        <w:rPr>
          <w:rFonts w:ascii="Times New Roman" w:eastAsia="Times New Roman" w:hAnsi="Times New Roman" w:cs="Times New Roman"/>
          <w:kern w:val="0"/>
          <w:sz w:val="28"/>
          <w:szCs w:val="28"/>
          <w:lang w:eastAsia="en-IN"/>
          <w14:ligatures w14:val="none"/>
        </w:rPr>
        <w:t>Patients attending the Department of Head and Neck Oncology with a diagnosis of oral tongue squamous cell carcinoma will be screened for eligibility. Eligible patients who fulfil the inclusion criteria and provide written informed consent will be enrolled in the study.</w:t>
      </w:r>
    </w:p>
    <w:p w14:paraId="27D346AF" w14:textId="1FD9CA3B" w:rsidR="009E30FC" w:rsidRPr="008B306B" w:rsidRDefault="00717C6A" w:rsidP="00B2103D">
      <w:pPr>
        <w:spacing w:before="100" w:beforeAutospacing="1" w:after="100" w:afterAutospacing="1" w:line="240" w:lineRule="auto"/>
        <w:rPr>
          <w:rFonts w:ascii="Times New Roman" w:eastAsia="Times New Roman" w:hAnsi="Times New Roman" w:cs="Times New Roman"/>
          <w:kern w:val="0"/>
          <w:sz w:val="28"/>
          <w:szCs w:val="28"/>
          <w:lang w:eastAsia="en-IN"/>
          <w14:ligatures w14:val="none"/>
        </w:rPr>
      </w:pPr>
      <w:proofErr w:type="spellStart"/>
      <w:r w:rsidRPr="008B306B">
        <w:rPr>
          <w:rFonts w:ascii="Times New Roman" w:eastAsia="Times New Roman" w:hAnsi="Times New Roman" w:cs="Times New Roman"/>
          <w:kern w:val="0"/>
          <w:sz w:val="28"/>
          <w:szCs w:val="28"/>
          <w:lang w:eastAsia="en-IN"/>
          <w14:ligatures w14:val="none"/>
        </w:rPr>
        <w:lastRenderedPageBreak/>
        <w:t>Histopathologically</w:t>
      </w:r>
      <w:proofErr w:type="spellEnd"/>
      <w:r w:rsidRPr="008B306B">
        <w:rPr>
          <w:rFonts w:ascii="Times New Roman" w:eastAsia="Times New Roman" w:hAnsi="Times New Roman" w:cs="Times New Roman"/>
          <w:kern w:val="0"/>
          <w:sz w:val="28"/>
          <w:szCs w:val="28"/>
          <w:lang w:eastAsia="en-IN"/>
          <w14:ligatures w14:val="none"/>
        </w:rPr>
        <w:t xml:space="preserve"> examined lymph nodes will be selected based on the pathological findings for further analysis. </w:t>
      </w:r>
    </w:p>
    <w:p w14:paraId="22E9F4D8" w14:textId="793CA68C" w:rsidR="00D02908" w:rsidRPr="008B306B" w:rsidRDefault="00D02908" w:rsidP="008559B8">
      <w:pPr>
        <w:rPr>
          <w:rFonts w:ascii="Times New Roman" w:hAnsi="Times New Roman" w:cs="Times New Roman"/>
          <w:b/>
          <w:bCs/>
          <w:sz w:val="28"/>
          <w:szCs w:val="28"/>
        </w:rPr>
      </w:pPr>
      <w:r w:rsidRPr="008B306B">
        <w:rPr>
          <w:rFonts w:ascii="Times New Roman" w:hAnsi="Times New Roman" w:cs="Times New Roman"/>
          <w:b/>
          <w:bCs/>
          <w:sz w:val="28"/>
          <w:szCs w:val="28"/>
        </w:rPr>
        <w:t>b) Inclusion Criteria</w:t>
      </w:r>
    </w:p>
    <w:p w14:paraId="0462B87F" w14:textId="77777777" w:rsidR="00D02908" w:rsidRPr="008B306B" w:rsidRDefault="00D02908" w:rsidP="00D02908">
      <w:pPr>
        <w:numPr>
          <w:ilvl w:val="0"/>
          <w:numId w:val="3"/>
        </w:numPr>
        <w:rPr>
          <w:rFonts w:ascii="Times New Roman" w:hAnsi="Times New Roman" w:cs="Times New Roman"/>
          <w:sz w:val="28"/>
          <w:szCs w:val="28"/>
        </w:rPr>
      </w:pPr>
      <w:r w:rsidRPr="008B306B">
        <w:rPr>
          <w:rFonts w:ascii="Times New Roman" w:hAnsi="Times New Roman" w:cs="Times New Roman"/>
          <w:sz w:val="28"/>
          <w:szCs w:val="28"/>
        </w:rPr>
        <w:t xml:space="preserve">Patients with newly diagnosed oral tongue squamous cell carcinoma. </w:t>
      </w:r>
    </w:p>
    <w:p w14:paraId="5A4C9230" w14:textId="77777777" w:rsidR="00D02908" w:rsidRPr="008B306B" w:rsidRDefault="00D02908" w:rsidP="00D02908">
      <w:pPr>
        <w:numPr>
          <w:ilvl w:val="0"/>
          <w:numId w:val="3"/>
        </w:numPr>
        <w:rPr>
          <w:rFonts w:ascii="Times New Roman" w:hAnsi="Times New Roman" w:cs="Times New Roman"/>
          <w:sz w:val="28"/>
          <w:szCs w:val="28"/>
        </w:rPr>
      </w:pPr>
      <w:r w:rsidRPr="008B306B">
        <w:rPr>
          <w:rFonts w:ascii="Times New Roman" w:hAnsi="Times New Roman" w:cs="Times New Roman"/>
          <w:sz w:val="28"/>
          <w:szCs w:val="28"/>
        </w:rPr>
        <w:t xml:space="preserve">Patients who have not received any previous treatment. </w:t>
      </w:r>
    </w:p>
    <w:p w14:paraId="246D00DD" w14:textId="77777777" w:rsidR="00D02908" w:rsidRPr="008B306B" w:rsidRDefault="00D02908" w:rsidP="00D02908">
      <w:pPr>
        <w:numPr>
          <w:ilvl w:val="0"/>
          <w:numId w:val="4"/>
        </w:numPr>
        <w:rPr>
          <w:rFonts w:ascii="Times New Roman" w:hAnsi="Times New Roman" w:cs="Times New Roman"/>
          <w:sz w:val="28"/>
          <w:szCs w:val="28"/>
        </w:rPr>
      </w:pPr>
      <w:r w:rsidRPr="008B306B">
        <w:rPr>
          <w:rFonts w:ascii="Times New Roman" w:hAnsi="Times New Roman" w:cs="Times New Roman"/>
          <w:sz w:val="28"/>
          <w:szCs w:val="28"/>
        </w:rPr>
        <w:t xml:space="preserve">Patients with oral tongue squamous cell carcinoma staged from </w:t>
      </w:r>
      <w:r w:rsidRPr="008B306B">
        <w:rPr>
          <w:rFonts w:ascii="Times New Roman" w:hAnsi="Times New Roman" w:cs="Times New Roman"/>
          <w:b/>
          <w:bCs/>
          <w:sz w:val="28"/>
          <w:szCs w:val="28"/>
        </w:rPr>
        <w:t>T1 to T4</w:t>
      </w:r>
      <w:r w:rsidRPr="008B306B">
        <w:rPr>
          <w:rFonts w:ascii="Times New Roman" w:hAnsi="Times New Roman" w:cs="Times New Roman"/>
          <w:sz w:val="28"/>
          <w:szCs w:val="28"/>
        </w:rPr>
        <w:t xml:space="preserve">. </w:t>
      </w:r>
    </w:p>
    <w:p w14:paraId="04C6F222" w14:textId="77777777" w:rsidR="00D02908" w:rsidRPr="008B306B" w:rsidRDefault="00D02908" w:rsidP="00D02908">
      <w:pPr>
        <w:numPr>
          <w:ilvl w:val="0"/>
          <w:numId w:val="4"/>
        </w:numPr>
        <w:rPr>
          <w:rFonts w:ascii="Times New Roman" w:hAnsi="Times New Roman" w:cs="Times New Roman"/>
          <w:sz w:val="28"/>
          <w:szCs w:val="28"/>
        </w:rPr>
      </w:pPr>
      <w:r w:rsidRPr="008B306B">
        <w:rPr>
          <w:rFonts w:ascii="Times New Roman" w:hAnsi="Times New Roman" w:cs="Times New Roman"/>
          <w:sz w:val="28"/>
          <w:szCs w:val="28"/>
        </w:rPr>
        <w:t xml:space="preserve">Patients with or without lymph node metastasis. </w:t>
      </w:r>
    </w:p>
    <w:p w14:paraId="5F43BFA4" w14:textId="77777777" w:rsidR="00D02908" w:rsidRPr="008B306B" w:rsidRDefault="00D02908" w:rsidP="00D02908">
      <w:pPr>
        <w:numPr>
          <w:ilvl w:val="0"/>
          <w:numId w:val="4"/>
        </w:numPr>
        <w:rPr>
          <w:rFonts w:ascii="Times New Roman" w:hAnsi="Times New Roman" w:cs="Times New Roman"/>
          <w:sz w:val="28"/>
          <w:szCs w:val="28"/>
        </w:rPr>
      </w:pPr>
      <w:r w:rsidRPr="008B306B">
        <w:rPr>
          <w:rFonts w:ascii="Times New Roman" w:hAnsi="Times New Roman" w:cs="Times New Roman"/>
          <w:sz w:val="28"/>
          <w:szCs w:val="28"/>
        </w:rPr>
        <w:t xml:space="preserve">Patients who have undergone only a diagnostic biopsy before definitive treatment. </w:t>
      </w:r>
    </w:p>
    <w:p w14:paraId="451BE6BF" w14:textId="57D63EBD" w:rsidR="00D02908" w:rsidRPr="008B306B" w:rsidRDefault="00D02908" w:rsidP="00D02908">
      <w:pPr>
        <w:rPr>
          <w:rFonts w:ascii="Times New Roman" w:hAnsi="Times New Roman" w:cs="Times New Roman"/>
          <w:sz w:val="28"/>
          <w:szCs w:val="28"/>
        </w:rPr>
      </w:pPr>
    </w:p>
    <w:p w14:paraId="1656734E" w14:textId="2AE63FC1" w:rsidR="00D02908" w:rsidRPr="008B306B" w:rsidRDefault="00D02908" w:rsidP="00D02908">
      <w:pPr>
        <w:rPr>
          <w:rFonts w:ascii="Times New Roman" w:hAnsi="Times New Roman" w:cs="Times New Roman"/>
          <w:b/>
          <w:bCs/>
          <w:sz w:val="28"/>
          <w:szCs w:val="28"/>
        </w:rPr>
      </w:pPr>
      <w:r w:rsidRPr="008B306B">
        <w:rPr>
          <w:rFonts w:ascii="Times New Roman" w:hAnsi="Times New Roman" w:cs="Times New Roman"/>
          <w:b/>
          <w:bCs/>
          <w:sz w:val="28"/>
          <w:szCs w:val="28"/>
        </w:rPr>
        <w:t>(c) Exclusion Criteria</w:t>
      </w:r>
    </w:p>
    <w:p w14:paraId="0D92421E" w14:textId="77777777" w:rsidR="00D02908" w:rsidRPr="008B306B" w:rsidRDefault="00D02908" w:rsidP="00D02908">
      <w:pPr>
        <w:numPr>
          <w:ilvl w:val="0"/>
          <w:numId w:val="5"/>
        </w:numPr>
        <w:rPr>
          <w:rFonts w:ascii="Times New Roman" w:hAnsi="Times New Roman" w:cs="Times New Roman"/>
          <w:sz w:val="28"/>
          <w:szCs w:val="28"/>
        </w:rPr>
      </w:pPr>
      <w:r w:rsidRPr="008B306B">
        <w:rPr>
          <w:rFonts w:ascii="Times New Roman" w:hAnsi="Times New Roman" w:cs="Times New Roman"/>
          <w:sz w:val="28"/>
          <w:szCs w:val="28"/>
        </w:rPr>
        <w:t xml:space="preserve">Patients with recurrent tumours. </w:t>
      </w:r>
    </w:p>
    <w:p w14:paraId="22B99F79" w14:textId="685E70E0" w:rsidR="00D02908" w:rsidRPr="008B306B" w:rsidRDefault="00D02908" w:rsidP="00D02908">
      <w:pPr>
        <w:rPr>
          <w:rFonts w:ascii="Times New Roman" w:hAnsi="Times New Roman" w:cs="Times New Roman"/>
          <w:b/>
          <w:bCs/>
          <w:sz w:val="28"/>
          <w:szCs w:val="28"/>
        </w:rPr>
      </w:pPr>
      <w:r w:rsidRPr="008B306B">
        <w:rPr>
          <w:rFonts w:ascii="Times New Roman" w:hAnsi="Times New Roman" w:cs="Times New Roman"/>
          <w:b/>
          <w:bCs/>
          <w:sz w:val="28"/>
          <w:szCs w:val="28"/>
        </w:rPr>
        <w:t>Informed Consent</w:t>
      </w:r>
    </w:p>
    <w:p w14:paraId="7A2EF38D" w14:textId="18FFCBB6" w:rsidR="00D02908" w:rsidRPr="008B306B" w:rsidRDefault="00D02908" w:rsidP="00D02908">
      <w:pPr>
        <w:rPr>
          <w:rFonts w:ascii="Times New Roman" w:hAnsi="Times New Roman" w:cs="Times New Roman"/>
          <w:sz w:val="28"/>
          <w:szCs w:val="28"/>
        </w:rPr>
      </w:pPr>
      <w:r w:rsidRPr="008B306B">
        <w:rPr>
          <w:rFonts w:ascii="Times New Roman" w:hAnsi="Times New Roman" w:cs="Times New Roman"/>
          <w:sz w:val="28"/>
          <w:szCs w:val="28"/>
        </w:rPr>
        <w:t>Written informed consent will be obtained from all eligible participants before enrolment into the study. Each participant will receive a Participant Information Sheet explaining the purpose of the study, study procedures, possible benefits, and confidentiality of the collected information.</w:t>
      </w:r>
      <w:r w:rsidR="00EE31F7" w:rsidRPr="008B306B">
        <w:rPr>
          <w:rFonts w:ascii="Times New Roman" w:hAnsi="Times New Roman" w:cs="Times New Roman"/>
          <w:sz w:val="28"/>
          <w:szCs w:val="28"/>
        </w:rPr>
        <w:t xml:space="preserve"> </w:t>
      </w:r>
      <w:r w:rsidRPr="008B306B">
        <w:rPr>
          <w:rFonts w:ascii="Times New Roman" w:hAnsi="Times New Roman" w:cs="Times New Roman"/>
          <w:sz w:val="28"/>
          <w:szCs w:val="28"/>
        </w:rPr>
        <w:t xml:space="preserve">The consent form will be available in </w:t>
      </w:r>
      <w:r w:rsidRPr="008B306B">
        <w:rPr>
          <w:rFonts w:ascii="Times New Roman" w:hAnsi="Times New Roman" w:cs="Times New Roman"/>
          <w:b/>
          <w:bCs/>
          <w:sz w:val="28"/>
          <w:szCs w:val="28"/>
        </w:rPr>
        <w:t>English and Malayalam</w:t>
      </w:r>
      <w:r w:rsidRPr="008B306B">
        <w:rPr>
          <w:rFonts w:ascii="Times New Roman" w:hAnsi="Times New Roman" w:cs="Times New Roman"/>
          <w:sz w:val="28"/>
          <w:szCs w:val="28"/>
        </w:rPr>
        <w:t xml:space="preserve">, as mentioned in the original protocol. </w:t>
      </w:r>
    </w:p>
    <w:p w14:paraId="6ADE243D" w14:textId="77777777" w:rsidR="00D02908" w:rsidRPr="008B306B" w:rsidRDefault="00D02908" w:rsidP="00D02908">
      <w:pPr>
        <w:rPr>
          <w:rFonts w:ascii="Times New Roman" w:hAnsi="Times New Roman" w:cs="Times New Roman"/>
          <w:sz w:val="28"/>
          <w:szCs w:val="28"/>
        </w:rPr>
      </w:pPr>
      <w:r w:rsidRPr="008B306B">
        <w:rPr>
          <w:rFonts w:ascii="Times New Roman" w:hAnsi="Times New Roman" w:cs="Times New Roman"/>
          <w:sz w:val="28"/>
          <w:szCs w:val="28"/>
        </w:rPr>
        <w:t>Participation in the study will be completely voluntary. Participants may withdraw their consent at any stage without affecting their routine medical care.</w:t>
      </w:r>
    </w:p>
    <w:p w14:paraId="7E76B0CF" w14:textId="59DD2B47" w:rsidR="00D02908" w:rsidRPr="008B306B" w:rsidRDefault="00D02908" w:rsidP="00D02908">
      <w:pPr>
        <w:rPr>
          <w:rFonts w:ascii="Times New Roman" w:hAnsi="Times New Roman" w:cs="Times New Roman"/>
          <w:b/>
          <w:bCs/>
          <w:sz w:val="28"/>
          <w:szCs w:val="28"/>
        </w:rPr>
      </w:pPr>
      <w:r w:rsidRPr="008B306B">
        <w:rPr>
          <w:rFonts w:ascii="Times New Roman" w:hAnsi="Times New Roman" w:cs="Times New Roman"/>
          <w:b/>
          <w:bCs/>
          <w:sz w:val="28"/>
          <w:szCs w:val="28"/>
        </w:rPr>
        <w:t xml:space="preserve"> Study Interventions</w:t>
      </w:r>
    </w:p>
    <w:p w14:paraId="3FC89C6F" w14:textId="77777777" w:rsidR="002C53CC" w:rsidRPr="008B306B" w:rsidRDefault="002C53CC" w:rsidP="002C53CC">
      <w:pPr>
        <w:rPr>
          <w:rFonts w:ascii="Times New Roman" w:hAnsi="Times New Roman" w:cs="Times New Roman"/>
          <w:b/>
          <w:bCs/>
          <w:sz w:val="28"/>
          <w:szCs w:val="28"/>
        </w:rPr>
      </w:pPr>
      <w:r w:rsidRPr="008B306B">
        <w:rPr>
          <w:rFonts w:ascii="Times New Roman" w:hAnsi="Times New Roman" w:cs="Times New Roman"/>
          <w:b/>
          <w:bCs/>
          <w:sz w:val="28"/>
          <w:szCs w:val="28"/>
        </w:rPr>
        <w:t>Data Collection</w:t>
      </w:r>
    </w:p>
    <w:p w14:paraId="0E26210C" w14:textId="77777777" w:rsidR="002C53CC" w:rsidRPr="008B306B" w:rsidRDefault="002C53CC" w:rsidP="002C53CC">
      <w:pPr>
        <w:rPr>
          <w:rFonts w:ascii="Times New Roman" w:hAnsi="Times New Roman" w:cs="Times New Roman"/>
          <w:b/>
          <w:bCs/>
          <w:sz w:val="28"/>
          <w:szCs w:val="28"/>
        </w:rPr>
      </w:pPr>
      <w:r w:rsidRPr="008B306B">
        <w:rPr>
          <w:rFonts w:ascii="Times New Roman" w:hAnsi="Times New Roman" w:cs="Times New Roman"/>
          <w:b/>
          <w:bCs/>
          <w:sz w:val="28"/>
          <w:szCs w:val="28"/>
        </w:rPr>
        <w:t>Procedure for Measurements</w:t>
      </w:r>
    </w:p>
    <w:p w14:paraId="67CE9137" w14:textId="77777777"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 xml:space="preserve">The study will be conducted in the </w:t>
      </w:r>
      <w:r w:rsidRPr="008B306B">
        <w:rPr>
          <w:rFonts w:ascii="Times New Roman" w:hAnsi="Times New Roman" w:cs="Times New Roman"/>
          <w:b/>
          <w:bCs/>
          <w:sz w:val="28"/>
          <w:szCs w:val="28"/>
        </w:rPr>
        <w:t>Department of Head and Neck Oncology</w:t>
      </w:r>
      <w:r w:rsidRPr="008B306B">
        <w:rPr>
          <w:rFonts w:ascii="Times New Roman" w:hAnsi="Times New Roman" w:cs="Times New Roman"/>
          <w:sz w:val="28"/>
          <w:szCs w:val="28"/>
        </w:rPr>
        <w:t xml:space="preserve"> and the </w:t>
      </w:r>
      <w:r w:rsidRPr="008B306B">
        <w:rPr>
          <w:rFonts w:ascii="Times New Roman" w:hAnsi="Times New Roman" w:cs="Times New Roman"/>
          <w:b/>
          <w:bCs/>
          <w:sz w:val="28"/>
          <w:szCs w:val="28"/>
        </w:rPr>
        <w:t>Department of Pathology</w:t>
      </w:r>
      <w:r w:rsidRPr="008B306B">
        <w:rPr>
          <w:rFonts w:ascii="Times New Roman" w:hAnsi="Times New Roman" w:cs="Times New Roman"/>
          <w:sz w:val="28"/>
          <w:szCs w:val="28"/>
        </w:rPr>
        <w:t xml:space="preserve">, Amrita Institute of Medical Sciences (AIMS), Kochi. Histopathological specimens from patients included in the study will be collected and examined. Patients will be selected after obtaining written informed consent. </w:t>
      </w:r>
    </w:p>
    <w:p w14:paraId="7AA5CC3C" w14:textId="77777777"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 xml:space="preserve">Patients aged </w:t>
      </w:r>
      <w:r w:rsidRPr="008B306B">
        <w:rPr>
          <w:rFonts w:ascii="Times New Roman" w:hAnsi="Times New Roman" w:cs="Times New Roman"/>
          <w:b/>
          <w:bCs/>
          <w:sz w:val="28"/>
          <w:szCs w:val="28"/>
        </w:rPr>
        <w:t>18–70 years</w:t>
      </w:r>
      <w:r w:rsidRPr="008B306B">
        <w:rPr>
          <w:rFonts w:ascii="Times New Roman" w:hAnsi="Times New Roman" w:cs="Times New Roman"/>
          <w:sz w:val="28"/>
          <w:szCs w:val="28"/>
        </w:rPr>
        <w:t xml:space="preserve"> with newly diagnosed oral tongue squamous cell carcinoma will be included in the study. </w:t>
      </w:r>
    </w:p>
    <w:p w14:paraId="45991128" w14:textId="51CDDD3F" w:rsidR="002C53CC" w:rsidRPr="008B306B" w:rsidRDefault="002C53CC" w:rsidP="002C53CC">
      <w:pPr>
        <w:rPr>
          <w:rFonts w:ascii="Times New Roman" w:hAnsi="Times New Roman" w:cs="Times New Roman"/>
          <w:sz w:val="28"/>
          <w:szCs w:val="28"/>
        </w:rPr>
      </w:pPr>
    </w:p>
    <w:p w14:paraId="1C341302" w14:textId="77777777" w:rsidR="002C53CC" w:rsidRPr="008B306B" w:rsidRDefault="002C53CC" w:rsidP="002C53CC">
      <w:pPr>
        <w:rPr>
          <w:rFonts w:ascii="Times New Roman" w:hAnsi="Times New Roman" w:cs="Times New Roman"/>
          <w:b/>
          <w:bCs/>
          <w:sz w:val="28"/>
          <w:szCs w:val="28"/>
        </w:rPr>
      </w:pPr>
      <w:r w:rsidRPr="008B306B">
        <w:rPr>
          <w:rFonts w:ascii="Times New Roman" w:hAnsi="Times New Roman" w:cs="Times New Roman"/>
          <w:b/>
          <w:bCs/>
          <w:sz w:val="28"/>
          <w:szCs w:val="28"/>
        </w:rPr>
        <w:t>Blood Sample Collection</w:t>
      </w:r>
    </w:p>
    <w:p w14:paraId="14CA07A6" w14:textId="77777777"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 xml:space="preserve">For circulating tumour cell (CTC) evaluation, peripheral blood samples will be collected with minimum trauma before surgery. The blood samples will be stored at </w:t>
      </w:r>
      <w:r w:rsidRPr="008B306B">
        <w:rPr>
          <w:rFonts w:ascii="Times New Roman" w:hAnsi="Times New Roman" w:cs="Times New Roman"/>
          <w:b/>
          <w:bCs/>
          <w:sz w:val="28"/>
          <w:szCs w:val="28"/>
        </w:rPr>
        <w:t>2–8°C</w:t>
      </w:r>
      <w:r w:rsidRPr="008B306B">
        <w:rPr>
          <w:rFonts w:ascii="Times New Roman" w:hAnsi="Times New Roman" w:cs="Times New Roman"/>
          <w:sz w:val="28"/>
          <w:szCs w:val="28"/>
        </w:rPr>
        <w:t xml:space="preserve"> until processing. CTCs will be isolated using the approved </w:t>
      </w:r>
      <w:proofErr w:type="spellStart"/>
      <w:r w:rsidRPr="008B306B">
        <w:rPr>
          <w:rFonts w:ascii="Times New Roman" w:hAnsi="Times New Roman" w:cs="Times New Roman"/>
          <w:b/>
          <w:bCs/>
          <w:sz w:val="28"/>
          <w:szCs w:val="28"/>
        </w:rPr>
        <w:t>OncoDiscover</w:t>
      </w:r>
      <w:proofErr w:type="spellEnd"/>
      <w:r w:rsidRPr="008B306B">
        <w:rPr>
          <w:rFonts w:ascii="Times New Roman" w:hAnsi="Times New Roman" w:cs="Times New Roman"/>
          <w:b/>
          <w:bCs/>
          <w:sz w:val="28"/>
          <w:szCs w:val="28"/>
        </w:rPr>
        <w:t xml:space="preserve"> liquid biopsy technology</w:t>
      </w:r>
      <w:r w:rsidRPr="008B306B">
        <w:rPr>
          <w:rFonts w:ascii="Times New Roman" w:hAnsi="Times New Roman" w:cs="Times New Roman"/>
          <w:sz w:val="28"/>
          <w:szCs w:val="28"/>
        </w:rPr>
        <w:t xml:space="preserve">, which is based on immunomagnetic CTC enrichment and enumeration. </w:t>
      </w:r>
    </w:p>
    <w:p w14:paraId="40F1935C" w14:textId="77777777"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Blood samples will be processed according to the manufacturer's recommended protocol to ensure uniform sample handling and analysis.</w:t>
      </w:r>
    </w:p>
    <w:p w14:paraId="0EAF076B" w14:textId="1C9A5742" w:rsidR="002C53CC" w:rsidRPr="008B306B" w:rsidRDefault="002C53CC" w:rsidP="002C53CC">
      <w:pPr>
        <w:rPr>
          <w:rFonts w:ascii="Times New Roman" w:hAnsi="Times New Roman" w:cs="Times New Roman"/>
          <w:sz w:val="28"/>
          <w:szCs w:val="28"/>
        </w:rPr>
      </w:pPr>
    </w:p>
    <w:p w14:paraId="6BBC42EC" w14:textId="77777777" w:rsidR="002C53CC" w:rsidRPr="008B306B" w:rsidRDefault="002C53CC" w:rsidP="002C53CC">
      <w:pPr>
        <w:rPr>
          <w:rFonts w:ascii="Times New Roman" w:hAnsi="Times New Roman" w:cs="Times New Roman"/>
          <w:b/>
          <w:bCs/>
          <w:sz w:val="28"/>
          <w:szCs w:val="28"/>
        </w:rPr>
      </w:pPr>
      <w:r w:rsidRPr="008B306B">
        <w:rPr>
          <w:rFonts w:ascii="Times New Roman" w:hAnsi="Times New Roman" w:cs="Times New Roman"/>
          <w:b/>
          <w:bCs/>
          <w:sz w:val="28"/>
          <w:szCs w:val="28"/>
        </w:rPr>
        <w:t>Patient Treatment</w:t>
      </w:r>
    </w:p>
    <w:p w14:paraId="30605AA3" w14:textId="77777777"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 xml:space="preserve">Patients aged </w:t>
      </w:r>
      <w:r w:rsidRPr="008B306B">
        <w:rPr>
          <w:rFonts w:ascii="Times New Roman" w:hAnsi="Times New Roman" w:cs="Times New Roman"/>
          <w:b/>
          <w:bCs/>
          <w:sz w:val="28"/>
          <w:szCs w:val="28"/>
        </w:rPr>
        <w:t>18–70 years</w:t>
      </w:r>
      <w:r w:rsidRPr="008B306B">
        <w:rPr>
          <w:rFonts w:ascii="Times New Roman" w:hAnsi="Times New Roman" w:cs="Times New Roman"/>
          <w:sz w:val="28"/>
          <w:szCs w:val="28"/>
        </w:rPr>
        <w:t xml:space="preserve"> with newly diagnosed oral tongue squamous cell carcinoma undergoing curative treatment will be included in this prospective study. The study will include patients with </w:t>
      </w:r>
      <w:r w:rsidRPr="008B306B">
        <w:rPr>
          <w:rFonts w:ascii="Times New Roman" w:hAnsi="Times New Roman" w:cs="Times New Roman"/>
          <w:b/>
          <w:bCs/>
          <w:sz w:val="28"/>
          <w:szCs w:val="28"/>
        </w:rPr>
        <w:t>T1 to T4 tumours</w:t>
      </w:r>
      <w:r w:rsidRPr="008B306B">
        <w:rPr>
          <w:rFonts w:ascii="Times New Roman" w:hAnsi="Times New Roman" w:cs="Times New Roman"/>
          <w:sz w:val="28"/>
          <w:szCs w:val="28"/>
        </w:rPr>
        <w:t>, with or without lymph node metastasis.</w:t>
      </w:r>
    </w:p>
    <w:p w14:paraId="4A4E02DD" w14:textId="4D3BF919"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All patients will undergo the planned surgical treatment. Adjuvant therapy will be given whenever indicated according to the treating oncologist. All surgical specimens will undergo routine gross examination and histopathological evaluation. Participation in the study will not influence the patient's treatment plan. All treatment decisions will be made according to the institutional treatment protocol.</w:t>
      </w:r>
    </w:p>
    <w:p w14:paraId="2DD0B1FA" w14:textId="77777777" w:rsidR="002C53CC" w:rsidRPr="008B306B" w:rsidRDefault="002C53CC" w:rsidP="002C53CC">
      <w:pPr>
        <w:rPr>
          <w:rFonts w:ascii="Times New Roman" w:hAnsi="Times New Roman" w:cs="Times New Roman"/>
          <w:b/>
          <w:bCs/>
          <w:sz w:val="28"/>
          <w:szCs w:val="28"/>
        </w:rPr>
      </w:pPr>
      <w:r w:rsidRPr="008B306B">
        <w:rPr>
          <w:rFonts w:ascii="Times New Roman" w:hAnsi="Times New Roman" w:cs="Times New Roman"/>
          <w:b/>
          <w:bCs/>
          <w:sz w:val="28"/>
          <w:szCs w:val="28"/>
        </w:rPr>
        <w:t>Details of Data to be Collected</w:t>
      </w:r>
    </w:p>
    <w:p w14:paraId="3A48878E" w14:textId="77777777"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The following information will be collected from each participant:</w:t>
      </w:r>
    </w:p>
    <w:p w14:paraId="0B853439"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Demographic details. </w:t>
      </w:r>
    </w:p>
    <w:p w14:paraId="103115D3"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Clinical history. </w:t>
      </w:r>
    </w:p>
    <w:p w14:paraId="461EEC16"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Tumour site. </w:t>
      </w:r>
    </w:p>
    <w:p w14:paraId="2B53D6D1"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Tumour stage. </w:t>
      </w:r>
    </w:p>
    <w:p w14:paraId="4A64ED10"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Histopathological findings. </w:t>
      </w:r>
    </w:p>
    <w:p w14:paraId="1CE75030"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Lymph node status. </w:t>
      </w:r>
    </w:p>
    <w:p w14:paraId="70FBFEF3"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Circulating tumour cell results. </w:t>
      </w:r>
    </w:p>
    <w:p w14:paraId="0E70B55A"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lastRenderedPageBreak/>
        <w:t xml:space="preserve">Presence or absence of tumour emboli. </w:t>
      </w:r>
    </w:p>
    <w:p w14:paraId="14EA07F4"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Treatment details. </w:t>
      </w:r>
    </w:p>
    <w:p w14:paraId="713FCF57"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Follow-up findings. </w:t>
      </w:r>
    </w:p>
    <w:p w14:paraId="3802232F"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Disease recurrence. </w:t>
      </w:r>
    </w:p>
    <w:p w14:paraId="450C8F2D" w14:textId="77777777" w:rsidR="002C53CC" w:rsidRPr="008B306B" w:rsidRDefault="002C53CC" w:rsidP="002C53CC">
      <w:pPr>
        <w:numPr>
          <w:ilvl w:val="0"/>
          <w:numId w:val="7"/>
        </w:numPr>
        <w:rPr>
          <w:rFonts w:ascii="Times New Roman" w:hAnsi="Times New Roman" w:cs="Times New Roman"/>
          <w:sz w:val="28"/>
          <w:szCs w:val="28"/>
        </w:rPr>
      </w:pPr>
      <w:r w:rsidRPr="008B306B">
        <w:rPr>
          <w:rFonts w:ascii="Times New Roman" w:hAnsi="Times New Roman" w:cs="Times New Roman"/>
          <w:sz w:val="28"/>
          <w:szCs w:val="28"/>
        </w:rPr>
        <w:t xml:space="preserve">Survival status. </w:t>
      </w:r>
    </w:p>
    <w:p w14:paraId="526BD4B3" w14:textId="14DD2368"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The collected data will be entered into a structured data collection form before statistical analysis.</w:t>
      </w:r>
    </w:p>
    <w:p w14:paraId="0DCBBA03" w14:textId="77777777" w:rsidR="002C53CC" w:rsidRPr="008B306B" w:rsidRDefault="002C53CC" w:rsidP="002C53CC">
      <w:pPr>
        <w:rPr>
          <w:rFonts w:ascii="Times New Roman" w:hAnsi="Times New Roman" w:cs="Times New Roman"/>
          <w:b/>
          <w:bCs/>
          <w:sz w:val="28"/>
          <w:szCs w:val="28"/>
        </w:rPr>
      </w:pPr>
      <w:r w:rsidRPr="008B306B">
        <w:rPr>
          <w:rFonts w:ascii="Times New Roman" w:hAnsi="Times New Roman" w:cs="Times New Roman"/>
          <w:b/>
          <w:bCs/>
          <w:sz w:val="28"/>
          <w:szCs w:val="28"/>
        </w:rPr>
        <w:t>Statistical Analysis</w:t>
      </w:r>
    </w:p>
    <w:p w14:paraId="5BABB68B" w14:textId="1970BF20"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 xml:space="preserve">The probability of disease-free survival (DFS) will be estimated using the Kaplan–Meier method. Survival curves will be compared using the log-rank test. </w:t>
      </w:r>
    </w:p>
    <w:p w14:paraId="7EAD58AC" w14:textId="77777777"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Descriptive statistics will be used to summarise the demographic and clinicopathological characteristics of the study population. Appropriate statistical tests will be used to evaluate the association between circulating tumour cells, tumour emboli, clinicopathological parameters, recurrence, and survival outcomes. A p-value of less than 0.05 will be considered statistically significant.</w:t>
      </w:r>
    </w:p>
    <w:p w14:paraId="4E719D30" w14:textId="54531A78" w:rsidR="002C53CC" w:rsidRPr="008B306B" w:rsidRDefault="002C53CC" w:rsidP="002C53CC">
      <w:pPr>
        <w:rPr>
          <w:rFonts w:ascii="Times New Roman" w:hAnsi="Times New Roman" w:cs="Times New Roman"/>
          <w:b/>
          <w:bCs/>
          <w:sz w:val="28"/>
          <w:szCs w:val="28"/>
        </w:rPr>
      </w:pPr>
      <w:r w:rsidRPr="008B306B">
        <w:rPr>
          <w:rFonts w:ascii="Times New Roman" w:hAnsi="Times New Roman" w:cs="Times New Roman"/>
          <w:b/>
          <w:bCs/>
          <w:sz w:val="28"/>
          <w:szCs w:val="28"/>
        </w:rPr>
        <w:t>Data Management</w:t>
      </w:r>
    </w:p>
    <w:p w14:paraId="07F90421" w14:textId="77777777"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All study data will be recorded using a structured case record form and entered into a password-protected electronic database. Each participant will be assigned a unique study identification number to maintain confidentiality. Only authorised members of the research team will have access to the study data.</w:t>
      </w:r>
    </w:p>
    <w:p w14:paraId="2704AA51" w14:textId="3D6F8647" w:rsidR="002C53CC" w:rsidRPr="008B306B" w:rsidRDefault="002C53CC" w:rsidP="002C53CC">
      <w:pPr>
        <w:rPr>
          <w:rFonts w:ascii="Times New Roman" w:hAnsi="Times New Roman" w:cs="Times New Roman"/>
          <w:b/>
          <w:bCs/>
          <w:sz w:val="28"/>
          <w:szCs w:val="28"/>
        </w:rPr>
      </w:pPr>
      <w:r w:rsidRPr="008B306B">
        <w:rPr>
          <w:rFonts w:ascii="Times New Roman" w:hAnsi="Times New Roman" w:cs="Times New Roman"/>
          <w:b/>
          <w:bCs/>
          <w:sz w:val="28"/>
          <w:szCs w:val="28"/>
        </w:rPr>
        <w:t>Ethical Considerations</w:t>
      </w:r>
    </w:p>
    <w:p w14:paraId="0F580E3F" w14:textId="77777777" w:rsidR="002C53CC" w:rsidRPr="008B306B" w:rsidRDefault="002C53CC" w:rsidP="002C53CC">
      <w:pPr>
        <w:rPr>
          <w:rFonts w:ascii="Times New Roman" w:hAnsi="Times New Roman" w:cs="Times New Roman"/>
          <w:sz w:val="28"/>
          <w:szCs w:val="28"/>
        </w:rPr>
      </w:pPr>
      <w:r w:rsidRPr="008B306B">
        <w:rPr>
          <w:rFonts w:ascii="Times New Roman" w:hAnsi="Times New Roman" w:cs="Times New Roman"/>
          <w:sz w:val="28"/>
          <w:szCs w:val="28"/>
        </w:rPr>
        <w:t>The study will be conducted after approval from the Institutional Ethics Committee of Amrita Institute of Medical Sciences. Written informed consent will be obtained from all participants before enrolment. The study will follow the ethical principles of the Declaration of Helsinki and applicable institutional guidelines.</w:t>
      </w:r>
    </w:p>
    <w:p w14:paraId="3B9AD799" w14:textId="6AD728AD" w:rsidR="002C53CC" w:rsidRPr="008B306B" w:rsidRDefault="002C53CC" w:rsidP="002C53CC">
      <w:pPr>
        <w:rPr>
          <w:rFonts w:ascii="Times New Roman" w:hAnsi="Times New Roman" w:cs="Times New Roman"/>
          <w:b/>
          <w:bCs/>
          <w:sz w:val="28"/>
          <w:szCs w:val="28"/>
        </w:rPr>
      </w:pPr>
      <w:r w:rsidRPr="008B306B">
        <w:rPr>
          <w:rFonts w:ascii="Times New Roman" w:hAnsi="Times New Roman" w:cs="Times New Roman"/>
          <w:b/>
          <w:bCs/>
          <w:sz w:val="28"/>
          <w:szCs w:val="28"/>
        </w:rPr>
        <w:t xml:space="preserve"> Confidentiality</w:t>
      </w:r>
    </w:p>
    <w:p w14:paraId="7C7B5F25" w14:textId="7A969C33" w:rsidR="00D02908" w:rsidRPr="008B306B" w:rsidRDefault="002C53CC" w:rsidP="00D02908">
      <w:pPr>
        <w:rPr>
          <w:rFonts w:ascii="Times New Roman" w:hAnsi="Times New Roman" w:cs="Times New Roman"/>
          <w:sz w:val="28"/>
          <w:szCs w:val="28"/>
        </w:rPr>
      </w:pPr>
      <w:r w:rsidRPr="008B306B">
        <w:rPr>
          <w:rFonts w:ascii="Times New Roman" w:hAnsi="Times New Roman" w:cs="Times New Roman"/>
          <w:sz w:val="28"/>
          <w:szCs w:val="28"/>
        </w:rPr>
        <w:t xml:space="preserve">All personal information collected during the study will be kept confidential. Participants will be identified only by study identification numbers during data </w:t>
      </w:r>
      <w:r w:rsidRPr="008B306B">
        <w:rPr>
          <w:rFonts w:ascii="Times New Roman" w:hAnsi="Times New Roman" w:cs="Times New Roman"/>
          <w:sz w:val="28"/>
          <w:szCs w:val="28"/>
        </w:rPr>
        <w:lastRenderedPageBreak/>
        <w:t>analysis and publication. No information that could identify an individual participant will be disclosed.</w:t>
      </w:r>
      <w:r w:rsidR="00CD5944" w:rsidRPr="008B306B">
        <w:rPr>
          <w:rFonts w:ascii="Times New Roman" w:hAnsi="Times New Roman" w:cs="Times New Roman"/>
          <w:sz w:val="28"/>
          <w:szCs w:val="28"/>
        </w:rPr>
        <w:t xml:space="preserve"> </w:t>
      </w:r>
      <w:r w:rsidR="00D02908" w:rsidRPr="008B306B">
        <w:rPr>
          <w:rFonts w:ascii="Times New Roman" w:hAnsi="Times New Roman" w:cs="Times New Roman"/>
          <w:sz w:val="28"/>
          <w:szCs w:val="28"/>
        </w:rPr>
        <w:t xml:space="preserve">This study is a </w:t>
      </w:r>
      <w:r w:rsidR="00D02908" w:rsidRPr="008B306B">
        <w:rPr>
          <w:rFonts w:ascii="Times New Roman" w:hAnsi="Times New Roman" w:cs="Times New Roman"/>
          <w:b/>
          <w:bCs/>
          <w:sz w:val="28"/>
          <w:szCs w:val="28"/>
        </w:rPr>
        <w:t>prospective observational cohort study</w:t>
      </w:r>
      <w:r w:rsidR="00D02908" w:rsidRPr="008B306B">
        <w:rPr>
          <w:rFonts w:ascii="Times New Roman" w:hAnsi="Times New Roman" w:cs="Times New Roman"/>
          <w:sz w:val="28"/>
          <w:szCs w:val="28"/>
        </w:rPr>
        <w:t xml:space="preserve">. No experimental intervention </w:t>
      </w:r>
      <w:r w:rsidR="00CD5944" w:rsidRPr="008B306B">
        <w:rPr>
          <w:rFonts w:ascii="Times New Roman" w:hAnsi="Times New Roman" w:cs="Times New Roman"/>
          <w:sz w:val="28"/>
          <w:szCs w:val="28"/>
        </w:rPr>
        <w:t xml:space="preserve">to be </w:t>
      </w:r>
      <w:r w:rsidR="00D02908" w:rsidRPr="008B306B">
        <w:rPr>
          <w:rFonts w:ascii="Times New Roman" w:hAnsi="Times New Roman" w:cs="Times New Roman"/>
          <w:sz w:val="28"/>
          <w:szCs w:val="28"/>
        </w:rPr>
        <w:t>performed as part of the study.</w:t>
      </w:r>
    </w:p>
    <w:p w14:paraId="6495E0E9" w14:textId="46D9F7C2" w:rsidR="00D02908" w:rsidRPr="008B306B" w:rsidRDefault="00D02908" w:rsidP="00D02908">
      <w:pPr>
        <w:rPr>
          <w:rFonts w:ascii="Times New Roman" w:hAnsi="Times New Roman" w:cs="Times New Roman"/>
          <w:sz w:val="28"/>
          <w:szCs w:val="28"/>
        </w:rPr>
      </w:pPr>
      <w:r w:rsidRPr="008B306B">
        <w:rPr>
          <w:rFonts w:ascii="Times New Roman" w:hAnsi="Times New Roman" w:cs="Times New Roman"/>
          <w:sz w:val="28"/>
          <w:szCs w:val="28"/>
        </w:rPr>
        <w:t xml:space="preserve">All patients received the standard treatment recommended by the multidisciplinary Head and Neck Oncology team. The treatment plan, including surgery and adjuvant therapy when indicated, was based entirely on routine clinical practice. Participation in the study </w:t>
      </w:r>
      <w:r w:rsidR="009A609E" w:rsidRPr="008B306B">
        <w:rPr>
          <w:rFonts w:ascii="Times New Roman" w:hAnsi="Times New Roman" w:cs="Times New Roman"/>
          <w:sz w:val="28"/>
          <w:szCs w:val="28"/>
        </w:rPr>
        <w:t xml:space="preserve">may </w:t>
      </w:r>
      <w:r w:rsidRPr="008B306B">
        <w:rPr>
          <w:rFonts w:ascii="Times New Roman" w:hAnsi="Times New Roman" w:cs="Times New Roman"/>
          <w:sz w:val="28"/>
          <w:szCs w:val="28"/>
        </w:rPr>
        <w:t xml:space="preserve">not alter patient management or treatment </w:t>
      </w:r>
      <w:proofErr w:type="spellStart"/>
      <w:proofErr w:type="gramStart"/>
      <w:r w:rsidRPr="008B306B">
        <w:rPr>
          <w:rFonts w:ascii="Times New Roman" w:hAnsi="Times New Roman" w:cs="Times New Roman"/>
          <w:sz w:val="28"/>
          <w:szCs w:val="28"/>
        </w:rPr>
        <w:t>decisions.Blood</w:t>
      </w:r>
      <w:proofErr w:type="spellEnd"/>
      <w:proofErr w:type="gramEnd"/>
      <w:r w:rsidRPr="008B306B">
        <w:rPr>
          <w:rFonts w:ascii="Times New Roman" w:hAnsi="Times New Roman" w:cs="Times New Roman"/>
          <w:sz w:val="28"/>
          <w:szCs w:val="28"/>
        </w:rPr>
        <w:t xml:space="preserve"> collection for circulating tumour cell analysis </w:t>
      </w:r>
      <w:r w:rsidR="009A609E" w:rsidRPr="008B306B">
        <w:rPr>
          <w:rFonts w:ascii="Times New Roman" w:hAnsi="Times New Roman" w:cs="Times New Roman"/>
          <w:sz w:val="28"/>
          <w:szCs w:val="28"/>
        </w:rPr>
        <w:t xml:space="preserve">to </w:t>
      </w:r>
      <w:r w:rsidR="00754E86" w:rsidRPr="008B306B">
        <w:rPr>
          <w:rFonts w:ascii="Times New Roman" w:hAnsi="Times New Roman" w:cs="Times New Roman"/>
          <w:sz w:val="28"/>
          <w:szCs w:val="28"/>
        </w:rPr>
        <w:t xml:space="preserve">be </w:t>
      </w:r>
      <w:r w:rsidRPr="008B306B">
        <w:rPr>
          <w:rFonts w:ascii="Times New Roman" w:hAnsi="Times New Roman" w:cs="Times New Roman"/>
          <w:sz w:val="28"/>
          <w:szCs w:val="28"/>
        </w:rPr>
        <w:t>performed as an additional research procedure before surgery after obtaining written informed consent.</w:t>
      </w:r>
    </w:p>
    <w:p w14:paraId="64161F1C" w14:textId="77777777" w:rsidR="002926FB" w:rsidRPr="008B306B" w:rsidRDefault="002926FB" w:rsidP="00D02908">
      <w:pPr>
        <w:rPr>
          <w:rFonts w:ascii="Times New Roman" w:hAnsi="Times New Roman" w:cs="Times New Roman"/>
          <w:b/>
          <w:bCs/>
          <w:sz w:val="28"/>
          <w:szCs w:val="28"/>
        </w:rPr>
      </w:pPr>
    </w:p>
    <w:p w14:paraId="06EB4DDD" w14:textId="4A17C66F" w:rsidR="002926FB" w:rsidRPr="008B306B" w:rsidRDefault="002926FB" w:rsidP="00D02908">
      <w:pPr>
        <w:rPr>
          <w:rFonts w:ascii="Times New Roman" w:hAnsi="Times New Roman" w:cs="Times New Roman"/>
          <w:b/>
          <w:bCs/>
          <w:sz w:val="28"/>
          <w:szCs w:val="28"/>
        </w:rPr>
      </w:pPr>
      <w:r w:rsidRPr="008B306B">
        <w:rPr>
          <w:rFonts w:ascii="Times New Roman" w:hAnsi="Times New Roman" w:cs="Times New Roman"/>
          <w:b/>
          <w:bCs/>
          <w:sz w:val="28"/>
          <w:szCs w:val="28"/>
        </w:rPr>
        <w:t>Study Budget</w:t>
      </w:r>
    </w:p>
    <w:tbl>
      <w:tblPr>
        <w:tblW w:w="5000" w:type="pct"/>
        <w:tblLook w:val="04A0" w:firstRow="1" w:lastRow="0" w:firstColumn="1" w:lastColumn="0" w:noHBand="0" w:noVBand="1"/>
      </w:tblPr>
      <w:tblGrid>
        <w:gridCol w:w="2422"/>
        <w:gridCol w:w="1598"/>
        <w:gridCol w:w="1598"/>
        <w:gridCol w:w="1598"/>
        <w:gridCol w:w="1790"/>
      </w:tblGrid>
      <w:tr w:rsidR="002926FB" w:rsidRPr="008B306B" w14:paraId="6CCD40E1" w14:textId="77777777" w:rsidTr="00454B1D">
        <w:trPr>
          <w:trHeight w:val="324"/>
        </w:trPr>
        <w:tc>
          <w:tcPr>
            <w:tcW w:w="1345" w:type="pct"/>
            <w:tcBorders>
              <w:top w:val="nil"/>
              <w:left w:val="single" w:sz="8" w:space="0" w:color="auto"/>
              <w:bottom w:val="single" w:sz="8" w:space="0" w:color="auto"/>
              <w:right w:val="single" w:sz="8" w:space="0" w:color="auto"/>
            </w:tcBorders>
            <w:vAlign w:val="center"/>
            <w:hideMark/>
          </w:tcPr>
          <w:p w14:paraId="4C29979F"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Items</w:t>
            </w:r>
          </w:p>
        </w:tc>
        <w:tc>
          <w:tcPr>
            <w:tcW w:w="887" w:type="pct"/>
            <w:tcBorders>
              <w:top w:val="nil"/>
              <w:left w:val="nil"/>
              <w:bottom w:val="single" w:sz="8" w:space="0" w:color="auto"/>
              <w:right w:val="single" w:sz="8" w:space="0" w:color="auto"/>
            </w:tcBorders>
            <w:vAlign w:val="center"/>
            <w:hideMark/>
          </w:tcPr>
          <w:p w14:paraId="72AA884C"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Year 1</w:t>
            </w:r>
          </w:p>
        </w:tc>
        <w:tc>
          <w:tcPr>
            <w:tcW w:w="887" w:type="pct"/>
            <w:tcBorders>
              <w:top w:val="nil"/>
              <w:left w:val="nil"/>
              <w:bottom w:val="single" w:sz="8" w:space="0" w:color="auto"/>
              <w:right w:val="single" w:sz="8" w:space="0" w:color="auto"/>
            </w:tcBorders>
            <w:vAlign w:val="center"/>
            <w:hideMark/>
          </w:tcPr>
          <w:p w14:paraId="133BCE23"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Year 2</w:t>
            </w:r>
          </w:p>
        </w:tc>
        <w:tc>
          <w:tcPr>
            <w:tcW w:w="887" w:type="pct"/>
            <w:tcBorders>
              <w:top w:val="nil"/>
              <w:left w:val="nil"/>
              <w:bottom w:val="single" w:sz="8" w:space="0" w:color="auto"/>
              <w:right w:val="single" w:sz="8" w:space="0" w:color="auto"/>
            </w:tcBorders>
            <w:vAlign w:val="center"/>
            <w:hideMark/>
          </w:tcPr>
          <w:p w14:paraId="785FD85F"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Year 3</w:t>
            </w:r>
          </w:p>
        </w:tc>
        <w:tc>
          <w:tcPr>
            <w:tcW w:w="994" w:type="pct"/>
            <w:tcBorders>
              <w:top w:val="nil"/>
              <w:left w:val="nil"/>
              <w:bottom w:val="single" w:sz="8" w:space="0" w:color="auto"/>
              <w:right w:val="single" w:sz="8" w:space="0" w:color="auto"/>
            </w:tcBorders>
            <w:vAlign w:val="center"/>
            <w:hideMark/>
          </w:tcPr>
          <w:p w14:paraId="0FFCB58B"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Total</w:t>
            </w:r>
          </w:p>
        </w:tc>
      </w:tr>
      <w:tr w:rsidR="002926FB" w:rsidRPr="008B306B" w14:paraId="0D07169F" w14:textId="77777777" w:rsidTr="00454B1D">
        <w:trPr>
          <w:trHeight w:val="324"/>
        </w:trPr>
        <w:tc>
          <w:tcPr>
            <w:tcW w:w="1345" w:type="pct"/>
            <w:tcBorders>
              <w:top w:val="nil"/>
              <w:left w:val="single" w:sz="8" w:space="0" w:color="auto"/>
              <w:bottom w:val="single" w:sz="8" w:space="0" w:color="auto"/>
              <w:right w:val="single" w:sz="8" w:space="0" w:color="auto"/>
            </w:tcBorders>
            <w:vAlign w:val="center"/>
          </w:tcPr>
          <w:p w14:paraId="193ED819"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Consumables</w:t>
            </w:r>
          </w:p>
        </w:tc>
        <w:tc>
          <w:tcPr>
            <w:tcW w:w="887" w:type="pct"/>
            <w:tcBorders>
              <w:top w:val="nil"/>
              <w:left w:val="nil"/>
              <w:bottom w:val="single" w:sz="8" w:space="0" w:color="auto"/>
              <w:right w:val="single" w:sz="8" w:space="0" w:color="auto"/>
            </w:tcBorders>
            <w:vAlign w:val="center"/>
          </w:tcPr>
          <w:p w14:paraId="1AF50157"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7,88000</w:t>
            </w:r>
          </w:p>
        </w:tc>
        <w:tc>
          <w:tcPr>
            <w:tcW w:w="887" w:type="pct"/>
            <w:tcBorders>
              <w:top w:val="nil"/>
              <w:left w:val="nil"/>
              <w:bottom w:val="single" w:sz="8" w:space="0" w:color="auto"/>
              <w:right w:val="single" w:sz="8" w:space="0" w:color="auto"/>
            </w:tcBorders>
            <w:vAlign w:val="center"/>
          </w:tcPr>
          <w:p w14:paraId="44411A4E"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8,17000</w:t>
            </w:r>
          </w:p>
        </w:tc>
        <w:tc>
          <w:tcPr>
            <w:tcW w:w="887" w:type="pct"/>
            <w:tcBorders>
              <w:top w:val="nil"/>
              <w:left w:val="nil"/>
              <w:bottom w:val="single" w:sz="8" w:space="0" w:color="auto"/>
              <w:right w:val="single" w:sz="8" w:space="0" w:color="auto"/>
            </w:tcBorders>
            <w:vAlign w:val="center"/>
          </w:tcPr>
          <w:p w14:paraId="109B08EA"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8,65000</w:t>
            </w:r>
          </w:p>
        </w:tc>
        <w:tc>
          <w:tcPr>
            <w:tcW w:w="994" w:type="pct"/>
            <w:tcBorders>
              <w:top w:val="nil"/>
              <w:left w:val="nil"/>
              <w:bottom w:val="single" w:sz="8" w:space="0" w:color="auto"/>
              <w:right w:val="single" w:sz="8" w:space="0" w:color="auto"/>
            </w:tcBorders>
            <w:vAlign w:val="center"/>
          </w:tcPr>
          <w:p w14:paraId="26B1C609"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23,40000</w:t>
            </w:r>
          </w:p>
        </w:tc>
      </w:tr>
      <w:tr w:rsidR="002926FB" w:rsidRPr="008B306B" w14:paraId="70A1CE39" w14:textId="77777777" w:rsidTr="00454B1D">
        <w:trPr>
          <w:trHeight w:val="324"/>
        </w:trPr>
        <w:tc>
          <w:tcPr>
            <w:tcW w:w="1345" w:type="pct"/>
            <w:tcBorders>
              <w:top w:val="nil"/>
              <w:left w:val="single" w:sz="8" w:space="0" w:color="auto"/>
              <w:bottom w:val="single" w:sz="8" w:space="0" w:color="auto"/>
              <w:right w:val="single" w:sz="8" w:space="0" w:color="auto"/>
            </w:tcBorders>
            <w:vAlign w:val="center"/>
            <w:hideMark/>
          </w:tcPr>
          <w:p w14:paraId="63FB92F3"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Manpower</w:t>
            </w:r>
          </w:p>
        </w:tc>
        <w:tc>
          <w:tcPr>
            <w:tcW w:w="887" w:type="pct"/>
            <w:tcBorders>
              <w:top w:val="nil"/>
              <w:left w:val="nil"/>
              <w:bottom w:val="single" w:sz="8" w:space="0" w:color="auto"/>
              <w:right w:val="single" w:sz="8" w:space="0" w:color="auto"/>
            </w:tcBorders>
            <w:vAlign w:val="center"/>
            <w:hideMark/>
          </w:tcPr>
          <w:p w14:paraId="45414F2A"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90000</w:t>
            </w:r>
          </w:p>
        </w:tc>
        <w:tc>
          <w:tcPr>
            <w:tcW w:w="887" w:type="pct"/>
            <w:tcBorders>
              <w:top w:val="nil"/>
              <w:left w:val="nil"/>
              <w:bottom w:val="single" w:sz="8" w:space="0" w:color="auto"/>
              <w:right w:val="single" w:sz="8" w:space="0" w:color="auto"/>
            </w:tcBorders>
            <w:vAlign w:val="center"/>
            <w:hideMark/>
          </w:tcPr>
          <w:p w14:paraId="7586E4C2"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1,80000</w:t>
            </w:r>
          </w:p>
        </w:tc>
        <w:tc>
          <w:tcPr>
            <w:tcW w:w="887" w:type="pct"/>
            <w:tcBorders>
              <w:top w:val="nil"/>
              <w:left w:val="nil"/>
              <w:bottom w:val="single" w:sz="8" w:space="0" w:color="auto"/>
              <w:right w:val="single" w:sz="8" w:space="0" w:color="auto"/>
            </w:tcBorders>
            <w:vAlign w:val="center"/>
            <w:hideMark/>
          </w:tcPr>
          <w:p w14:paraId="5302D2E6"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90000</w:t>
            </w:r>
          </w:p>
        </w:tc>
        <w:tc>
          <w:tcPr>
            <w:tcW w:w="994" w:type="pct"/>
            <w:tcBorders>
              <w:top w:val="nil"/>
              <w:left w:val="nil"/>
              <w:bottom w:val="single" w:sz="8" w:space="0" w:color="auto"/>
              <w:right w:val="single" w:sz="8" w:space="0" w:color="auto"/>
            </w:tcBorders>
            <w:vAlign w:val="center"/>
            <w:hideMark/>
          </w:tcPr>
          <w:p w14:paraId="2E61951A"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3,60000</w:t>
            </w:r>
          </w:p>
        </w:tc>
      </w:tr>
      <w:tr w:rsidR="002926FB" w:rsidRPr="008B306B" w14:paraId="0BE231AC" w14:textId="77777777" w:rsidTr="00454B1D">
        <w:trPr>
          <w:trHeight w:val="324"/>
        </w:trPr>
        <w:tc>
          <w:tcPr>
            <w:tcW w:w="1345" w:type="pct"/>
            <w:tcBorders>
              <w:top w:val="nil"/>
              <w:left w:val="single" w:sz="8" w:space="0" w:color="auto"/>
              <w:bottom w:val="single" w:sz="8" w:space="0" w:color="auto"/>
              <w:right w:val="single" w:sz="8" w:space="0" w:color="auto"/>
            </w:tcBorders>
            <w:vAlign w:val="center"/>
            <w:hideMark/>
          </w:tcPr>
          <w:p w14:paraId="0A71615D"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Travel Expenses</w:t>
            </w:r>
          </w:p>
        </w:tc>
        <w:tc>
          <w:tcPr>
            <w:tcW w:w="887" w:type="pct"/>
            <w:tcBorders>
              <w:top w:val="nil"/>
              <w:left w:val="nil"/>
              <w:bottom w:val="single" w:sz="8" w:space="0" w:color="auto"/>
              <w:right w:val="single" w:sz="8" w:space="0" w:color="auto"/>
            </w:tcBorders>
            <w:vAlign w:val="center"/>
            <w:hideMark/>
          </w:tcPr>
          <w:p w14:paraId="3AB0DB9E"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00</w:t>
            </w:r>
          </w:p>
        </w:tc>
        <w:tc>
          <w:tcPr>
            <w:tcW w:w="887" w:type="pct"/>
            <w:tcBorders>
              <w:top w:val="nil"/>
              <w:left w:val="nil"/>
              <w:bottom w:val="single" w:sz="8" w:space="0" w:color="auto"/>
              <w:right w:val="single" w:sz="8" w:space="0" w:color="auto"/>
            </w:tcBorders>
            <w:vAlign w:val="center"/>
            <w:hideMark/>
          </w:tcPr>
          <w:p w14:paraId="2DE60408"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0000</w:t>
            </w:r>
          </w:p>
        </w:tc>
        <w:tc>
          <w:tcPr>
            <w:tcW w:w="887" w:type="pct"/>
            <w:tcBorders>
              <w:top w:val="nil"/>
              <w:left w:val="nil"/>
              <w:bottom w:val="single" w:sz="8" w:space="0" w:color="auto"/>
              <w:right w:val="single" w:sz="8" w:space="0" w:color="auto"/>
            </w:tcBorders>
            <w:vAlign w:val="center"/>
            <w:hideMark/>
          </w:tcPr>
          <w:p w14:paraId="6C357341"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30000</w:t>
            </w:r>
          </w:p>
        </w:tc>
        <w:tc>
          <w:tcPr>
            <w:tcW w:w="994" w:type="pct"/>
            <w:tcBorders>
              <w:top w:val="nil"/>
              <w:left w:val="nil"/>
              <w:bottom w:val="single" w:sz="8" w:space="0" w:color="auto"/>
              <w:right w:val="single" w:sz="8" w:space="0" w:color="auto"/>
            </w:tcBorders>
            <w:vAlign w:val="center"/>
            <w:hideMark/>
          </w:tcPr>
          <w:p w14:paraId="59938856"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30000</w:t>
            </w:r>
          </w:p>
        </w:tc>
      </w:tr>
      <w:tr w:rsidR="002926FB" w:rsidRPr="008B306B" w14:paraId="5BDD2172" w14:textId="77777777" w:rsidTr="00454B1D">
        <w:trPr>
          <w:trHeight w:val="324"/>
        </w:trPr>
        <w:tc>
          <w:tcPr>
            <w:tcW w:w="1345" w:type="pct"/>
            <w:tcBorders>
              <w:top w:val="nil"/>
              <w:left w:val="single" w:sz="8" w:space="0" w:color="auto"/>
              <w:bottom w:val="single" w:sz="8" w:space="0" w:color="auto"/>
              <w:right w:val="single" w:sz="8" w:space="0" w:color="auto"/>
            </w:tcBorders>
            <w:vAlign w:val="center"/>
            <w:hideMark/>
          </w:tcPr>
          <w:p w14:paraId="7F985292"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Contingency</w:t>
            </w:r>
          </w:p>
        </w:tc>
        <w:tc>
          <w:tcPr>
            <w:tcW w:w="887" w:type="pct"/>
            <w:tcBorders>
              <w:top w:val="nil"/>
              <w:left w:val="nil"/>
              <w:bottom w:val="single" w:sz="8" w:space="0" w:color="auto"/>
              <w:right w:val="single" w:sz="8" w:space="0" w:color="auto"/>
            </w:tcBorders>
            <w:vAlign w:val="center"/>
            <w:hideMark/>
          </w:tcPr>
          <w:p w14:paraId="11A4A8FF"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25000</w:t>
            </w:r>
          </w:p>
        </w:tc>
        <w:tc>
          <w:tcPr>
            <w:tcW w:w="887" w:type="pct"/>
            <w:tcBorders>
              <w:top w:val="nil"/>
              <w:left w:val="nil"/>
              <w:bottom w:val="single" w:sz="8" w:space="0" w:color="auto"/>
              <w:right w:val="single" w:sz="8" w:space="0" w:color="auto"/>
            </w:tcBorders>
            <w:vAlign w:val="center"/>
            <w:hideMark/>
          </w:tcPr>
          <w:p w14:paraId="74F3FF26"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20000</w:t>
            </w:r>
          </w:p>
        </w:tc>
        <w:tc>
          <w:tcPr>
            <w:tcW w:w="887" w:type="pct"/>
            <w:tcBorders>
              <w:top w:val="nil"/>
              <w:left w:val="nil"/>
              <w:bottom w:val="single" w:sz="8" w:space="0" w:color="auto"/>
              <w:right w:val="single" w:sz="8" w:space="0" w:color="auto"/>
            </w:tcBorders>
            <w:vAlign w:val="center"/>
            <w:hideMark/>
          </w:tcPr>
          <w:p w14:paraId="4F903DB4"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25000</w:t>
            </w:r>
          </w:p>
        </w:tc>
        <w:tc>
          <w:tcPr>
            <w:tcW w:w="994" w:type="pct"/>
            <w:tcBorders>
              <w:top w:val="nil"/>
              <w:left w:val="nil"/>
              <w:bottom w:val="single" w:sz="8" w:space="0" w:color="auto"/>
              <w:right w:val="single" w:sz="8" w:space="0" w:color="auto"/>
            </w:tcBorders>
            <w:vAlign w:val="center"/>
            <w:hideMark/>
          </w:tcPr>
          <w:p w14:paraId="6B9C079E"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650000</w:t>
            </w:r>
          </w:p>
        </w:tc>
      </w:tr>
      <w:tr w:rsidR="002926FB" w:rsidRPr="008B306B" w14:paraId="7173AF42" w14:textId="77777777" w:rsidTr="00DE673A">
        <w:trPr>
          <w:trHeight w:val="324"/>
        </w:trPr>
        <w:tc>
          <w:tcPr>
            <w:tcW w:w="1345" w:type="pct"/>
            <w:tcBorders>
              <w:top w:val="nil"/>
              <w:left w:val="single" w:sz="8" w:space="0" w:color="auto"/>
              <w:bottom w:val="nil"/>
              <w:right w:val="single" w:sz="8" w:space="0" w:color="auto"/>
            </w:tcBorders>
            <w:shd w:val="clear" w:color="000000" w:fill="D9D9D9"/>
            <w:vAlign w:val="center"/>
            <w:hideMark/>
          </w:tcPr>
          <w:p w14:paraId="4D5905BA"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 xml:space="preserve">Total (Rs)  </w:t>
            </w:r>
          </w:p>
        </w:tc>
        <w:tc>
          <w:tcPr>
            <w:tcW w:w="887" w:type="pct"/>
            <w:tcBorders>
              <w:top w:val="nil"/>
              <w:left w:val="nil"/>
              <w:bottom w:val="nil"/>
              <w:right w:val="single" w:sz="8" w:space="0" w:color="auto"/>
            </w:tcBorders>
            <w:shd w:val="clear" w:color="000000" w:fill="D9D9D9"/>
            <w:vAlign w:val="center"/>
            <w:hideMark/>
          </w:tcPr>
          <w:p w14:paraId="6B3D9F50"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9,03000</w:t>
            </w:r>
          </w:p>
        </w:tc>
        <w:tc>
          <w:tcPr>
            <w:tcW w:w="887" w:type="pct"/>
            <w:tcBorders>
              <w:top w:val="nil"/>
              <w:left w:val="nil"/>
              <w:bottom w:val="nil"/>
              <w:right w:val="single" w:sz="8" w:space="0" w:color="auto"/>
            </w:tcBorders>
            <w:shd w:val="clear" w:color="000000" w:fill="D9D9D9"/>
            <w:vAlign w:val="center"/>
            <w:hideMark/>
          </w:tcPr>
          <w:p w14:paraId="3615ABBC"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10,8700</w:t>
            </w:r>
          </w:p>
        </w:tc>
        <w:tc>
          <w:tcPr>
            <w:tcW w:w="887" w:type="pct"/>
            <w:tcBorders>
              <w:top w:val="nil"/>
              <w:left w:val="nil"/>
              <w:bottom w:val="nil"/>
              <w:right w:val="single" w:sz="8" w:space="0" w:color="auto"/>
            </w:tcBorders>
            <w:shd w:val="clear" w:color="000000" w:fill="D9D9D9"/>
            <w:vAlign w:val="center"/>
            <w:hideMark/>
          </w:tcPr>
          <w:p w14:paraId="786A25E2"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10,0000</w:t>
            </w:r>
          </w:p>
        </w:tc>
        <w:tc>
          <w:tcPr>
            <w:tcW w:w="994" w:type="pct"/>
            <w:tcBorders>
              <w:top w:val="nil"/>
              <w:left w:val="nil"/>
              <w:bottom w:val="nil"/>
              <w:right w:val="single" w:sz="8" w:space="0" w:color="auto"/>
            </w:tcBorders>
            <w:shd w:val="clear" w:color="000000" w:fill="D9D9D9"/>
            <w:vAlign w:val="center"/>
            <w:hideMark/>
          </w:tcPr>
          <w:p w14:paraId="1B3C4019" w14:textId="77777777" w:rsidR="002926FB" w:rsidRPr="008B306B" w:rsidRDefault="002926FB" w:rsidP="00454B1D">
            <w:pPr>
              <w:spacing w:after="0" w:line="36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30,40000</w:t>
            </w:r>
          </w:p>
        </w:tc>
      </w:tr>
      <w:tr w:rsidR="00DE673A" w:rsidRPr="008B306B" w14:paraId="119C9E46" w14:textId="77777777" w:rsidTr="00454B1D">
        <w:trPr>
          <w:trHeight w:val="324"/>
        </w:trPr>
        <w:tc>
          <w:tcPr>
            <w:tcW w:w="1345" w:type="pct"/>
            <w:tcBorders>
              <w:top w:val="nil"/>
              <w:left w:val="single" w:sz="8" w:space="0" w:color="auto"/>
              <w:bottom w:val="single" w:sz="8" w:space="0" w:color="auto"/>
              <w:right w:val="single" w:sz="8" w:space="0" w:color="auto"/>
            </w:tcBorders>
            <w:shd w:val="clear" w:color="000000" w:fill="D9D9D9"/>
            <w:vAlign w:val="center"/>
          </w:tcPr>
          <w:p w14:paraId="01DEBA34" w14:textId="77777777" w:rsidR="00DE673A" w:rsidRPr="008B306B" w:rsidRDefault="00DE673A" w:rsidP="00454B1D">
            <w:pPr>
              <w:spacing w:after="0" w:line="360" w:lineRule="auto"/>
              <w:jc w:val="both"/>
              <w:rPr>
                <w:rFonts w:ascii="Times New Roman" w:eastAsia="Times New Roman" w:hAnsi="Times New Roman" w:cs="Times New Roman"/>
                <w:sz w:val="28"/>
                <w:szCs w:val="28"/>
                <w:lang w:eastAsia="en-IN"/>
              </w:rPr>
            </w:pPr>
          </w:p>
        </w:tc>
        <w:tc>
          <w:tcPr>
            <w:tcW w:w="887" w:type="pct"/>
            <w:tcBorders>
              <w:top w:val="nil"/>
              <w:left w:val="nil"/>
              <w:bottom w:val="single" w:sz="8" w:space="0" w:color="auto"/>
              <w:right w:val="single" w:sz="8" w:space="0" w:color="auto"/>
            </w:tcBorders>
            <w:shd w:val="clear" w:color="000000" w:fill="D9D9D9"/>
            <w:vAlign w:val="center"/>
          </w:tcPr>
          <w:p w14:paraId="589A0CFE" w14:textId="77777777" w:rsidR="00DE673A" w:rsidRPr="008B306B" w:rsidRDefault="00DE673A" w:rsidP="00454B1D">
            <w:pPr>
              <w:spacing w:after="0" w:line="360" w:lineRule="auto"/>
              <w:jc w:val="both"/>
              <w:rPr>
                <w:rFonts w:ascii="Times New Roman" w:eastAsia="Times New Roman" w:hAnsi="Times New Roman" w:cs="Times New Roman"/>
                <w:sz w:val="28"/>
                <w:szCs w:val="28"/>
                <w:lang w:eastAsia="en-IN"/>
              </w:rPr>
            </w:pPr>
          </w:p>
        </w:tc>
        <w:tc>
          <w:tcPr>
            <w:tcW w:w="887" w:type="pct"/>
            <w:tcBorders>
              <w:top w:val="nil"/>
              <w:left w:val="nil"/>
              <w:bottom w:val="single" w:sz="8" w:space="0" w:color="auto"/>
              <w:right w:val="single" w:sz="8" w:space="0" w:color="auto"/>
            </w:tcBorders>
            <w:shd w:val="clear" w:color="000000" w:fill="D9D9D9"/>
            <w:vAlign w:val="center"/>
          </w:tcPr>
          <w:p w14:paraId="28F15DA5" w14:textId="77777777" w:rsidR="00DE673A" w:rsidRPr="008B306B" w:rsidRDefault="00DE673A" w:rsidP="00454B1D">
            <w:pPr>
              <w:spacing w:after="0" w:line="360" w:lineRule="auto"/>
              <w:jc w:val="both"/>
              <w:rPr>
                <w:rFonts w:ascii="Times New Roman" w:eastAsia="Times New Roman" w:hAnsi="Times New Roman" w:cs="Times New Roman"/>
                <w:sz w:val="28"/>
                <w:szCs w:val="28"/>
                <w:lang w:eastAsia="en-IN"/>
              </w:rPr>
            </w:pPr>
          </w:p>
        </w:tc>
        <w:tc>
          <w:tcPr>
            <w:tcW w:w="887" w:type="pct"/>
            <w:tcBorders>
              <w:top w:val="nil"/>
              <w:left w:val="nil"/>
              <w:bottom w:val="single" w:sz="8" w:space="0" w:color="auto"/>
              <w:right w:val="single" w:sz="8" w:space="0" w:color="auto"/>
            </w:tcBorders>
            <w:shd w:val="clear" w:color="000000" w:fill="D9D9D9"/>
            <w:vAlign w:val="center"/>
          </w:tcPr>
          <w:p w14:paraId="4EA2469A" w14:textId="77777777" w:rsidR="00DE673A" w:rsidRPr="008B306B" w:rsidRDefault="00DE673A" w:rsidP="00454B1D">
            <w:pPr>
              <w:spacing w:after="0" w:line="360" w:lineRule="auto"/>
              <w:jc w:val="both"/>
              <w:rPr>
                <w:rFonts w:ascii="Times New Roman" w:eastAsia="Times New Roman" w:hAnsi="Times New Roman" w:cs="Times New Roman"/>
                <w:sz w:val="28"/>
                <w:szCs w:val="28"/>
                <w:lang w:eastAsia="en-IN"/>
              </w:rPr>
            </w:pPr>
          </w:p>
        </w:tc>
        <w:tc>
          <w:tcPr>
            <w:tcW w:w="994" w:type="pct"/>
            <w:tcBorders>
              <w:top w:val="nil"/>
              <w:left w:val="nil"/>
              <w:bottom w:val="single" w:sz="8" w:space="0" w:color="auto"/>
              <w:right w:val="single" w:sz="8" w:space="0" w:color="auto"/>
            </w:tcBorders>
            <w:shd w:val="clear" w:color="000000" w:fill="D9D9D9"/>
            <w:vAlign w:val="center"/>
          </w:tcPr>
          <w:p w14:paraId="427B5C9C" w14:textId="77777777" w:rsidR="00DE673A" w:rsidRPr="008B306B" w:rsidRDefault="00DE673A" w:rsidP="00454B1D">
            <w:pPr>
              <w:spacing w:after="0" w:line="360" w:lineRule="auto"/>
              <w:jc w:val="both"/>
              <w:rPr>
                <w:rFonts w:ascii="Times New Roman" w:eastAsia="Times New Roman" w:hAnsi="Times New Roman" w:cs="Times New Roman"/>
                <w:sz w:val="28"/>
                <w:szCs w:val="28"/>
                <w:lang w:eastAsia="en-IN"/>
              </w:rPr>
            </w:pPr>
          </w:p>
        </w:tc>
      </w:tr>
    </w:tbl>
    <w:p w14:paraId="4EE062AD" w14:textId="77777777" w:rsidR="005D1B32" w:rsidRPr="008B306B" w:rsidRDefault="005D1B32">
      <w:pPr>
        <w:rPr>
          <w:rFonts w:ascii="Times New Roman" w:hAnsi="Times New Roman" w:cs="Times New Roman"/>
          <w:sz w:val="28"/>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6163"/>
      </w:tblGrid>
      <w:tr w:rsidR="00DE673A" w:rsidRPr="008B306B" w14:paraId="1EEFF59D" w14:textId="77777777" w:rsidTr="00DE673A">
        <w:tc>
          <w:tcPr>
            <w:tcW w:w="2904" w:type="dxa"/>
            <w:vAlign w:val="bottom"/>
          </w:tcPr>
          <w:p w14:paraId="09C39094" w14:textId="77777777" w:rsidR="00DE673A" w:rsidRPr="008B306B" w:rsidRDefault="00DE673A" w:rsidP="00454B1D">
            <w:pPr>
              <w:widowControl w:val="0"/>
              <w:suppressAutoHyphens/>
              <w:autoSpaceDE w:val="0"/>
              <w:autoSpaceDN w:val="0"/>
              <w:spacing w:after="0" w:line="267" w:lineRule="exact"/>
              <w:jc w:val="both"/>
              <w:textAlignment w:val="baseline"/>
              <w:rPr>
                <w:rFonts w:ascii="Times New Roman" w:eastAsia="Lucida Sans Unicode" w:hAnsi="Times New Roman" w:cs="Times New Roman"/>
                <w:bCs/>
                <w:kern w:val="3"/>
                <w:sz w:val="28"/>
                <w:szCs w:val="28"/>
                <w:lang w:eastAsia="en-IN"/>
              </w:rPr>
            </w:pPr>
            <w:r w:rsidRPr="008B306B">
              <w:rPr>
                <w:rFonts w:ascii="Times New Roman" w:eastAsia="Lucida Sans Unicode" w:hAnsi="Times New Roman" w:cs="Times New Roman"/>
                <w:bCs/>
                <w:kern w:val="3"/>
                <w:sz w:val="28"/>
                <w:szCs w:val="28"/>
                <w:lang w:eastAsia="en-IN"/>
              </w:rPr>
              <w:t>External Funding Available?</w:t>
            </w:r>
          </w:p>
        </w:tc>
        <w:tc>
          <w:tcPr>
            <w:tcW w:w="6163" w:type="dxa"/>
          </w:tcPr>
          <w:p w14:paraId="2E8E2A0D" w14:textId="77777777" w:rsidR="00DE673A" w:rsidRPr="008B306B" w:rsidRDefault="00DE673A" w:rsidP="00454B1D">
            <w:pPr>
              <w:spacing w:after="0" w:line="24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 xml:space="preserve">Technically Approved- ICMR -DHR </w:t>
            </w:r>
          </w:p>
        </w:tc>
      </w:tr>
      <w:tr w:rsidR="00DE673A" w:rsidRPr="008B306B" w14:paraId="72A9B0E3" w14:textId="77777777" w:rsidTr="00DE673A">
        <w:tc>
          <w:tcPr>
            <w:tcW w:w="2904" w:type="dxa"/>
            <w:vAlign w:val="bottom"/>
          </w:tcPr>
          <w:p w14:paraId="76AE470C" w14:textId="77777777" w:rsidR="00DE673A" w:rsidRPr="008B306B" w:rsidRDefault="00DE673A" w:rsidP="00454B1D">
            <w:pPr>
              <w:widowControl w:val="0"/>
              <w:suppressAutoHyphens/>
              <w:autoSpaceDE w:val="0"/>
              <w:autoSpaceDN w:val="0"/>
              <w:spacing w:after="0" w:line="267" w:lineRule="exact"/>
              <w:jc w:val="both"/>
              <w:textAlignment w:val="baseline"/>
              <w:rPr>
                <w:rFonts w:ascii="Times New Roman" w:eastAsia="Lucida Sans Unicode" w:hAnsi="Times New Roman" w:cs="Times New Roman"/>
                <w:bCs/>
                <w:kern w:val="3"/>
                <w:sz w:val="28"/>
                <w:szCs w:val="28"/>
                <w:lang w:eastAsia="en-IN"/>
              </w:rPr>
            </w:pPr>
            <w:r w:rsidRPr="008B306B">
              <w:rPr>
                <w:rFonts w:ascii="Times New Roman" w:eastAsia="Lucida Sans Unicode" w:hAnsi="Times New Roman" w:cs="Times New Roman"/>
                <w:bCs/>
                <w:kern w:val="3"/>
                <w:sz w:val="28"/>
                <w:szCs w:val="28"/>
                <w:lang w:eastAsia="en-IN"/>
              </w:rPr>
              <w:t>Submitted to any external agency for funding?</w:t>
            </w:r>
          </w:p>
        </w:tc>
        <w:tc>
          <w:tcPr>
            <w:tcW w:w="6163" w:type="dxa"/>
          </w:tcPr>
          <w:p w14:paraId="16E88E59" w14:textId="77777777" w:rsidR="00DE673A" w:rsidRPr="008B306B" w:rsidRDefault="00DE673A" w:rsidP="00454B1D">
            <w:pPr>
              <w:spacing w:after="0" w:line="240" w:lineRule="auto"/>
              <w:jc w:val="both"/>
              <w:rPr>
                <w:rFonts w:ascii="Times New Roman" w:eastAsia="Times New Roman" w:hAnsi="Times New Roman" w:cs="Times New Roman"/>
                <w:sz w:val="28"/>
                <w:szCs w:val="28"/>
                <w:lang w:eastAsia="en-IN"/>
              </w:rPr>
            </w:pPr>
            <w:r w:rsidRPr="008B306B">
              <w:rPr>
                <w:rFonts w:ascii="Times New Roman" w:eastAsia="Times New Roman" w:hAnsi="Times New Roman" w:cs="Times New Roman"/>
                <w:sz w:val="28"/>
                <w:szCs w:val="28"/>
                <w:lang w:eastAsia="en-IN"/>
              </w:rPr>
              <w:t>Yes</w:t>
            </w:r>
          </w:p>
        </w:tc>
      </w:tr>
    </w:tbl>
    <w:p w14:paraId="05D188B6" w14:textId="58FB9CC4" w:rsidR="005E337C" w:rsidRPr="008B306B" w:rsidRDefault="005E337C" w:rsidP="005E337C">
      <w:pPr>
        <w:rPr>
          <w:rFonts w:ascii="Times New Roman" w:hAnsi="Times New Roman" w:cs="Times New Roman"/>
          <w:sz w:val="28"/>
          <w:szCs w:val="28"/>
        </w:rPr>
      </w:pPr>
      <w:proofErr w:type="spellStart"/>
      <w:r w:rsidRPr="008B306B">
        <w:rPr>
          <w:rFonts w:ascii="Times New Roman" w:hAnsi="Times New Roman" w:cs="Times New Roman"/>
          <w:sz w:val="28"/>
          <w:szCs w:val="28"/>
        </w:rPr>
        <w:t>Bibilography</w:t>
      </w:r>
      <w:proofErr w:type="spellEnd"/>
    </w:p>
    <w:p w14:paraId="7081A0DD" w14:textId="2437A56A" w:rsidR="005E337C" w:rsidRPr="008B306B" w:rsidRDefault="005E337C" w:rsidP="005E337C">
      <w:pPr>
        <w:rPr>
          <w:rFonts w:ascii="Times New Roman" w:hAnsi="Times New Roman" w:cs="Times New Roman"/>
          <w:sz w:val="28"/>
          <w:szCs w:val="28"/>
        </w:rPr>
      </w:pPr>
      <w:r w:rsidRPr="008B306B">
        <w:rPr>
          <w:rFonts w:ascii="Times New Roman" w:hAnsi="Times New Roman" w:cs="Times New Roman"/>
          <w:sz w:val="28"/>
          <w:szCs w:val="28"/>
        </w:rPr>
        <w:t xml:space="preserve">1.F A Olshan, Epidemiology Pathogenesis of Oral Squamous Cell Carcinoma J Oral Clin 2. Patho: Molecular Pathol2000; 53:165-72. </w:t>
      </w:r>
    </w:p>
    <w:p w14:paraId="1495192E" w14:textId="77777777" w:rsidR="00B81A72" w:rsidRPr="008B306B" w:rsidRDefault="005E337C" w:rsidP="00B81A72">
      <w:pPr>
        <w:rPr>
          <w:rFonts w:ascii="Times New Roman" w:hAnsi="Times New Roman" w:cs="Times New Roman"/>
          <w:sz w:val="28"/>
          <w:szCs w:val="28"/>
        </w:rPr>
      </w:pPr>
      <w:r w:rsidRPr="008B306B">
        <w:rPr>
          <w:rFonts w:ascii="Times New Roman" w:hAnsi="Times New Roman" w:cs="Times New Roman"/>
          <w:sz w:val="28"/>
          <w:szCs w:val="28"/>
        </w:rPr>
        <w:t xml:space="preserve">2. Hsu P.J., Yan K., Shi H, </w:t>
      </w:r>
      <w:proofErr w:type="spellStart"/>
      <w:r w:rsidRPr="008B306B">
        <w:rPr>
          <w:rFonts w:ascii="Times New Roman" w:hAnsi="Times New Roman" w:cs="Times New Roman"/>
          <w:sz w:val="28"/>
          <w:szCs w:val="28"/>
        </w:rPr>
        <w:t>Izumchenko</w:t>
      </w:r>
      <w:proofErr w:type="spellEnd"/>
      <w:r w:rsidRPr="008B306B">
        <w:rPr>
          <w:rFonts w:ascii="Times New Roman" w:hAnsi="Times New Roman" w:cs="Times New Roman"/>
          <w:sz w:val="28"/>
          <w:szCs w:val="28"/>
        </w:rPr>
        <w:t xml:space="preserve"> E., Agrawal N. Molecular biology of oral cavity squamous cell carcinoma. Oral Oncol. 2020;102 [PMC free article] [PubMed] [Google Scholar] </w:t>
      </w:r>
    </w:p>
    <w:p w14:paraId="2FF168B9" w14:textId="40BD3447" w:rsidR="005E337C" w:rsidRPr="008B306B" w:rsidRDefault="00B81A72" w:rsidP="00B81A72">
      <w:pPr>
        <w:rPr>
          <w:rFonts w:ascii="Times New Roman" w:hAnsi="Times New Roman" w:cs="Times New Roman"/>
          <w:sz w:val="28"/>
          <w:szCs w:val="28"/>
        </w:rPr>
      </w:pPr>
      <w:r w:rsidRPr="008B306B">
        <w:rPr>
          <w:rFonts w:ascii="Times New Roman" w:hAnsi="Times New Roman" w:cs="Times New Roman"/>
          <w:sz w:val="28"/>
          <w:szCs w:val="28"/>
        </w:rPr>
        <w:t>3.</w:t>
      </w:r>
      <w:r w:rsidR="005E337C" w:rsidRPr="008B306B">
        <w:rPr>
          <w:rFonts w:ascii="Times New Roman" w:hAnsi="Times New Roman" w:cs="Times New Roman"/>
          <w:sz w:val="28"/>
          <w:szCs w:val="28"/>
        </w:rPr>
        <w:t xml:space="preserve"> Psaila, B. and D. Lyden, </w:t>
      </w:r>
      <w:proofErr w:type="gramStart"/>
      <w:r w:rsidR="005E337C" w:rsidRPr="008B306B">
        <w:rPr>
          <w:rFonts w:ascii="Times New Roman" w:hAnsi="Times New Roman" w:cs="Times New Roman"/>
          <w:sz w:val="28"/>
          <w:szCs w:val="28"/>
        </w:rPr>
        <w:t>The</w:t>
      </w:r>
      <w:proofErr w:type="gramEnd"/>
      <w:r w:rsidR="005E337C" w:rsidRPr="008B306B">
        <w:rPr>
          <w:rFonts w:ascii="Times New Roman" w:hAnsi="Times New Roman" w:cs="Times New Roman"/>
          <w:sz w:val="28"/>
          <w:szCs w:val="28"/>
        </w:rPr>
        <w:t xml:space="preserve"> metastatic niche: adapting the foreign soil. Nat Rev Cancer, 2009. 9(4): p. 285-93.</w:t>
      </w:r>
    </w:p>
    <w:p w14:paraId="5B4B52A7" w14:textId="553D2181" w:rsidR="005E337C" w:rsidRPr="008B306B" w:rsidRDefault="00B81A72" w:rsidP="005E337C">
      <w:pPr>
        <w:rPr>
          <w:rFonts w:ascii="Times New Roman" w:hAnsi="Times New Roman" w:cs="Times New Roman"/>
          <w:sz w:val="28"/>
          <w:szCs w:val="28"/>
        </w:rPr>
      </w:pPr>
      <w:r w:rsidRPr="008B306B">
        <w:rPr>
          <w:rFonts w:ascii="Times New Roman" w:hAnsi="Times New Roman" w:cs="Times New Roman"/>
          <w:sz w:val="28"/>
          <w:szCs w:val="28"/>
        </w:rPr>
        <w:lastRenderedPageBreak/>
        <w:t>4.</w:t>
      </w:r>
      <w:r w:rsidR="005E337C" w:rsidRPr="008B306B">
        <w:rPr>
          <w:rFonts w:ascii="Times New Roman" w:hAnsi="Times New Roman" w:cs="Times New Roman"/>
          <w:sz w:val="28"/>
          <w:szCs w:val="28"/>
        </w:rPr>
        <w:t xml:space="preserve"> Nathanson SD, Haas GP, Mead MJ, Lee M. Spontaneous regional lymph node metastases of three variants of the B16 melanoma: relationship to primary tumour size and pulmonary metastases </w:t>
      </w:r>
    </w:p>
    <w:p w14:paraId="00F0F7DF" w14:textId="6902EDA4" w:rsidR="009112F9" w:rsidRPr="008B306B" w:rsidRDefault="009112F9" w:rsidP="005E337C">
      <w:pPr>
        <w:rPr>
          <w:rFonts w:ascii="Times New Roman" w:hAnsi="Times New Roman" w:cs="Times New Roman"/>
          <w:sz w:val="28"/>
          <w:szCs w:val="28"/>
        </w:rPr>
      </w:pPr>
      <w:r w:rsidRPr="008B306B">
        <w:rPr>
          <w:rFonts w:ascii="Times New Roman" w:hAnsi="Times New Roman" w:cs="Times New Roman"/>
          <w:sz w:val="28"/>
          <w:szCs w:val="28"/>
        </w:rPr>
        <w:t>5.</w:t>
      </w:r>
      <w:r w:rsidRPr="008B306B">
        <w:rPr>
          <w:rFonts w:ascii="Times New Roman" w:hAnsi="Times New Roman" w:cs="Times New Roman"/>
          <w:b/>
          <w:bCs/>
          <w:sz w:val="28"/>
          <w:szCs w:val="28"/>
        </w:rPr>
        <w:t xml:space="preserve"> </w:t>
      </w:r>
      <w:r w:rsidRPr="008B306B">
        <w:rPr>
          <w:rFonts w:ascii="Times New Roman" w:hAnsi="Times New Roman" w:cs="Times New Roman"/>
          <w:sz w:val="28"/>
          <w:szCs w:val="28"/>
        </w:rPr>
        <w:t>Pantel K, Alix-</w:t>
      </w:r>
      <w:proofErr w:type="spellStart"/>
      <w:r w:rsidRPr="008B306B">
        <w:rPr>
          <w:rFonts w:ascii="Times New Roman" w:hAnsi="Times New Roman" w:cs="Times New Roman"/>
          <w:sz w:val="28"/>
          <w:szCs w:val="28"/>
        </w:rPr>
        <w:t>Panabières</w:t>
      </w:r>
      <w:proofErr w:type="spellEnd"/>
      <w:r w:rsidRPr="008B306B">
        <w:rPr>
          <w:rFonts w:ascii="Times New Roman" w:hAnsi="Times New Roman" w:cs="Times New Roman"/>
          <w:sz w:val="28"/>
          <w:szCs w:val="28"/>
        </w:rPr>
        <w:t xml:space="preserve"> </w:t>
      </w:r>
      <w:proofErr w:type="spellStart"/>
      <w:proofErr w:type="gramStart"/>
      <w:r w:rsidRPr="008B306B">
        <w:rPr>
          <w:rFonts w:ascii="Times New Roman" w:hAnsi="Times New Roman" w:cs="Times New Roman"/>
          <w:sz w:val="28"/>
          <w:szCs w:val="28"/>
        </w:rPr>
        <w:t>C.Liquid</w:t>
      </w:r>
      <w:proofErr w:type="spellEnd"/>
      <w:proofErr w:type="gramEnd"/>
      <w:r w:rsidRPr="008B306B">
        <w:rPr>
          <w:rFonts w:ascii="Times New Roman" w:hAnsi="Times New Roman" w:cs="Times New Roman"/>
          <w:sz w:val="28"/>
          <w:szCs w:val="28"/>
        </w:rPr>
        <w:t xml:space="preserve"> biopsy and minimal residual disease — latest advances and implications for </w:t>
      </w:r>
      <w:proofErr w:type="spellStart"/>
      <w:proofErr w:type="gramStart"/>
      <w:r w:rsidRPr="008B306B">
        <w:rPr>
          <w:rFonts w:ascii="Times New Roman" w:hAnsi="Times New Roman" w:cs="Times New Roman"/>
          <w:sz w:val="28"/>
          <w:szCs w:val="28"/>
        </w:rPr>
        <w:t>cure.</w:t>
      </w:r>
      <w:r w:rsidRPr="008B306B">
        <w:rPr>
          <w:rFonts w:ascii="Times New Roman" w:hAnsi="Times New Roman" w:cs="Times New Roman"/>
          <w:i/>
          <w:iCs/>
          <w:sz w:val="28"/>
          <w:szCs w:val="28"/>
        </w:rPr>
        <w:t>Nature</w:t>
      </w:r>
      <w:proofErr w:type="spellEnd"/>
      <w:proofErr w:type="gramEnd"/>
      <w:r w:rsidRPr="008B306B">
        <w:rPr>
          <w:rFonts w:ascii="Times New Roman" w:hAnsi="Times New Roman" w:cs="Times New Roman"/>
          <w:i/>
          <w:iCs/>
          <w:sz w:val="28"/>
          <w:szCs w:val="28"/>
        </w:rPr>
        <w:t xml:space="preserve"> Reviews Clinical Oncology.</w:t>
      </w:r>
      <w:r w:rsidRPr="008B306B">
        <w:rPr>
          <w:rFonts w:ascii="Times New Roman" w:hAnsi="Times New Roman" w:cs="Times New Roman"/>
          <w:sz w:val="28"/>
          <w:szCs w:val="28"/>
        </w:rPr>
        <w:t xml:space="preserve"> 2019;16(7):409–424.</w:t>
      </w:r>
      <w:r w:rsidRPr="008B306B">
        <w:rPr>
          <w:rFonts w:ascii="Times New Roman" w:hAnsi="Times New Roman" w:cs="Times New Roman"/>
          <w:sz w:val="28"/>
          <w:szCs w:val="28"/>
        </w:rPr>
        <w:br/>
        <w:t>doi:10.1038/s41571-019-0187-3</w:t>
      </w:r>
    </w:p>
    <w:p w14:paraId="189E7045" w14:textId="4ECFF89C" w:rsidR="002100C3" w:rsidRPr="008B306B" w:rsidRDefault="00CC6595" w:rsidP="002100C3">
      <w:pPr>
        <w:rPr>
          <w:rFonts w:ascii="Times New Roman" w:hAnsi="Times New Roman" w:cs="Times New Roman"/>
          <w:sz w:val="28"/>
          <w:szCs w:val="28"/>
        </w:rPr>
      </w:pPr>
      <w:r w:rsidRPr="008B306B">
        <w:rPr>
          <w:rFonts w:ascii="Times New Roman" w:hAnsi="Times New Roman" w:cs="Times New Roman"/>
          <w:sz w:val="28"/>
          <w:szCs w:val="28"/>
        </w:rPr>
        <w:t>6.</w:t>
      </w:r>
      <w:r w:rsidR="002100C3" w:rsidRPr="008B306B">
        <w:rPr>
          <w:rFonts w:ascii="Times New Roman" w:eastAsia="Times New Roman" w:hAnsi="Times New Roman" w:cs="Times New Roman"/>
          <w:kern w:val="0"/>
          <w:sz w:val="28"/>
          <w:szCs w:val="28"/>
          <w:lang w:eastAsia="en-IN"/>
          <w14:ligatures w14:val="none"/>
        </w:rPr>
        <w:t xml:space="preserve"> </w:t>
      </w:r>
      <w:r w:rsidR="002100C3" w:rsidRPr="008B306B">
        <w:rPr>
          <w:rFonts w:ascii="Times New Roman" w:hAnsi="Times New Roman" w:cs="Times New Roman"/>
          <w:b/>
          <w:bCs/>
          <w:sz w:val="28"/>
          <w:szCs w:val="28"/>
        </w:rPr>
        <w:t xml:space="preserve">Vasseur A, </w:t>
      </w:r>
      <w:proofErr w:type="spellStart"/>
      <w:r w:rsidR="002100C3" w:rsidRPr="008B306B">
        <w:rPr>
          <w:rFonts w:ascii="Times New Roman" w:hAnsi="Times New Roman" w:cs="Times New Roman"/>
          <w:b/>
          <w:bCs/>
          <w:sz w:val="28"/>
          <w:szCs w:val="28"/>
        </w:rPr>
        <w:t>Kiavue</w:t>
      </w:r>
      <w:proofErr w:type="spellEnd"/>
      <w:r w:rsidR="002100C3" w:rsidRPr="008B306B">
        <w:rPr>
          <w:rFonts w:ascii="Times New Roman" w:hAnsi="Times New Roman" w:cs="Times New Roman"/>
          <w:b/>
          <w:bCs/>
          <w:sz w:val="28"/>
          <w:szCs w:val="28"/>
        </w:rPr>
        <w:t xml:space="preserve"> N, Bidard FC, </w:t>
      </w:r>
      <w:proofErr w:type="spellStart"/>
      <w:r w:rsidR="002100C3" w:rsidRPr="008B306B">
        <w:rPr>
          <w:rFonts w:ascii="Times New Roman" w:hAnsi="Times New Roman" w:cs="Times New Roman"/>
          <w:b/>
          <w:bCs/>
          <w:sz w:val="28"/>
          <w:szCs w:val="28"/>
        </w:rPr>
        <w:t>Pierga</w:t>
      </w:r>
      <w:proofErr w:type="spellEnd"/>
      <w:r w:rsidR="002100C3" w:rsidRPr="008B306B">
        <w:rPr>
          <w:rFonts w:ascii="Times New Roman" w:hAnsi="Times New Roman" w:cs="Times New Roman"/>
          <w:b/>
          <w:bCs/>
          <w:sz w:val="28"/>
          <w:szCs w:val="28"/>
        </w:rPr>
        <w:t xml:space="preserve"> JY, Cabel </w:t>
      </w:r>
      <w:proofErr w:type="spellStart"/>
      <w:proofErr w:type="gramStart"/>
      <w:r w:rsidR="002100C3" w:rsidRPr="008B306B">
        <w:rPr>
          <w:rFonts w:ascii="Times New Roman" w:hAnsi="Times New Roman" w:cs="Times New Roman"/>
          <w:b/>
          <w:bCs/>
          <w:sz w:val="28"/>
          <w:szCs w:val="28"/>
        </w:rPr>
        <w:t>L.</w:t>
      </w:r>
      <w:r w:rsidR="002100C3" w:rsidRPr="008B306B">
        <w:rPr>
          <w:rFonts w:ascii="Times New Roman" w:hAnsi="Times New Roman" w:cs="Times New Roman"/>
          <w:sz w:val="28"/>
          <w:szCs w:val="28"/>
        </w:rPr>
        <w:t>Clinical</w:t>
      </w:r>
      <w:proofErr w:type="spellEnd"/>
      <w:proofErr w:type="gramEnd"/>
      <w:r w:rsidR="002100C3" w:rsidRPr="008B306B">
        <w:rPr>
          <w:rFonts w:ascii="Times New Roman" w:hAnsi="Times New Roman" w:cs="Times New Roman"/>
          <w:sz w:val="28"/>
          <w:szCs w:val="28"/>
        </w:rPr>
        <w:t xml:space="preserve"> utility of circulating </w:t>
      </w:r>
      <w:proofErr w:type="spellStart"/>
      <w:r w:rsidR="002100C3" w:rsidRPr="008B306B">
        <w:rPr>
          <w:rFonts w:ascii="Times New Roman" w:hAnsi="Times New Roman" w:cs="Times New Roman"/>
          <w:sz w:val="28"/>
          <w:szCs w:val="28"/>
        </w:rPr>
        <w:t>tumor</w:t>
      </w:r>
      <w:proofErr w:type="spellEnd"/>
      <w:r w:rsidR="002100C3" w:rsidRPr="008B306B">
        <w:rPr>
          <w:rFonts w:ascii="Times New Roman" w:hAnsi="Times New Roman" w:cs="Times New Roman"/>
          <w:sz w:val="28"/>
          <w:szCs w:val="28"/>
        </w:rPr>
        <w:t xml:space="preserve"> cells: an </w:t>
      </w:r>
      <w:proofErr w:type="spellStart"/>
      <w:proofErr w:type="gramStart"/>
      <w:r w:rsidR="002100C3" w:rsidRPr="008B306B">
        <w:rPr>
          <w:rFonts w:ascii="Times New Roman" w:hAnsi="Times New Roman" w:cs="Times New Roman"/>
          <w:sz w:val="28"/>
          <w:szCs w:val="28"/>
        </w:rPr>
        <w:t>update.</w:t>
      </w:r>
      <w:r w:rsidR="002100C3" w:rsidRPr="008B306B">
        <w:rPr>
          <w:rFonts w:ascii="Times New Roman" w:hAnsi="Times New Roman" w:cs="Times New Roman"/>
          <w:i/>
          <w:iCs/>
          <w:sz w:val="28"/>
          <w:szCs w:val="28"/>
        </w:rPr>
        <w:t>Molecular</w:t>
      </w:r>
      <w:proofErr w:type="spellEnd"/>
      <w:proofErr w:type="gramEnd"/>
      <w:r w:rsidR="002100C3" w:rsidRPr="008B306B">
        <w:rPr>
          <w:rFonts w:ascii="Times New Roman" w:hAnsi="Times New Roman" w:cs="Times New Roman"/>
          <w:i/>
          <w:iCs/>
          <w:sz w:val="28"/>
          <w:szCs w:val="28"/>
        </w:rPr>
        <w:t xml:space="preserve"> Oncology.</w:t>
      </w:r>
      <w:r w:rsidR="002100C3" w:rsidRPr="008B306B">
        <w:rPr>
          <w:rFonts w:ascii="Times New Roman" w:hAnsi="Times New Roman" w:cs="Times New Roman"/>
          <w:sz w:val="28"/>
          <w:szCs w:val="28"/>
        </w:rPr>
        <w:t xml:space="preserve"> 2021;15(6):1647–1666.doi:10.1002/1878-0261.12869. </w:t>
      </w:r>
    </w:p>
    <w:p w14:paraId="1145B7D9" w14:textId="6246BD10" w:rsidR="002100C3" w:rsidRPr="008B306B" w:rsidRDefault="002100C3" w:rsidP="002100C3">
      <w:pPr>
        <w:rPr>
          <w:rFonts w:ascii="Times New Roman" w:hAnsi="Times New Roman" w:cs="Times New Roman"/>
          <w:sz w:val="28"/>
          <w:szCs w:val="28"/>
        </w:rPr>
      </w:pPr>
      <w:r w:rsidRPr="008B306B">
        <w:rPr>
          <w:rFonts w:ascii="Times New Roman" w:hAnsi="Times New Roman" w:cs="Times New Roman"/>
          <w:sz w:val="28"/>
          <w:szCs w:val="28"/>
        </w:rPr>
        <w:t>7.</w:t>
      </w:r>
      <w:r w:rsidRPr="008B306B">
        <w:rPr>
          <w:rFonts w:ascii="Times New Roman" w:hAnsi="Times New Roman" w:cs="Times New Roman"/>
          <w:b/>
          <w:bCs/>
          <w:sz w:val="28"/>
          <w:szCs w:val="28"/>
        </w:rPr>
        <w:t xml:space="preserve">Lin D, Shen L, Luo M, et </w:t>
      </w:r>
      <w:proofErr w:type="spellStart"/>
      <w:proofErr w:type="gramStart"/>
      <w:r w:rsidRPr="008B306B">
        <w:rPr>
          <w:rFonts w:ascii="Times New Roman" w:hAnsi="Times New Roman" w:cs="Times New Roman"/>
          <w:b/>
          <w:bCs/>
          <w:sz w:val="28"/>
          <w:szCs w:val="28"/>
        </w:rPr>
        <w:t>al.</w:t>
      </w:r>
      <w:r w:rsidRPr="008B306B">
        <w:rPr>
          <w:rFonts w:ascii="Times New Roman" w:hAnsi="Times New Roman" w:cs="Times New Roman"/>
          <w:sz w:val="28"/>
          <w:szCs w:val="28"/>
        </w:rPr>
        <w:t>Circulating</w:t>
      </w:r>
      <w:proofErr w:type="spellEnd"/>
      <w:proofErr w:type="gramEnd"/>
      <w:r w:rsidRPr="008B306B">
        <w:rPr>
          <w:rFonts w:ascii="Times New Roman" w:hAnsi="Times New Roman" w:cs="Times New Roman"/>
          <w:sz w:val="28"/>
          <w:szCs w:val="28"/>
        </w:rPr>
        <w:t xml:space="preserve"> </w:t>
      </w:r>
      <w:proofErr w:type="spellStart"/>
      <w:r w:rsidRPr="008B306B">
        <w:rPr>
          <w:rFonts w:ascii="Times New Roman" w:hAnsi="Times New Roman" w:cs="Times New Roman"/>
          <w:sz w:val="28"/>
          <w:szCs w:val="28"/>
        </w:rPr>
        <w:t>tumor</w:t>
      </w:r>
      <w:proofErr w:type="spellEnd"/>
      <w:r w:rsidRPr="008B306B">
        <w:rPr>
          <w:rFonts w:ascii="Times New Roman" w:hAnsi="Times New Roman" w:cs="Times New Roman"/>
          <w:sz w:val="28"/>
          <w:szCs w:val="28"/>
        </w:rPr>
        <w:t xml:space="preserve"> cells: biology and clinical significance.</w:t>
      </w:r>
      <w:r w:rsidRPr="008B306B">
        <w:rPr>
          <w:rFonts w:ascii="Times New Roman" w:hAnsi="Times New Roman" w:cs="Times New Roman"/>
          <w:sz w:val="28"/>
          <w:szCs w:val="28"/>
        </w:rPr>
        <w:br/>
      </w:r>
      <w:r w:rsidRPr="008B306B">
        <w:rPr>
          <w:rFonts w:ascii="Times New Roman" w:hAnsi="Times New Roman" w:cs="Times New Roman"/>
          <w:i/>
          <w:iCs/>
          <w:sz w:val="28"/>
          <w:szCs w:val="28"/>
        </w:rPr>
        <w:t>Signal Transduction and Targeted Therapy.</w:t>
      </w:r>
      <w:r w:rsidRPr="008B306B">
        <w:rPr>
          <w:rFonts w:ascii="Times New Roman" w:hAnsi="Times New Roman" w:cs="Times New Roman"/>
          <w:sz w:val="28"/>
          <w:szCs w:val="28"/>
        </w:rPr>
        <w:t xml:space="preserve"> 2021; </w:t>
      </w:r>
      <w:proofErr w:type="gramStart"/>
      <w:r w:rsidRPr="008B306B">
        <w:rPr>
          <w:rFonts w:ascii="Times New Roman" w:hAnsi="Times New Roman" w:cs="Times New Roman"/>
          <w:sz w:val="28"/>
          <w:szCs w:val="28"/>
        </w:rPr>
        <w:t>6:404.doi</w:t>
      </w:r>
      <w:proofErr w:type="gramEnd"/>
      <w:r w:rsidRPr="008B306B">
        <w:rPr>
          <w:rFonts w:ascii="Times New Roman" w:hAnsi="Times New Roman" w:cs="Times New Roman"/>
          <w:sz w:val="28"/>
          <w:szCs w:val="28"/>
        </w:rPr>
        <w:t xml:space="preserve">:10.1038/s41392-021-00817-8. </w:t>
      </w:r>
    </w:p>
    <w:p w14:paraId="764ADB7A" w14:textId="03530915" w:rsidR="00CC6595" w:rsidRPr="008B306B" w:rsidRDefault="002100C3" w:rsidP="002100C3">
      <w:pPr>
        <w:rPr>
          <w:rFonts w:ascii="Times New Roman" w:hAnsi="Times New Roman" w:cs="Times New Roman"/>
          <w:sz w:val="28"/>
          <w:szCs w:val="28"/>
        </w:rPr>
      </w:pPr>
      <w:r w:rsidRPr="008B306B">
        <w:rPr>
          <w:rFonts w:ascii="Times New Roman" w:hAnsi="Times New Roman" w:cs="Times New Roman"/>
          <w:sz w:val="28"/>
          <w:szCs w:val="28"/>
        </w:rPr>
        <w:t>8.</w:t>
      </w:r>
      <w:r w:rsidRPr="008B306B">
        <w:rPr>
          <w:rFonts w:ascii="Times New Roman" w:hAnsi="Times New Roman" w:cs="Times New Roman"/>
          <w:b/>
          <w:bCs/>
          <w:sz w:val="28"/>
          <w:szCs w:val="28"/>
        </w:rPr>
        <w:t>Aceto N, Bardia A, Miyamoto DT, et al.</w:t>
      </w:r>
      <w:r w:rsidRPr="008B306B">
        <w:rPr>
          <w:rFonts w:ascii="Times New Roman" w:hAnsi="Times New Roman" w:cs="Times New Roman"/>
          <w:sz w:val="28"/>
          <w:szCs w:val="28"/>
        </w:rPr>
        <w:t xml:space="preserve"> Circulating </w:t>
      </w:r>
      <w:proofErr w:type="spellStart"/>
      <w:r w:rsidRPr="008B306B">
        <w:rPr>
          <w:rFonts w:ascii="Times New Roman" w:hAnsi="Times New Roman" w:cs="Times New Roman"/>
          <w:sz w:val="28"/>
          <w:szCs w:val="28"/>
        </w:rPr>
        <w:t>tumor</w:t>
      </w:r>
      <w:proofErr w:type="spellEnd"/>
      <w:r w:rsidRPr="008B306B">
        <w:rPr>
          <w:rFonts w:ascii="Times New Roman" w:hAnsi="Times New Roman" w:cs="Times New Roman"/>
          <w:sz w:val="28"/>
          <w:szCs w:val="28"/>
        </w:rPr>
        <w:t xml:space="preserve"> cell clusters are oligoclonal precursors of breast cancer metastasis.</w:t>
      </w:r>
      <w:r w:rsidRPr="008B306B">
        <w:rPr>
          <w:rFonts w:ascii="Times New Roman" w:hAnsi="Times New Roman" w:cs="Times New Roman"/>
          <w:sz w:val="28"/>
          <w:szCs w:val="28"/>
        </w:rPr>
        <w:br/>
      </w:r>
      <w:r w:rsidRPr="008B306B">
        <w:rPr>
          <w:rFonts w:ascii="Times New Roman" w:hAnsi="Times New Roman" w:cs="Times New Roman"/>
          <w:i/>
          <w:iCs/>
          <w:sz w:val="28"/>
          <w:szCs w:val="28"/>
        </w:rPr>
        <w:t>Cell.</w:t>
      </w:r>
      <w:r w:rsidRPr="008B306B">
        <w:rPr>
          <w:rFonts w:ascii="Times New Roman" w:hAnsi="Times New Roman" w:cs="Times New Roman"/>
          <w:sz w:val="28"/>
          <w:szCs w:val="28"/>
        </w:rPr>
        <w:t xml:space="preserve"> 2014;158(5):1110–1122</w:t>
      </w:r>
    </w:p>
    <w:p w14:paraId="711EEC2C" w14:textId="191751D0" w:rsidR="00486FA8" w:rsidRPr="008B306B" w:rsidRDefault="00486FA8" w:rsidP="002100C3">
      <w:pPr>
        <w:rPr>
          <w:rFonts w:ascii="Times New Roman" w:hAnsi="Times New Roman" w:cs="Times New Roman"/>
          <w:sz w:val="28"/>
          <w:szCs w:val="28"/>
        </w:rPr>
      </w:pPr>
      <w:r w:rsidRPr="008B306B">
        <w:rPr>
          <w:rFonts w:ascii="Times New Roman" w:hAnsi="Times New Roman" w:cs="Times New Roman"/>
          <w:sz w:val="28"/>
          <w:szCs w:val="28"/>
        </w:rPr>
        <w:t>9.</w:t>
      </w:r>
      <w:r w:rsidRPr="008B306B">
        <w:rPr>
          <w:rFonts w:ascii="Times New Roman" w:hAnsi="Times New Roman" w:cs="Times New Roman"/>
          <w:color w:val="001D2F"/>
          <w:sz w:val="28"/>
          <w:szCs w:val="28"/>
          <w:shd w:val="clear" w:color="auto" w:fill="FFFFFF"/>
        </w:rPr>
        <w:t xml:space="preserve"> </w:t>
      </w:r>
      <w:r w:rsidRPr="008B306B">
        <w:rPr>
          <w:rFonts w:ascii="Times New Roman" w:hAnsi="Times New Roman" w:cs="Times New Roman"/>
          <w:sz w:val="28"/>
          <w:szCs w:val="28"/>
        </w:rPr>
        <w:t xml:space="preserve">Balram Singh, Smriti Arora, Alain D’Souza, Narendra Kale, Gourishankar Aland, Atul Bharde, Mohiuddin Quadir, Marcelo Calderón, Pankaj Chaturvedi, Jayant Khandare; Chemo-specific designs for the enumeration of circulating </w:t>
      </w:r>
      <w:proofErr w:type="spellStart"/>
      <w:r w:rsidRPr="008B306B">
        <w:rPr>
          <w:rFonts w:ascii="Times New Roman" w:hAnsi="Times New Roman" w:cs="Times New Roman"/>
          <w:sz w:val="28"/>
          <w:szCs w:val="28"/>
        </w:rPr>
        <w:t>tumor</w:t>
      </w:r>
      <w:proofErr w:type="spellEnd"/>
      <w:r w:rsidRPr="008B306B">
        <w:rPr>
          <w:rFonts w:ascii="Times New Roman" w:hAnsi="Times New Roman" w:cs="Times New Roman"/>
          <w:sz w:val="28"/>
          <w:szCs w:val="28"/>
        </w:rPr>
        <w:t xml:space="preserve"> cells: advances in liquid biopsy. </w:t>
      </w:r>
      <w:r w:rsidRPr="008B306B">
        <w:rPr>
          <w:rFonts w:ascii="Times New Roman" w:hAnsi="Times New Roman" w:cs="Times New Roman"/>
          <w:i/>
          <w:iCs/>
          <w:sz w:val="28"/>
          <w:szCs w:val="28"/>
        </w:rPr>
        <w:t>J. Mater. Chem. B</w:t>
      </w:r>
      <w:r w:rsidRPr="008B306B">
        <w:rPr>
          <w:rFonts w:ascii="Times New Roman" w:hAnsi="Times New Roman" w:cs="Times New Roman"/>
          <w:sz w:val="28"/>
          <w:szCs w:val="28"/>
        </w:rPr>
        <w:t> 2021; 9 (13): 2946–2978. </w:t>
      </w:r>
      <w:hyperlink r:id="rId6" w:tgtFrame="_blank" w:history="1">
        <w:r w:rsidRPr="008B306B">
          <w:rPr>
            <w:rStyle w:val="Hyperlink"/>
            <w:rFonts w:ascii="Times New Roman" w:hAnsi="Times New Roman" w:cs="Times New Roman"/>
            <w:sz w:val="28"/>
            <w:szCs w:val="28"/>
          </w:rPr>
          <w:t>https://doi.org/10.1039/d0tb02574g</w:t>
        </w:r>
      </w:hyperlink>
    </w:p>
    <w:p w14:paraId="08FA6A10" w14:textId="16E54DE9" w:rsidR="00DE673A" w:rsidRPr="008B306B" w:rsidRDefault="00DE673A" w:rsidP="005E337C">
      <w:pPr>
        <w:rPr>
          <w:rFonts w:ascii="Times New Roman" w:hAnsi="Times New Roman" w:cs="Times New Roman"/>
          <w:sz w:val="28"/>
          <w:szCs w:val="28"/>
        </w:rPr>
      </w:pPr>
    </w:p>
    <w:sectPr w:rsidR="00DE673A" w:rsidRPr="008B30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074"/>
    <w:multiLevelType w:val="multilevel"/>
    <w:tmpl w:val="62D0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A422C"/>
    <w:multiLevelType w:val="multilevel"/>
    <w:tmpl w:val="9A06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5B1A9B"/>
    <w:multiLevelType w:val="multilevel"/>
    <w:tmpl w:val="DA0C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586D53"/>
    <w:multiLevelType w:val="multilevel"/>
    <w:tmpl w:val="8EBE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E93312"/>
    <w:multiLevelType w:val="multilevel"/>
    <w:tmpl w:val="E4A2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766FF9"/>
    <w:multiLevelType w:val="multilevel"/>
    <w:tmpl w:val="C1D4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1523CA"/>
    <w:multiLevelType w:val="multilevel"/>
    <w:tmpl w:val="5FA8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5601702">
    <w:abstractNumId w:val="0"/>
  </w:num>
  <w:num w:numId="2" w16cid:durableId="1659193828">
    <w:abstractNumId w:val="6"/>
  </w:num>
  <w:num w:numId="3" w16cid:durableId="505368102">
    <w:abstractNumId w:val="2"/>
  </w:num>
  <w:num w:numId="4" w16cid:durableId="1505045975">
    <w:abstractNumId w:val="3"/>
  </w:num>
  <w:num w:numId="5" w16cid:durableId="1205024807">
    <w:abstractNumId w:val="1"/>
  </w:num>
  <w:num w:numId="6" w16cid:durableId="180973863">
    <w:abstractNumId w:val="4"/>
  </w:num>
  <w:num w:numId="7" w16cid:durableId="20816349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0FC"/>
    <w:rsid w:val="00040B1F"/>
    <w:rsid w:val="00046E64"/>
    <w:rsid w:val="00066BEC"/>
    <w:rsid w:val="00130369"/>
    <w:rsid w:val="00167779"/>
    <w:rsid w:val="001B29B5"/>
    <w:rsid w:val="002100C3"/>
    <w:rsid w:val="0026375A"/>
    <w:rsid w:val="00263F81"/>
    <w:rsid w:val="002926FB"/>
    <w:rsid w:val="002C53CC"/>
    <w:rsid w:val="003A1CC2"/>
    <w:rsid w:val="003C66E7"/>
    <w:rsid w:val="00486FA8"/>
    <w:rsid w:val="00556CC0"/>
    <w:rsid w:val="005B2574"/>
    <w:rsid w:val="005C0455"/>
    <w:rsid w:val="005D1B32"/>
    <w:rsid w:val="005E337C"/>
    <w:rsid w:val="00637698"/>
    <w:rsid w:val="00717C6A"/>
    <w:rsid w:val="00754E86"/>
    <w:rsid w:val="007814E3"/>
    <w:rsid w:val="007E0B01"/>
    <w:rsid w:val="008559B8"/>
    <w:rsid w:val="00886BAC"/>
    <w:rsid w:val="00897D78"/>
    <w:rsid w:val="008A781F"/>
    <w:rsid w:val="008B306B"/>
    <w:rsid w:val="009112F9"/>
    <w:rsid w:val="00990E05"/>
    <w:rsid w:val="009A609E"/>
    <w:rsid w:val="009E30FC"/>
    <w:rsid w:val="009E4D5A"/>
    <w:rsid w:val="00A5122C"/>
    <w:rsid w:val="00AA1C86"/>
    <w:rsid w:val="00AF23F4"/>
    <w:rsid w:val="00B2103D"/>
    <w:rsid w:val="00B451FC"/>
    <w:rsid w:val="00B81A72"/>
    <w:rsid w:val="00BF57B9"/>
    <w:rsid w:val="00C20336"/>
    <w:rsid w:val="00C54CBC"/>
    <w:rsid w:val="00CC6595"/>
    <w:rsid w:val="00CD5944"/>
    <w:rsid w:val="00D02908"/>
    <w:rsid w:val="00D2665E"/>
    <w:rsid w:val="00DE673A"/>
    <w:rsid w:val="00E73928"/>
    <w:rsid w:val="00E954E5"/>
    <w:rsid w:val="00EE31F7"/>
    <w:rsid w:val="00FC045F"/>
    <w:rsid w:val="00FC3177"/>
    <w:rsid w:val="00FE65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F28E2"/>
  <w15:chartTrackingRefBased/>
  <w15:docId w15:val="{656C3AEF-5A29-4679-95A8-E8D1ACB3E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30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E30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30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30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30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3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0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E30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30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30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30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3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0FC"/>
    <w:rPr>
      <w:rFonts w:eastAsiaTheme="majorEastAsia" w:cstheme="majorBidi"/>
      <w:color w:val="272727" w:themeColor="text1" w:themeTint="D8"/>
    </w:rPr>
  </w:style>
  <w:style w:type="paragraph" w:styleId="Title">
    <w:name w:val="Title"/>
    <w:basedOn w:val="Normal"/>
    <w:next w:val="Normal"/>
    <w:link w:val="TitleChar"/>
    <w:uiPriority w:val="10"/>
    <w:qFormat/>
    <w:rsid w:val="009E3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0FC"/>
    <w:pPr>
      <w:spacing w:before="160"/>
      <w:jc w:val="center"/>
    </w:pPr>
    <w:rPr>
      <w:i/>
      <w:iCs/>
      <w:color w:val="404040" w:themeColor="text1" w:themeTint="BF"/>
    </w:rPr>
  </w:style>
  <w:style w:type="character" w:customStyle="1" w:styleId="QuoteChar">
    <w:name w:val="Quote Char"/>
    <w:basedOn w:val="DefaultParagraphFont"/>
    <w:link w:val="Quote"/>
    <w:uiPriority w:val="29"/>
    <w:rsid w:val="009E30FC"/>
    <w:rPr>
      <w:i/>
      <w:iCs/>
      <w:color w:val="404040" w:themeColor="text1" w:themeTint="BF"/>
    </w:rPr>
  </w:style>
  <w:style w:type="paragraph" w:styleId="ListParagraph">
    <w:name w:val="List Paragraph"/>
    <w:basedOn w:val="Normal"/>
    <w:uiPriority w:val="34"/>
    <w:qFormat/>
    <w:rsid w:val="009E30FC"/>
    <w:pPr>
      <w:ind w:left="720"/>
      <w:contextualSpacing/>
    </w:pPr>
  </w:style>
  <w:style w:type="character" w:styleId="IntenseEmphasis">
    <w:name w:val="Intense Emphasis"/>
    <w:basedOn w:val="DefaultParagraphFont"/>
    <w:uiPriority w:val="21"/>
    <w:qFormat/>
    <w:rsid w:val="009E30FC"/>
    <w:rPr>
      <w:i/>
      <w:iCs/>
      <w:color w:val="2F5496" w:themeColor="accent1" w:themeShade="BF"/>
    </w:rPr>
  </w:style>
  <w:style w:type="paragraph" w:styleId="IntenseQuote">
    <w:name w:val="Intense Quote"/>
    <w:basedOn w:val="Normal"/>
    <w:next w:val="Normal"/>
    <w:link w:val="IntenseQuoteChar"/>
    <w:uiPriority w:val="30"/>
    <w:qFormat/>
    <w:rsid w:val="009E30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30FC"/>
    <w:rPr>
      <w:i/>
      <w:iCs/>
      <w:color w:val="2F5496" w:themeColor="accent1" w:themeShade="BF"/>
    </w:rPr>
  </w:style>
  <w:style w:type="character" w:styleId="IntenseReference">
    <w:name w:val="Intense Reference"/>
    <w:basedOn w:val="DefaultParagraphFont"/>
    <w:uiPriority w:val="32"/>
    <w:qFormat/>
    <w:rsid w:val="009E30FC"/>
    <w:rPr>
      <w:b/>
      <w:bCs/>
      <w:smallCaps/>
      <w:color w:val="2F5496" w:themeColor="accent1" w:themeShade="BF"/>
      <w:spacing w:val="5"/>
    </w:rPr>
  </w:style>
  <w:style w:type="paragraph" w:styleId="NormalWeb">
    <w:name w:val="Normal (Web)"/>
    <w:basedOn w:val="Normal"/>
    <w:uiPriority w:val="99"/>
    <w:semiHidden/>
    <w:unhideWhenUsed/>
    <w:rsid w:val="00D2665E"/>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NoSpacing">
    <w:name w:val="No Spacing"/>
    <w:uiPriority w:val="1"/>
    <w:qFormat/>
    <w:rsid w:val="00C20336"/>
    <w:pPr>
      <w:spacing w:after="0" w:line="240" w:lineRule="auto"/>
    </w:pPr>
  </w:style>
  <w:style w:type="character" w:styleId="Hyperlink">
    <w:name w:val="Hyperlink"/>
    <w:basedOn w:val="DefaultParagraphFont"/>
    <w:uiPriority w:val="99"/>
    <w:unhideWhenUsed/>
    <w:rsid w:val="00486FA8"/>
    <w:rPr>
      <w:color w:val="0563C1" w:themeColor="hyperlink"/>
      <w:u w:val="single"/>
    </w:rPr>
  </w:style>
  <w:style w:type="character" w:styleId="UnresolvedMention">
    <w:name w:val="Unresolved Mention"/>
    <w:basedOn w:val="DefaultParagraphFont"/>
    <w:uiPriority w:val="99"/>
    <w:semiHidden/>
    <w:unhideWhenUsed/>
    <w:rsid w:val="00486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39/d0tb02574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11</Pages>
  <Words>2692</Words>
  <Characters>15351</Characters>
  <Application>Microsoft Office Word</Application>
  <DocSecurity>0</DocSecurity>
  <Lines>127</Lines>
  <Paragraphs>36</Paragraphs>
  <ScaleCrop>false</ScaleCrop>
  <Company/>
  <LinksUpToDate>false</LinksUpToDate>
  <CharactersWithSpaces>18007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 Prem</dc:creator>
  <cp:keywords/>
  <dc:description/>
  <cp:lastModifiedBy>Raji Prem</cp:lastModifiedBy>
  <cp:revision>46</cp:revision>
  <dcterms:created xsi:type="dcterms:W3CDTF">2026-08-05T09:09:00Z</dcterms:created>
  <dcterms:modified xsi:type="dcterms:W3CDTF">2026-08-06T07:32:00Z</dcterms:modified>
</cp:coreProperties>
</file>