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5BDB" w14:textId="77777777" w:rsidR="00502C50" w:rsidRPr="00222FED" w:rsidRDefault="00000000">
      <w:pPr>
        <w:pStyle w:val="Heading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22FE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CONSORT 2010 Checklist</w:t>
      </w:r>
    </w:p>
    <w:p w14:paraId="1A6E95E9" w14:textId="77777777" w:rsidR="00502C50" w:rsidRPr="00222FED" w:rsidRDefault="00000000">
      <w:pPr>
        <w:spacing w:after="100"/>
        <w:rPr>
          <w:rFonts w:asciiTheme="minorHAnsi" w:hAnsiTheme="minorHAnsi" w:cstheme="minorHAnsi"/>
        </w:rPr>
      </w:pPr>
      <w:r w:rsidRPr="00222FED">
        <w:rPr>
          <w:rFonts w:asciiTheme="minorHAnsi" w:hAnsiTheme="minorHAnsi" w:cstheme="minorHAnsi"/>
          <w:b/>
          <w:bCs/>
        </w:rPr>
        <w:t>Manuscript</w:t>
      </w:r>
      <w:r w:rsidRPr="00222FED">
        <w:rPr>
          <w:rFonts w:asciiTheme="minorHAnsi" w:hAnsiTheme="minorHAnsi" w:cstheme="minorHAnsi"/>
        </w:rPr>
        <w:t>: Behavioral Insights for Public Health Engagement: A Four-Arm School-Level Comparative Study on Parental Registration in FAST Heroes</w:t>
      </w:r>
    </w:p>
    <w:p w14:paraId="1F79CBB6" w14:textId="77777777" w:rsidR="00502C50" w:rsidRPr="00222FED" w:rsidRDefault="00502C50">
      <w:pPr>
        <w:spacing w:after="200"/>
        <w:rPr>
          <w:rFonts w:asciiTheme="minorHAnsi" w:hAnsiTheme="minorHAnsi" w:cstheme="minorHAnsi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814"/>
        <w:gridCol w:w="4207"/>
        <w:gridCol w:w="4759"/>
        <w:gridCol w:w="4132"/>
      </w:tblGrid>
      <w:tr w:rsidR="003A156C" w:rsidRPr="00222FED" w14:paraId="329A90FD" w14:textId="3DCB4959" w:rsidTr="003A156C">
        <w:trPr>
          <w:tblHeader/>
        </w:trPr>
        <w:tc>
          <w:tcPr>
            <w:tcW w:w="1476" w:type="dxa"/>
          </w:tcPr>
          <w:p w14:paraId="1E88C436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Section/Topic</w:t>
            </w:r>
          </w:p>
        </w:tc>
        <w:tc>
          <w:tcPr>
            <w:tcW w:w="814" w:type="dxa"/>
          </w:tcPr>
          <w:p w14:paraId="7FDBFCD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Item No</w:t>
            </w:r>
          </w:p>
        </w:tc>
        <w:tc>
          <w:tcPr>
            <w:tcW w:w="4207" w:type="dxa"/>
          </w:tcPr>
          <w:p w14:paraId="357FD14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Checklist item</w:t>
            </w:r>
          </w:p>
        </w:tc>
        <w:tc>
          <w:tcPr>
            <w:tcW w:w="4759" w:type="dxa"/>
          </w:tcPr>
          <w:p w14:paraId="038C260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Reported in this manuscript</w:t>
            </w:r>
          </w:p>
        </w:tc>
        <w:tc>
          <w:tcPr>
            <w:tcW w:w="4132" w:type="dxa"/>
          </w:tcPr>
          <w:p w14:paraId="3AC9C295" w14:textId="55419693" w:rsidR="003A156C" w:rsidRPr="00FD05F9" w:rsidRDefault="003A15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Reported on page</w:t>
            </w:r>
            <w:r w:rsidR="005562B2" w:rsidRPr="00FD05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No</w:t>
            </w:r>
          </w:p>
        </w:tc>
      </w:tr>
      <w:tr w:rsidR="003A156C" w:rsidRPr="00222FED" w14:paraId="33178496" w14:textId="693AB381" w:rsidTr="003A156C">
        <w:tc>
          <w:tcPr>
            <w:tcW w:w="1476" w:type="dxa"/>
          </w:tcPr>
          <w:p w14:paraId="6EB8FC38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Title and abstract</w:t>
            </w:r>
          </w:p>
        </w:tc>
        <w:tc>
          <w:tcPr>
            <w:tcW w:w="814" w:type="dxa"/>
          </w:tcPr>
          <w:p w14:paraId="49B0E708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1a</w:t>
            </w:r>
          </w:p>
        </w:tc>
        <w:tc>
          <w:tcPr>
            <w:tcW w:w="4207" w:type="dxa"/>
          </w:tcPr>
          <w:p w14:paraId="229BECF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Identification as a randomised trial in the title</w:t>
            </w:r>
          </w:p>
        </w:tc>
        <w:tc>
          <w:tcPr>
            <w:tcW w:w="4759" w:type="dxa"/>
          </w:tcPr>
          <w:p w14:paraId="52DE3EAE" w14:textId="6BE5DABC" w:rsidR="003A156C" w:rsidRPr="00222FED" w:rsidRDefault="003A156C">
            <w:pPr>
              <w:rPr>
                <w:rFonts w:asciiTheme="minorHAnsi" w:hAnsiTheme="minorHAnsi" w:cstheme="minorHAnsi"/>
                <w:lang w:val="en-US"/>
              </w:rPr>
            </w:pPr>
            <w:r w:rsidRPr="003A156C">
              <w:rPr>
                <w:rFonts w:asciiTheme="minorHAnsi" w:hAnsiTheme="minorHAnsi" w:cstheme="minorHAnsi"/>
                <w:lang w:val="en-US"/>
              </w:rPr>
              <w:t>Not applicable</w:t>
            </w:r>
            <w:r w:rsidR="005562B2">
              <w:rPr>
                <w:rFonts w:asciiTheme="minorHAnsi" w:hAnsiTheme="minorHAnsi" w:cstheme="minorHAnsi"/>
                <w:lang w:val="en-US"/>
              </w:rPr>
              <w:t>.</w:t>
            </w:r>
            <w:r w:rsidRPr="003A156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5562B2" w:rsidRPr="008A1988">
              <w:rPr>
                <w:rFonts w:asciiTheme="minorHAnsi" w:hAnsiTheme="minorHAnsi" w:cstheme="minorHAnsi"/>
                <w:color w:val="000000" w:themeColor="text1"/>
                <w:lang w:val="en-US"/>
              </w:rPr>
              <w:t>The study used a balanced school-level allocation procedure; the title therefore identifies it as a four-arm school-level comparative study</w:t>
            </w:r>
            <w:r w:rsidRPr="008A1988">
              <w:rPr>
                <w:rFonts w:asciiTheme="minorHAnsi" w:hAnsiTheme="minorHAnsi" w:cstheme="minorHAnsi"/>
                <w:color w:val="000000" w:themeColor="text1"/>
                <w:lang w:val="en-US"/>
              </w:rPr>
              <w:t>.</w:t>
            </w:r>
          </w:p>
        </w:tc>
        <w:tc>
          <w:tcPr>
            <w:tcW w:w="4132" w:type="dxa"/>
          </w:tcPr>
          <w:p w14:paraId="0C0552DA" w14:textId="33AFF382" w:rsidR="003A156C" w:rsidRPr="00FD05F9" w:rsidRDefault="003A156C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  <w:lang w:val="en-US"/>
              </w:rPr>
              <w:t>Page 1, title.</w:t>
            </w:r>
          </w:p>
        </w:tc>
      </w:tr>
      <w:tr w:rsidR="003A156C" w:rsidRPr="00222FED" w14:paraId="0FDE2C26" w14:textId="434839C1" w:rsidTr="003A156C">
        <w:tc>
          <w:tcPr>
            <w:tcW w:w="1476" w:type="dxa"/>
          </w:tcPr>
          <w:p w14:paraId="28462D2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273E457F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1b</w:t>
            </w:r>
          </w:p>
        </w:tc>
        <w:tc>
          <w:tcPr>
            <w:tcW w:w="4207" w:type="dxa"/>
          </w:tcPr>
          <w:p w14:paraId="1AFCF24E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Structured summary of trial design, methods, results, and conclusions</w:t>
            </w:r>
          </w:p>
        </w:tc>
        <w:tc>
          <w:tcPr>
            <w:tcW w:w="4759" w:type="dxa"/>
          </w:tcPr>
          <w:p w14:paraId="74E853A7" w14:textId="624E2C15" w:rsidR="003A156C" w:rsidRPr="003A156C" w:rsidRDefault="00E942ED">
            <w:pPr>
              <w:rPr>
                <w:rFonts w:asciiTheme="minorHAnsi" w:hAnsiTheme="minorHAnsi" w:cstheme="minorHAnsi"/>
                <w:lang w:val="en-US"/>
              </w:rPr>
            </w:pP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The structured </w:t>
            </w:r>
            <w:r>
              <w:rPr>
                <w:rFonts w:asciiTheme="minorHAnsi" w:hAnsiTheme="minorHAnsi" w:cstheme="minorHAnsi"/>
              </w:rPr>
              <w:t>Ab</w:t>
            </w:r>
            <w:r w:rsidR="003A156C" w:rsidRPr="00222FED">
              <w:rPr>
                <w:rFonts w:asciiTheme="minorHAnsi" w:hAnsiTheme="minorHAnsi" w:cstheme="minorHAnsi"/>
              </w:rPr>
              <w:t>stract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A156C" w:rsidRPr="00222FED">
              <w:rPr>
                <w:rFonts w:asciiTheme="minorHAnsi" w:hAnsiTheme="minorHAnsi" w:cstheme="minorHAnsi"/>
              </w:rPr>
              <w:t>(Background/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A156C" w:rsidRPr="00222FED">
              <w:rPr>
                <w:rFonts w:asciiTheme="minorHAnsi" w:hAnsiTheme="minorHAnsi" w:cstheme="minorHAnsi"/>
              </w:rPr>
              <w:t>Methods/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A156C" w:rsidRPr="00222FED">
              <w:rPr>
                <w:rFonts w:asciiTheme="minorHAnsi" w:hAnsiTheme="minorHAnsi" w:cstheme="minorHAnsi"/>
              </w:rPr>
              <w:t>Results/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A156C" w:rsidRPr="00222FED">
              <w:rPr>
                <w:rFonts w:asciiTheme="minorHAnsi" w:hAnsiTheme="minorHAnsi" w:cstheme="minorHAnsi"/>
              </w:rPr>
              <w:t xml:space="preserve">Conclusions) describes the four-arm, school-level comparative intervention design, sample (37 schools, N=872 pupils),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interventions, </w:t>
            </w:r>
            <w:r w:rsidR="003A156C" w:rsidRPr="008A1988">
              <w:rPr>
                <w:rFonts w:asciiTheme="minorHAnsi" w:hAnsiTheme="minorHAnsi" w:cstheme="minorHAnsi"/>
                <w:color w:val="000000" w:themeColor="text1"/>
              </w:rPr>
              <w:t xml:space="preserve">primary outcome,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statistical </w:t>
            </w:r>
            <w:r w:rsidR="003A156C" w:rsidRPr="008A1988">
              <w:rPr>
                <w:rFonts w:asciiTheme="minorHAnsi" w:hAnsiTheme="minorHAnsi" w:cstheme="minorHAnsi"/>
                <w:color w:val="000000" w:themeColor="text1"/>
              </w:rPr>
              <w:t xml:space="preserve">analysis,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main results</w:t>
            </w:r>
            <w:r w:rsidR="000928CB" w:rsidRPr="008A1988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 and conclusions</w:t>
            </w:r>
            <w:r w:rsidR="003A156C" w:rsidRPr="008A1988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44DC82AC" w14:textId="79A9F3D3" w:rsidR="003A156C" w:rsidRPr="00FD05F9" w:rsidRDefault="00E942E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Pages 1-2</w:t>
            </w:r>
          </w:p>
        </w:tc>
      </w:tr>
      <w:tr w:rsidR="003A156C" w:rsidRPr="00222FED" w14:paraId="03210D7B" w14:textId="5A8DC6FE" w:rsidTr="003A156C">
        <w:tc>
          <w:tcPr>
            <w:tcW w:w="1476" w:type="dxa"/>
          </w:tcPr>
          <w:p w14:paraId="595078A8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Introduction</w:t>
            </w:r>
          </w:p>
        </w:tc>
        <w:tc>
          <w:tcPr>
            <w:tcW w:w="814" w:type="dxa"/>
          </w:tcPr>
          <w:p w14:paraId="7F31B07A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2a</w:t>
            </w:r>
          </w:p>
        </w:tc>
        <w:tc>
          <w:tcPr>
            <w:tcW w:w="4207" w:type="dxa"/>
          </w:tcPr>
          <w:p w14:paraId="304C244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Scientific background and explanation of rationale</w:t>
            </w:r>
          </w:p>
        </w:tc>
        <w:tc>
          <w:tcPr>
            <w:tcW w:w="4759" w:type="dxa"/>
          </w:tcPr>
          <w:p w14:paraId="74192157" w14:textId="368391F3" w:rsidR="00E942ED" w:rsidRPr="00FD05F9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Background section: </w:t>
            </w:r>
            <w:r w:rsidR="003210B1" w:rsidRPr="00FD05F9">
              <w:rPr>
                <w:rFonts w:asciiTheme="minorHAnsi" w:hAnsiTheme="minorHAnsi" w:cstheme="minorHAnsi"/>
                <w:color w:val="000000" w:themeColor="text1"/>
              </w:rPr>
              <w:t xml:space="preserve">description of the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FAST Heroes programme, low parental registration rates (11.5% globally), </w:t>
            </w:r>
            <w:r w:rsidR="003210B1" w:rsidRPr="00FD05F9">
              <w:rPr>
                <w:rFonts w:asciiTheme="minorHAnsi" w:hAnsiTheme="minorHAnsi" w:cstheme="minorHAnsi"/>
                <w:color w:val="000000" w:themeColor="text1"/>
              </w:rPr>
              <w:t xml:space="preserve">and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literature on </w:t>
            </w:r>
            <w:r w:rsidR="003210B1" w:rsidRPr="00FD05F9">
              <w:rPr>
                <w:rFonts w:asciiTheme="minorHAnsi" w:hAnsiTheme="minorHAnsi" w:cstheme="minorHAnsi"/>
                <w:color w:val="000000" w:themeColor="text1"/>
              </w:rPr>
              <w:t xml:space="preserve">behavioural and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digital-engagement determinants (credibility, emotional engagement, visual design, etc.)</w:t>
            </w:r>
            <w:r w:rsidR="003210B1" w:rsidRPr="00FD05F9">
              <w:rPr>
                <w:rFonts w:asciiTheme="minorHAnsi" w:hAnsiTheme="minorHAnsi" w:cstheme="minorHAnsi"/>
                <w:color w:val="000000" w:themeColor="text1"/>
              </w:rPr>
              <w:t xml:space="preserve"> supporting the comparison of alternative prompting strategies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0C17D532" w14:textId="39EA8754" w:rsidR="003A156C" w:rsidRPr="00FD05F9" w:rsidRDefault="003210B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Pages 2-</w:t>
            </w:r>
            <w:r w:rsidR="005052F9" w:rsidRPr="00FD05F9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3A156C" w:rsidRPr="00222FED" w14:paraId="1D9F85C0" w14:textId="095A8741" w:rsidTr="003A156C">
        <w:tc>
          <w:tcPr>
            <w:tcW w:w="1476" w:type="dxa"/>
          </w:tcPr>
          <w:p w14:paraId="260ED95D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22B588AD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2b</w:t>
            </w:r>
          </w:p>
        </w:tc>
        <w:tc>
          <w:tcPr>
            <w:tcW w:w="4207" w:type="dxa"/>
          </w:tcPr>
          <w:p w14:paraId="29490EB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Specific objectives or hypotheses</w:t>
            </w:r>
          </w:p>
        </w:tc>
        <w:tc>
          <w:tcPr>
            <w:tcW w:w="4759" w:type="dxa"/>
          </w:tcPr>
          <w:p w14:paraId="72C57ED4" w14:textId="4BFD3117" w:rsidR="0096343C" w:rsidRPr="00FD05F9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“Aims” subsection: objective to identify </w:t>
            </w:r>
            <w:r w:rsidR="0096343C" w:rsidRPr="00FD05F9">
              <w:rPr>
                <w:rFonts w:asciiTheme="minorHAnsi" w:hAnsiTheme="minorHAnsi" w:cstheme="minorHAnsi"/>
                <w:color w:val="000000" w:themeColor="text1"/>
              </w:rPr>
              <w:t xml:space="preserve">practical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strategies </w:t>
            </w:r>
            <w:r w:rsidR="0096343C" w:rsidRPr="00FD05F9">
              <w:rPr>
                <w:rFonts w:asciiTheme="minorHAnsi" w:hAnsiTheme="minorHAnsi" w:cstheme="minorHAnsi"/>
                <w:color w:val="000000" w:themeColor="text1"/>
              </w:rPr>
              <w:t xml:space="preserve">for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improving online registration</w:t>
            </w:r>
            <w:r w:rsidR="0096343C" w:rsidRPr="00FD05F9">
              <w:rPr>
                <w:rFonts w:asciiTheme="minorHAnsi" w:hAnsiTheme="minorHAnsi" w:cstheme="minorHAnsi"/>
                <w:color w:val="000000" w:themeColor="text1"/>
              </w:rPr>
              <w:t xml:space="preserve"> by comparing four prompting conditions</w:t>
            </w:r>
            <w:r w:rsidR="009118D3" w:rsidRPr="00FD05F9">
              <w:rPr>
                <w:rFonts w:asciiTheme="minorHAnsi" w:hAnsiTheme="minorHAnsi" w:cstheme="minorHAnsi"/>
                <w:color w:val="000000" w:themeColor="text1"/>
              </w:rPr>
              <w:t xml:space="preserve"> that varied in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 xml:space="preserve"> delivery format</w:t>
            </w:r>
            <w:r w:rsidR="009118D3" w:rsidRPr="00FD05F9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messenger</w:t>
            </w:r>
            <w:r w:rsidR="009118D3" w:rsidRPr="00FD05F9">
              <w:rPr>
                <w:rFonts w:asciiTheme="minorHAnsi" w:hAnsiTheme="minorHAnsi" w:cstheme="minorHAnsi"/>
                <w:color w:val="000000" w:themeColor="text1"/>
              </w:rPr>
              <w:t xml:space="preserve"> involvement,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visual design</w:t>
            </w:r>
            <w:r w:rsidR="009118D3" w:rsidRPr="00FD05F9">
              <w:rPr>
                <w:rFonts w:asciiTheme="minorHAnsi" w:hAnsiTheme="minorHAnsi" w:cstheme="minorHAnsi"/>
                <w:color w:val="000000" w:themeColor="text1"/>
              </w:rPr>
              <w:t xml:space="preserve">, and 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prompting frequency</w:t>
            </w:r>
            <w:r w:rsidR="008A1988" w:rsidRPr="00FD05F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6343C" w:rsidRPr="00FD05F9">
              <w:rPr>
                <w:rFonts w:asciiTheme="minorHAnsi" w:hAnsiTheme="minorHAnsi" w:cstheme="minorHAnsi"/>
                <w:color w:val="000000" w:themeColor="text1"/>
              </w:rPr>
              <w:t>with exploratory examination of variation by school settlement category and class size</w:t>
            </w:r>
            <w:r w:rsidRPr="00FD05F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710382E8" w14:textId="3539F4A3" w:rsidR="003A156C" w:rsidRPr="00FD05F9" w:rsidRDefault="009118D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Pages 7</w:t>
            </w:r>
          </w:p>
        </w:tc>
      </w:tr>
      <w:tr w:rsidR="003A156C" w:rsidRPr="00222FED" w14:paraId="3475926B" w14:textId="2EC1E443" w:rsidTr="003A156C">
        <w:tc>
          <w:tcPr>
            <w:tcW w:w="1476" w:type="dxa"/>
          </w:tcPr>
          <w:p w14:paraId="0BDADE9C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Trial design</w:t>
            </w:r>
          </w:p>
        </w:tc>
        <w:tc>
          <w:tcPr>
            <w:tcW w:w="814" w:type="dxa"/>
          </w:tcPr>
          <w:p w14:paraId="669AC190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3a</w:t>
            </w:r>
          </w:p>
        </w:tc>
        <w:tc>
          <w:tcPr>
            <w:tcW w:w="4207" w:type="dxa"/>
          </w:tcPr>
          <w:p w14:paraId="5A00A8AC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Description of trial design (e.g., parallel, factorial) including allocation ratio</w:t>
            </w:r>
          </w:p>
        </w:tc>
        <w:tc>
          <w:tcPr>
            <w:tcW w:w="4759" w:type="dxa"/>
          </w:tcPr>
          <w:p w14:paraId="6653B5E2" w14:textId="0EF444B9" w:rsidR="00E366B8" w:rsidRPr="008A1988" w:rsidRDefault="00E366B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The study is described as </w:t>
            </w:r>
            <w:r w:rsidR="003A156C" w:rsidRPr="008A1988">
              <w:rPr>
                <w:rFonts w:asciiTheme="minorHAnsi" w:hAnsiTheme="minorHAnsi" w:cstheme="minorHAnsi"/>
                <w:color w:val="000000" w:themeColor="text1"/>
              </w:rPr>
              <w:t>a prospective, four-arm, parallel-group, school-level comparative intervention study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, with schools as the unit of allocation.</w:t>
            </w:r>
            <w:r w:rsidR="003A156C" w:rsidRPr="008A198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Initial allocation aimed to achieve broad comparability in pupil numbers and settlement category; following differential participation, the final sample comprised 11, 11, 10, and 5 schools in Conditions 1–4, respectively.</w:t>
            </w:r>
          </w:p>
        </w:tc>
        <w:tc>
          <w:tcPr>
            <w:tcW w:w="4132" w:type="dxa"/>
          </w:tcPr>
          <w:p w14:paraId="5F5E9A0E" w14:textId="57A6D3B0" w:rsidR="003A156C" w:rsidRPr="00222FED" w:rsidRDefault="00A83A1F">
            <w:pPr>
              <w:rPr>
                <w:rFonts w:asciiTheme="minorHAnsi" w:hAnsiTheme="minorHAnsi" w:cstheme="minorHAnsi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Pages 7-</w:t>
            </w:r>
            <w:r w:rsidR="00FD05F9" w:rsidRPr="00FD05F9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3A156C" w:rsidRPr="00222FED" w14:paraId="3F8CC462" w14:textId="4B49025F" w:rsidTr="003A156C">
        <w:tc>
          <w:tcPr>
            <w:tcW w:w="1476" w:type="dxa"/>
          </w:tcPr>
          <w:p w14:paraId="1D7EDB41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26AE11EC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3b</w:t>
            </w:r>
          </w:p>
        </w:tc>
        <w:tc>
          <w:tcPr>
            <w:tcW w:w="4207" w:type="dxa"/>
          </w:tcPr>
          <w:p w14:paraId="7EF2653F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Important changes to methods after trial commencement, with reasons</w:t>
            </w:r>
          </w:p>
        </w:tc>
        <w:tc>
          <w:tcPr>
            <w:tcW w:w="4759" w:type="dxa"/>
          </w:tcPr>
          <w:p w14:paraId="34230BE9" w14:textId="70E2A2DC" w:rsidR="003A156C" w:rsidRPr="00222FED" w:rsidRDefault="003A156C">
            <w:pPr>
              <w:rPr>
                <w:rFonts w:asciiTheme="minorHAnsi" w:hAnsiTheme="minorHAnsi" w:cstheme="minorHAnsi"/>
                <w:highlight w:val="yellow"/>
                <w:lang w:val="en-US"/>
              </w:rPr>
            </w:pPr>
            <w:proofErr w:type="spellStart"/>
            <w:r w:rsidRPr="008A1988">
              <w:rPr>
                <w:rFonts w:asciiTheme="minorHAnsi" w:hAnsiTheme="minorHAnsi" w:cstheme="minorHAnsi"/>
                <w:lang w:val="el-GR"/>
              </w:rPr>
              <w:t>Νο</w:t>
            </w:r>
            <w:proofErr w:type="spellEnd"/>
            <w:r w:rsidRPr="008A1988">
              <w:rPr>
                <w:rFonts w:asciiTheme="minorHAnsi" w:hAnsiTheme="minorHAnsi" w:cstheme="minorHAnsi"/>
              </w:rPr>
              <w:t xml:space="preserve"> changes </w:t>
            </w:r>
            <w:r w:rsidR="00943FCA" w:rsidRPr="008A1988">
              <w:rPr>
                <w:rFonts w:asciiTheme="minorHAnsi" w:hAnsiTheme="minorHAnsi" w:cstheme="minorHAnsi"/>
                <w:color w:val="000000" w:themeColor="text1"/>
              </w:rPr>
              <w:t xml:space="preserve">in methods </w:t>
            </w:r>
            <w:r w:rsidRPr="008A1988">
              <w:rPr>
                <w:rFonts w:asciiTheme="minorHAnsi" w:hAnsiTheme="minorHAnsi" w:cstheme="minorHAnsi"/>
              </w:rPr>
              <w:t xml:space="preserve">occurred after </w:t>
            </w:r>
            <w:r w:rsidR="00943FCA" w:rsidRPr="008A1988">
              <w:rPr>
                <w:rFonts w:asciiTheme="minorHAnsi" w:hAnsiTheme="minorHAnsi" w:cstheme="minorHAnsi"/>
                <w:color w:val="000000" w:themeColor="text1"/>
              </w:rPr>
              <w:t xml:space="preserve">study </w:t>
            </w:r>
            <w:r w:rsidRPr="008A1988">
              <w:rPr>
                <w:rFonts w:asciiTheme="minorHAnsi" w:hAnsiTheme="minorHAnsi" w:cstheme="minorHAnsi"/>
              </w:rPr>
              <w:t>commencement</w:t>
            </w:r>
            <w:r w:rsidRPr="008A1988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4132" w:type="dxa"/>
          </w:tcPr>
          <w:p w14:paraId="4AECD6F2" w14:textId="4FDDE9FD" w:rsidR="003A156C" w:rsidRPr="00943FCA" w:rsidRDefault="009E534C">
            <w:pPr>
              <w:rPr>
                <w:rFonts w:asciiTheme="minorHAnsi" w:hAnsiTheme="minorHAnsi" w:cstheme="minorHAnsi"/>
                <w:highlight w:val="yellow"/>
                <w:lang w:val="en-US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  <w:lang w:val="en-US"/>
              </w:rPr>
              <w:t>N/A</w:t>
            </w:r>
          </w:p>
        </w:tc>
      </w:tr>
      <w:tr w:rsidR="003A156C" w:rsidRPr="00222FED" w14:paraId="514F21AE" w14:textId="7AFED2FC" w:rsidTr="003A156C">
        <w:tc>
          <w:tcPr>
            <w:tcW w:w="1476" w:type="dxa"/>
          </w:tcPr>
          <w:p w14:paraId="1656BC2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Participants</w:t>
            </w:r>
          </w:p>
        </w:tc>
        <w:tc>
          <w:tcPr>
            <w:tcW w:w="814" w:type="dxa"/>
          </w:tcPr>
          <w:p w14:paraId="187D8BED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4a</w:t>
            </w:r>
          </w:p>
        </w:tc>
        <w:tc>
          <w:tcPr>
            <w:tcW w:w="4207" w:type="dxa"/>
          </w:tcPr>
          <w:p w14:paraId="236DAF7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Eligibility criteria for participants</w:t>
            </w:r>
          </w:p>
        </w:tc>
        <w:tc>
          <w:tcPr>
            <w:tcW w:w="4759" w:type="dxa"/>
          </w:tcPr>
          <w:p w14:paraId="41F0E35C" w14:textId="442E8F7E" w:rsidR="00943FCA" w:rsidRPr="00FD05F9" w:rsidRDefault="003A156C" w:rsidP="00943FC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“Participants and recruitment”: 131 Greek kindergartens implementing FAST Heroes in 2023–2024 with zero prior parental registrations were eligible.</w:t>
            </w:r>
            <w:r w:rsidR="00943FCA" w:rsidRPr="00FD05F9">
              <w:rPr>
                <w:rFonts w:asciiTheme="minorHAnsi" w:hAnsiTheme="minorHAnsi" w:cstheme="minorHAnsi"/>
                <w:color w:val="000000" w:themeColor="text1"/>
              </w:rPr>
              <w:t xml:space="preserve"> All pupils enrolled in participating </w:t>
            </w:r>
            <w:r w:rsidR="002F69FB" w:rsidRPr="00FD05F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eligible </w:t>
            </w:r>
            <w:r w:rsidR="00943FCA" w:rsidRPr="00FD05F9">
              <w:rPr>
                <w:rFonts w:asciiTheme="minorHAnsi" w:hAnsiTheme="minorHAnsi" w:cstheme="minorHAnsi"/>
                <w:color w:val="000000" w:themeColor="text1"/>
              </w:rPr>
              <w:t>classes and their parents or guardians were eligible; no additional individual-level exclusion criteria were applied</w:t>
            </w:r>
            <w:r w:rsidR="002F69FB" w:rsidRPr="00FD05F9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1CF0FBEB" w14:textId="1D00603B" w:rsidR="003A156C" w:rsidRPr="00FD05F9" w:rsidRDefault="00943FC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Pages 7-</w:t>
            </w:r>
            <w:r w:rsidR="00FD05F9" w:rsidRPr="00FD05F9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3A156C" w:rsidRPr="00222FED" w14:paraId="16F658C6" w14:textId="63FD2F46" w:rsidTr="003A156C">
        <w:tc>
          <w:tcPr>
            <w:tcW w:w="1476" w:type="dxa"/>
          </w:tcPr>
          <w:p w14:paraId="63CBE13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1F8B95A8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4b</w:t>
            </w:r>
          </w:p>
        </w:tc>
        <w:tc>
          <w:tcPr>
            <w:tcW w:w="4207" w:type="dxa"/>
          </w:tcPr>
          <w:p w14:paraId="48F91AF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Settings and locations where the data were collected</w:t>
            </w:r>
          </w:p>
        </w:tc>
        <w:tc>
          <w:tcPr>
            <w:tcW w:w="4759" w:type="dxa"/>
          </w:tcPr>
          <w:p w14:paraId="178CFDEE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Greek kindergartens, 2024–2025 school year; urban/non-urban classification per 2021 Greek Census (“School settlement classification” subsection).</w:t>
            </w:r>
          </w:p>
        </w:tc>
        <w:tc>
          <w:tcPr>
            <w:tcW w:w="4132" w:type="dxa"/>
          </w:tcPr>
          <w:p w14:paraId="030B8685" w14:textId="65ADAA4A" w:rsidR="003A156C" w:rsidRPr="00222FED" w:rsidRDefault="00B9633A">
            <w:pPr>
              <w:rPr>
                <w:rFonts w:asciiTheme="minorHAnsi" w:hAnsiTheme="minorHAnsi" w:cstheme="minorHAnsi"/>
              </w:rPr>
            </w:pPr>
            <w:r w:rsidRPr="00FD05F9">
              <w:rPr>
                <w:rFonts w:asciiTheme="minorHAnsi" w:hAnsiTheme="minorHAnsi" w:cstheme="minorHAnsi"/>
                <w:color w:val="000000" w:themeColor="text1"/>
              </w:rPr>
              <w:t>Page 7-9</w:t>
            </w:r>
          </w:p>
        </w:tc>
      </w:tr>
      <w:tr w:rsidR="003A156C" w:rsidRPr="00222FED" w14:paraId="71A614FF" w14:textId="6C3459FB" w:rsidTr="003A156C">
        <w:tc>
          <w:tcPr>
            <w:tcW w:w="1476" w:type="dxa"/>
          </w:tcPr>
          <w:p w14:paraId="03B8581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Interventions</w:t>
            </w:r>
          </w:p>
        </w:tc>
        <w:tc>
          <w:tcPr>
            <w:tcW w:w="814" w:type="dxa"/>
          </w:tcPr>
          <w:p w14:paraId="5217E14A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4207" w:type="dxa"/>
          </w:tcPr>
          <w:p w14:paraId="792AAE8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The interventions for each group with sufficient detail to allow replication, including how and when administered</w:t>
            </w:r>
          </w:p>
        </w:tc>
        <w:tc>
          <w:tcPr>
            <w:tcW w:w="4759" w:type="dxa"/>
          </w:tcPr>
          <w:p w14:paraId="75770274" w14:textId="7BC4CB29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“Intervention” subsection and Table 1 describe Conditions 1</w:t>
            </w:r>
            <w:r w:rsidRPr="00222FED">
              <w:rPr>
                <w:rFonts w:asciiTheme="minorHAnsi" w:hAnsiTheme="minorHAnsi" w:cstheme="minorHAnsi"/>
                <w:lang w:val="en-US"/>
              </w:rPr>
              <w:t>-</w:t>
            </w:r>
            <w:r w:rsidRPr="00222FED">
              <w:rPr>
                <w:rFonts w:asciiTheme="minorHAnsi" w:hAnsiTheme="minorHAnsi" w:cstheme="minorHAnsi"/>
              </w:rPr>
              <w:t>4 (printed letter; e-mail letter; e-mail + teacher feedback; e-mail + teacher feedback + chatbot), delivery timing (week 0 launch; 5 weeks of feedback/chatbot).</w:t>
            </w:r>
          </w:p>
        </w:tc>
        <w:tc>
          <w:tcPr>
            <w:tcW w:w="4132" w:type="dxa"/>
          </w:tcPr>
          <w:p w14:paraId="2F6CDED5" w14:textId="49D1A25A" w:rsidR="003A156C" w:rsidRPr="00222FED" w:rsidRDefault="000C2CD8">
            <w:pPr>
              <w:rPr>
                <w:rFonts w:asciiTheme="minorHAnsi" w:hAnsiTheme="minorHAnsi" w:cstheme="minorHAnsi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Page 10-11</w:t>
            </w:r>
          </w:p>
        </w:tc>
      </w:tr>
      <w:tr w:rsidR="003A156C" w:rsidRPr="00222FED" w14:paraId="7F8C5D49" w14:textId="7EAD6A77" w:rsidTr="003A156C">
        <w:tc>
          <w:tcPr>
            <w:tcW w:w="1476" w:type="dxa"/>
          </w:tcPr>
          <w:p w14:paraId="0B807A6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Outcomes</w:t>
            </w:r>
          </w:p>
        </w:tc>
        <w:tc>
          <w:tcPr>
            <w:tcW w:w="814" w:type="dxa"/>
          </w:tcPr>
          <w:p w14:paraId="5AE41CA0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6a</w:t>
            </w:r>
          </w:p>
        </w:tc>
        <w:tc>
          <w:tcPr>
            <w:tcW w:w="4207" w:type="dxa"/>
          </w:tcPr>
          <w:p w14:paraId="7C2B1F3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Completely defined pre-specified primary and secondary outcome measures, including how and when assessed</w:t>
            </w:r>
          </w:p>
        </w:tc>
        <w:tc>
          <w:tcPr>
            <w:tcW w:w="4759" w:type="dxa"/>
          </w:tcPr>
          <w:p w14:paraId="1D59227A" w14:textId="4A8E3068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 xml:space="preserve">Primary outcome defined: proportion of parents completing online registration within 8 weeks of initial prompt. No secondary outcomes </w:t>
            </w: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were </w:t>
            </w:r>
            <w:r w:rsidR="00D15AEF"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specified; school settlement category and class size were examined as contextual and exploratory factors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5DDA564F" w14:textId="2D623E0A" w:rsidR="003A156C" w:rsidRPr="00DF4042" w:rsidRDefault="00D15A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Page 12</w:t>
            </w:r>
          </w:p>
        </w:tc>
      </w:tr>
      <w:tr w:rsidR="003A156C" w:rsidRPr="00222FED" w14:paraId="6C7BF5E9" w14:textId="1C2DF0F0" w:rsidTr="003A156C">
        <w:tc>
          <w:tcPr>
            <w:tcW w:w="1476" w:type="dxa"/>
          </w:tcPr>
          <w:p w14:paraId="46E3B7D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2910E343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6b</w:t>
            </w:r>
          </w:p>
        </w:tc>
        <w:tc>
          <w:tcPr>
            <w:tcW w:w="4207" w:type="dxa"/>
          </w:tcPr>
          <w:p w14:paraId="07EB5C9B" w14:textId="77777777" w:rsidR="003A156C" w:rsidRPr="008A1988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A1988">
              <w:rPr>
                <w:rFonts w:asciiTheme="minorHAnsi" w:hAnsiTheme="minorHAnsi" w:cstheme="minorHAnsi"/>
                <w:color w:val="000000" w:themeColor="text1"/>
              </w:rPr>
              <w:t>Any changes to trial outcomes after the trial commenced, with reasons</w:t>
            </w:r>
          </w:p>
        </w:tc>
        <w:tc>
          <w:tcPr>
            <w:tcW w:w="4759" w:type="dxa"/>
          </w:tcPr>
          <w:p w14:paraId="6B4C62EC" w14:textId="4BE3E7DD" w:rsidR="003A156C" w:rsidRPr="008A1988" w:rsidRDefault="00D15AEF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8A1988">
              <w:rPr>
                <w:rFonts w:asciiTheme="minorHAnsi" w:hAnsiTheme="minorHAnsi" w:cstheme="minorHAnsi"/>
                <w:color w:val="000000" w:themeColor="text1"/>
              </w:rPr>
              <w:t>No changes were made to the primary outcome after study commencement.</w:t>
            </w:r>
          </w:p>
        </w:tc>
        <w:tc>
          <w:tcPr>
            <w:tcW w:w="4132" w:type="dxa"/>
          </w:tcPr>
          <w:p w14:paraId="2980F1AB" w14:textId="3B39B1FA" w:rsidR="003A156C" w:rsidRPr="00626FD3" w:rsidRDefault="00626FD3">
            <w:pPr>
              <w:rPr>
                <w:rFonts w:asciiTheme="minorHAnsi" w:hAnsiTheme="minorHAnsi" w:cstheme="minorHAnsi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Page 12</w:t>
            </w:r>
          </w:p>
        </w:tc>
      </w:tr>
      <w:tr w:rsidR="003A156C" w:rsidRPr="00222FED" w14:paraId="2BD7FFEC" w14:textId="52C3F5BA" w:rsidTr="003A156C">
        <w:tc>
          <w:tcPr>
            <w:tcW w:w="1476" w:type="dxa"/>
          </w:tcPr>
          <w:p w14:paraId="6A95E75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Sample size</w:t>
            </w:r>
          </w:p>
        </w:tc>
        <w:tc>
          <w:tcPr>
            <w:tcW w:w="814" w:type="dxa"/>
          </w:tcPr>
          <w:p w14:paraId="13D93D57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7a</w:t>
            </w:r>
          </w:p>
        </w:tc>
        <w:tc>
          <w:tcPr>
            <w:tcW w:w="4207" w:type="dxa"/>
          </w:tcPr>
          <w:p w14:paraId="1012FDB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How sample size was determined</w:t>
            </w:r>
          </w:p>
        </w:tc>
        <w:tc>
          <w:tcPr>
            <w:tcW w:w="4759" w:type="dxa"/>
          </w:tcPr>
          <w:p w14:paraId="439AFC90" w14:textId="3600ADAC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N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>o a priori sample size calculation was performed; all eligible/consenting schools were included</w:t>
            </w:r>
          </w:p>
        </w:tc>
        <w:tc>
          <w:tcPr>
            <w:tcW w:w="4132" w:type="dxa"/>
          </w:tcPr>
          <w:p w14:paraId="42B6BAC9" w14:textId="11558672" w:rsidR="003A156C" w:rsidRPr="00DF4042" w:rsidRDefault="009E534C">
            <w:pPr>
              <w:rPr>
                <w:rFonts w:asciiTheme="minorHAnsi" w:hAnsiTheme="minorHAnsi" w:cstheme="minorHAnsi"/>
                <w:color w:val="000000" w:themeColor="text1"/>
                <w:highlight w:val="yellow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Page 8</w:t>
            </w:r>
          </w:p>
        </w:tc>
      </w:tr>
      <w:tr w:rsidR="003A156C" w:rsidRPr="00222FED" w14:paraId="44474EE8" w14:textId="77287F2B" w:rsidTr="003A156C">
        <w:tc>
          <w:tcPr>
            <w:tcW w:w="1476" w:type="dxa"/>
          </w:tcPr>
          <w:p w14:paraId="1881D1E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475D9A13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7b</w:t>
            </w:r>
          </w:p>
        </w:tc>
        <w:tc>
          <w:tcPr>
            <w:tcW w:w="4207" w:type="dxa"/>
          </w:tcPr>
          <w:p w14:paraId="6CECB5F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When applicable, explanation of any interim analyses and stopping guidelines</w:t>
            </w:r>
          </w:p>
        </w:tc>
        <w:tc>
          <w:tcPr>
            <w:tcW w:w="4759" w:type="dxa"/>
          </w:tcPr>
          <w:p w14:paraId="500E00F3" w14:textId="4490BCD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8A1988">
              <w:rPr>
                <w:rFonts w:asciiTheme="minorHAnsi" w:hAnsiTheme="minorHAnsi" w:cstheme="minorHAnsi"/>
              </w:rPr>
              <w:t>Not applicable</w:t>
            </w:r>
            <w:r w:rsidR="009E534C" w:rsidRPr="008A198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32" w:type="dxa"/>
          </w:tcPr>
          <w:p w14:paraId="67A37FC4" w14:textId="2E533E85" w:rsidR="003A156C" w:rsidRPr="00222FED" w:rsidRDefault="009E534C">
            <w:pPr>
              <w:rPr>
                <w:rFonts w:asciiTheme="minorHAnsi" w:hAnsiTheme="minorHAnsi" w:cstheme="minorHAnsi"/>
                <w:highlight w:val="yellow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N/A</w:t>
            </w:r>
          </w:p>
        </w:tc>
      </w:tr>
      <w:tr w:rsidR="003A156C" w:rsidRPr="00222FED" w14:paraId="7B8EF910" w14:textId="066978D2" w:rsidTr="003A156C">
        <w:tc>
          <w:tcPr>
            <w:tcW w:w="1476" w:type="dxa"/>
          </w:tcPr>
          <w:p w14:paraId="7EAAF1F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Randomisation – sequence generation</w:t>
            </w:r>
          </w:p>
        </w:tc>
        <w:tc>
          <w:tcPr>
            <w:tcW w:w="814" w:type="dxa"/>
          </w:tcPr>
          <w:p w14:paraId="7F10BEAE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8a</w:t>
            </w:r>
          </w:p>
        </w:tc>
        <w:tc>
          <w:tcPr>
            <w:tcW w:w="4207" w:type="dxa"/>
          </w:tcPr>
          <w:p w14:paraId="40701D76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Method used to generate the random allocation sequence</w:t>
            </w:r>
          </w:p>
        </w:tc>
        <w:tc>
          <w:tcPr>
            <w:tcW w:w="4759" w:type="dxa"/>
          </w:tcPr>
          <w:p w14:paraId="28270246" w14:textId="77777777" w:rsidR="003A156C" w:rsidRPr="008A1988" w:rsidRDefault="003A156C">
            <w:pPr>
              <w:rPr>
                <w:rFonts w:asciiTheme="minorHAnsi" w:hAnsiTheme="minorHAnsi" w:cstheme="minorHAnsi"/>
              </w:rPr>
            </w:pPr>
            <w:r w:rsidRPr="008A1988">
              <w:rPr>
                <w:rFonts w:asciiTheme="minorHAnsi" w:hAnsiTheme="minorHAnsi" w:cstheme="minorHAnsi"/>
                <w:lang w:val="en-US"/>
              </w:rPr>
              <w:t>Not applicable.</w:t>
            </w:r>
            <w:r w:rsidRPr="008A1988">
              <w:rPr>
                <w:rFonts w:asciiTheme="minorHAnsi" w:hAnsiTheme="minorHAnsi" w:cstheme="minorHAnsi"/>
              </w:rPr>
              <w:t xml:space="preserve"> Schools were allocated via a pre-specified “balanced allocation procedure” aiming for comparability in pupil numbers and settlement category</w:t>
            </w:r>
            <w:r w:rsidRPr="008A1988">
              <w:rPr>
                <w:rFonts w:asciiTheme="minorHAnsi" w:hAnsiTheme="minorHAnsi" w:cstheme="minorHAnsi"/>
                <w:lang w:val="en-US"/>
              </w:rPr>
              <w:t>.</w:t>
            </w:r>
            <w:r w:rsidRPr="008A198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32" w:type="dxa"/>
          </w:tcPr>
          <w:p w14:paraId="174CB202" w14:textId="6B53D4A0" w:rsidR="003A156C" w:rsidRPr="00DF4042" w:rsidRDefault="009E534C">
            <w:pPr>
              <w:rPr>
                <w:rFonts w:asciiTheme="minorHAnsi" w:hAnsiTheme="minorHAnsi" w:cstheme="minorHAnsi"/>
                <w:color w:val="000000" w:themeColor="text1"/>
                <w:highlight w:val="yellow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Page 8</w:t>
            </w:r>
          </w:p>
        </w:tc>
      </w:tr>
      <w:tr w:rsidR="003A156C" w:rsidRPr="00222FED" w14:paraId="3DA9834E" w14:textId="7455C686" w:rsidTr="003A156C">
        <w:tc>
          <w:tcPr>
            <w:tcW w:w="1476" w:type="dxa"/>
          </w:tcPr>
          <w:p w14:paraId="36F5DF8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118C7272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8b</w:t>
            </w:r>
          </w:p>
        </w:tc>
        <w:tc>
          <w:tcPr>
            <w:tcW w:w="4207" w:type="dxa"/>
          </w:tcPr>
          <w:p w14:paraId="540F285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Type of randomisation; details of any restriction (e.g., blocking, block size)</w:t>
            </w:r>
          </w:p>
        </w:tc>
        <w:tc>
          <w:tcPr>
            <w:tcW w:w="4759" w:type="dxa"/>
          </w:tcPr>
          <w:p w14:paraId="648AD8BC" w14:textId="1CECA76C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8A1988">
              <w:rPr>
                <w:rFonts w:asciiTheme="minorHAnsi" w:hAnsiTheme="minorHAnsi" w:cstheme="minorHAnsi"/>
                <w:lang w:val="en-US"/>
              </w:rPr>
              <w:t>Not applicable</w:t>
            </w:r>
            <w:r w:rsidRPr="008A1988">
              <w:rPr>
                <w:rFonts w:asciiTheme="minorHAnsi" w:hAnsiTheme="minorHAnsi" w:cstheme="minorHAnsi"/>
              </w:rPr>
              <w:t xml:space="preserve"> for the same reason as 8a</w:t>
            </w:r>
            <w:r w:rsidR="009E534C" w:rsidRPr="008A198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32" w:type="dxa"/>
          </w:tcPr>
          <w:p w14:paraId="19ADEDAE" w14:textId="5DFC4314" w:rsidR="003A156C" w:rsidRPr="00DF4042" w:rsidRDefault="009E534C">
            <w:pPr>
              <w:rPr>
                <w:rFonts w:asciiTheme="minorHAnsi" w:hAnsiTheme="minorHAnsi" w:cstheme="minorHAnsi"/>
                <w:color w:val="000000" w:themeColor="text1"/>
                <w:highlight w:val="yellow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N/A</w:t>
            </w:r>
          </w:p>
        </w:tc>
      </w:tr>
      <w:tr w:rsidR="003A156C" w:rsidRPr="00222FED" w14:paraId="0E4177F4" w14:textId="4083EE5F" w:rsidTr="003A156C">
        <w:tc>
          <w:tcPr>
            <w:tcW w:w="1476" w:type="dxa"/>
          </w:tcPr>
          <w:p w14:paraId="2B1F2D7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Allocation concealment mechanism</w:t>
            </w:r>
          </w:p>
        </w:tc>
        <w:tc>
          <w:tcPr>
            <w:tcW w:w="814" w:type="dxa"/>
          </w:tcPr>
          <w:p w14:paraId="661FF7CF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4207" w:type="dxa"/>
          </w:tcPr>
          <w:p w14:paraId="7372A846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Mechanism used to implement the random allocation sequence, describing steps to conceal the sequence until interventions were assigned</w:t>
            </w:r>
          </w:p>
        </w:tc>
        <w:tc>
          <w:tcPr>
            <w:tcW w:w="4759" w:type="dxa"/>
          </w:tcPr>
          <w:p w14:paraId="10AE6ABC" w14:textId="77777777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Not applicable.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N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>o random sequence was concealed or generated; schools retained their initially assigned condition with no post-consent reallocation.</w:t>
            </w:r>
          </w:p>
        </w:tc>
        <w:tc>
          <w:tcPr>
            <w:tcW w:w="4132" w:type="dxa"/>
          </w:tcPr>
          <w:p w14:paraId="205C9B44" w14:textId="33D04151" w:rsidR="003A156C" w:rsidRPr="00DF4042" w:rsidRDefault="00951D2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Page 8</w:t>
            </w:r>
          </w:p>
        </w:tc>
      </w:tr>
      <w:tr w:rsidR="003A156C" w:rsidRPr="00222FED" w14:paraId="063B79CE" w14:textId="1BBD30A2" w:rsidTr="003A156C">
        <w:tc>
          <w:tcPr>
            <w:tcW w:w="1476" w:type="dxa"/>
          </w:tcPr>
          <w:p w14:paraId="00A3945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Implementation</w:t>
            </w:r>
          </w:p>
        </w:tc>
        <w:tc>
          <w:tcPr>
            <w:tcW w:w="814" w:type="dxa"/>
          </w:tcPr>
          <w:p w14:paraId="1E7DEEF9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4207" w:type="dxa"/>
          </w:tcPr>
          <w:p w14:paraId="6045907C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4759" w:type="dxa"/>
          </w:tcPr>
          <w:p w14:paraId="67C4DC12" w14:textId="26FAB5E7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S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>chools were allocated at the school level using a balanced procedure and later invited to participate</w:t>
            </w:r>
            <w:r w:rsidR="008A1988" w:rsidRPr="00DF4042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DF404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A42DC" w:rsidRPr="00DF4042">
              <w:rPr>
                <w:rFonts w:asciiTheme="minorHAnsi" w:hAnsiTheme="minorHAnsi" w:cstheme="minorHAnsi"/>
                <w:color w:val="000000" w:themeColor="text1"/>
              </w:rPr>
              <w:t>The FAST Heroes study team performed the initial balanced allocation, contacted and enrolled eligible schools, and coordinated implementation of the assigned prompting conditions.</w:t>
            </w:r>
          </w:p>
        </w:tc>
        <w:tc>
          <w:tcPr>
            <w:tcW w:w="4132" w:type="dxa"/>
          </w:tcPr>
          <w:p w14:paraId="43FF81C8" w14:textId="64DE365C" w:rsidR="003A156C" w:rsidRPr="00DF4042" w:rsidRDefault="00BA42DC">
            <w:pPr>
              <w:rPr>
                <w:rFonts w:asciiTheme="minorHAnsi" w:hAnsiTheme="minorHAnsi" w:cstheme="minorHAnsi"/>
                <w:color w:val="000000" w:themeColor="text1"/>
                <w:highlight w:val="yellow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Page 8</w:t>
            </w:r>
          </w:p>
        </w:tc>
      </w:tr>
      <w:tr w:rsidR="003A156C" w:rsidRPr="00222FED" w14:paraId="21569A2E" w14:textId="3C22A1B6" w:rsidTr="003A156C">
        <w:tc>
          <w:tcPr>
            <w:tcW w:w="1476" w:type="dxa"/>
          </w:tcPr>
          <w:p w14:paraId="32BC9074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Methods: Blinding</w:t>
            </w:r>
          </w:p>
        </w:tc>
        <w:tc>
          <w:tcPr>
            <w:tcW w:w="814" w:type="dxa"/>
          </w:tcPr>
          <w:p w14:paraId="06FE89F6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11a</w:t>
            </w:r>
          </w:p>
        </w:tc>
        <w:tc>
          <w:tcPr>
            <w:tcW w:w="4207" w:type="dxa"/>
          </w:tcPr>
          <w:p w14:paraId="6DFF5158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If done, who was blinded after assignment to interventions (participants, care providers, outcome assessors) and how</w:t>
            </w:r>
          </w:p>
        </w:tc>
        <w:tc>
          <w:tcPr>
            <w:tcW w:w="4759" w:type="dxa"/>
          </w:tcPr>
          <w:p w14:paraId="76E098E6" w14:textId="1B303A8A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B</w:t>
            </w:r>
            <w:proofErr w:type="spellStart"/>
            <w:r w:rsidRPr="00DF4042">
              <w:rPr>
                <w:rFonts w:asciiTheme="minorHAnsi" w:hAnsiTheme="minorHAnsi" w:cstheme="minorHAnsi"/>
                <w:color w:val="000000" w:themeColor="text1"/>
              </w:rPr>
              <w:t>linding</w:t>
            </w:r>
            <w:proofErr w:type="spellEnd"/>
            <w:r w:rsidRPr="00DF4042">
              <w:rPr>
                <w:rFonts w:asciiTheme="minorHAnsi" w:hAnsiTheme="minorHAnsi" w:cstheme="minorHAnsi"/>
                <w:color w:val="000000" w:themeColor="text1"/>
              </w:rPr>
              <w:t xml:space="preserve"> of participants and teachers was not feasible given the nature of the interventions</w:t>
            </w:r>
            <w:r w:rsidR="00F962D7" w:rsidRPr="00DF4042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32" w:type="dxa"/>
          </w:tcPr>
          <w:p w14:paraId="17A2849B" w14:textId="046CD2E9" w:rsidR="003A156C" w:rsidRPr="00DF4042" w:rsidRDefault="00951D2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Page 12</w:t>
            </w:r>
          </w:p>
        </w:tc>
      </w:tr>
      <w:tr w:rsidR="003A156C" w:rsidRPr="00222FED" w14:paraId="2F20B5EC" w14:textId="50C5FEB5" w:rsidTr="003A156C">
        <w:tc>
          <w:tcPr>
            <w:tcW w:w="1476" w:type="dxa"/>
          </w:tcPr>
          <w:p w14:paraId="12659C7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5F30858D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11b</w:t>
            </w:r>
          </w:p>
        </w:tc>
        <w:tc>
          <w:tcPr>
            <w:tcW w:w="4207" w:type="dxa"/>
          </w:tcPr>
          <w:p w14:paraId="638069E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If relevant, description of the similarity of interventions</w:t>
            </w:r>
          </w:p>
        </w:tc>
        <w:tc>
          <w:tcPr>
            <w:tcW w:w="4759" w:type="dxa"/>
          </w:tcPr>
          <w:p w14:paraId="506AE003" w14:textId="75A2F094" w:rsidR="003A156C" w:rsidRPr="00DF4042" w:rsidRDefault="003A156C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Not applicable</w:t>
            </w:r>
            <w:r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>.</w:t>
            </w:r>
            <w:r w:rsidR="00951D27" w:rsidRPr="00DF4042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The intervention conditions were intentionally different in delivery format and additional prompting support.</w:t>
            </w:r>
          </w:p>
        </w:tc>
        <w:tc>
          <w:tcPr>
            <w:tcW w:w="4132" w:type="dxa"/>
          </w:tcPr>
          <w:p w14:paraId="56C93BC5" w14:textId="78F7A245" w:rsidR="003A156C" w:rsidRPr="00DF4042" w:rsidRDefault="00951D2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DF4042">
              <w:rPr>
                <w:rFonts w:asciiTheme="minorHAnsi" w:hAnsiTheme="minorHAnsi" w:cstheme="minorHAnsi"/>
                <w:color w:val="000000" w:themeColor="text1"/>
              </w:rPr>
              <w:t>Pages 10-11</w:t>
            </w:r>
          </w:p>
        </w:tc>
      </w:tr>
      <w:tr w:rsidR="003A156C" w:rsidRPr="00222FED" w14:paraId="654E321D" w14:textId="0106E27E" w:rsidTr="008A1988">
        <w:tc>
          <w:tcPr>
            <w:tcW w:w="1476" w:type="dxa"/>
          </w:tcPr>
          <w:p w14:paraId="14EFE89E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lastRenderedPageBreak/>
              <w:t>Methods: Statistical methods</w:t>
            </w:r>
          </w:p>
        </w:tc>
        <w:tc>
          <w:tcPr>
            <w:tcW w:w="814" w:type="dxa"/>
          </w:tcPr>
          <w:p w14:paraId="52BBAC9F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12a</w:t>
            </w:r>
          </w:p>
        </w:tc>
        <w:tc>
          <w:tcPr>
            <w:tcW w:w="4207" w:type="dxa"/>
          </w:tcPr>
          <w:p w14:paraId="04DA2496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Statistical methods used to compare groups for primary and secondary outcomes</w:t>
            </w:r>
          </w:p>
        </w:tc>
        <w:tc>
          <w:tcPr>
            <w:tcW w:w="4759" w:type="dxa"/>
            <w:shd w:val="clear" w:color="auto" w:fill="auto"/>
          </w:tcPr>
          <w:p w14:paraId="3FBA3348" w14:textId="0C4CE2B1" w:rsidR="00BA42DC" w:rsidRPr="009D6CCF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“Statistical Analysis” subsection: </w:t>
            </w:r>
            <w:r w:rsidR="00BA42DC" w:rsidRPr="009D6CCF">
              <w:rPr>
                <w:rFonts w:asciiTheme="minorHAnsi" w:hAnsiTheme="minorHAnsi" w:cstheme="minorHAnsi"/>
                <w:color w:val="000000" w:themeColor="text1"/>
              </w:rPr>
              <w:t xml:space="preserve">the primary comparison used 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mixed-effects logistic regression with </w:t>
            </w:r>
            <w:r w:rsidR="00BA42DC" w:rsidRPr="009D6CCF">
              <w:rPr>
                <w:rFonts w:asciiTheme="minorHAnsi" w:hAnsiTheme="minorHAnsi" w:cstheme="minorHAnsi"/>
                <w:color w:val="000000" w:themeColor="text1"/>
              </w:rPr>
              <w:t xml:space="preserve">a 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random intercept for school; </w:t>
            </w:r>
            <w:r w:rsidR="00BA42DC" w:rsidRPr="009D6CCF">
              <w:rPr>
                <w:rFonts w:asciiTheme="minorHAnsi" w:hAnsiTheme="minorHAnsi" w:cstheme="minorHAnsi"/>
                <w:color w:val="000000" w:themeColor="text1"/>
              </w:rPr>
              <w:t xml:space="preserve">prompting condition and school settlement category as fixed effects; 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likelihood-ratio tests; </w:t>
            </w:r>
            <w:r w:rsidR="00BA42DC" w:rsidRPr="009D6CCF">
              <w:rPr>
                <w:rFonts w:asciiTheme="minorHAnsi" w:hAnsiTheme="minorHAnsi" w:cstheme="minorHAnsi"/>
                <w:color w:val="000000" w:themeColor="text1"/>
              </w:rPr>
              <w:t xml:space="preserve">and conditional odds ratios with 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>Wald 95% CIs.</w:t>
            </w:r>
          </w:p>
        </w:tc>
        <w:tc>
          <w:tcPr>
            <w:tcW w:w="4132" w:type="dxa"/>
          </w:tcPr>
          <w:p w14:paraId="002B9ACC" w14:textId="3589B05D" w:rsidR="003A156C" w:rsidRPr="009D6CCF" w:rsidRDefault="00BA42D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 12</w:t>
            </w:r>
          </w:p>
        </w:tc>
      </w:tr>
      <w:tr w:rsidR="003A156C" w:rsidRPr="00222FED" w14:paraId="6491DB57" w14:textId="23DE3F3B" w:rsidTr="008A1988">
        <w:tc>
          <w:tcPr>
            <w:tcW w:w="1476" w:type="dxa"/>
          </w:tcPr>
          <w:p w14:paraId="03E55E0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1154DDB4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12b</w:t>
            </w:r>
          </w:p>
        </w:tc>
        <w:tc>
          <w:tcPr>
            <w:tcW w:w="4207" w:type="dxa"/>
          </w:tcPr>
          <w:p w14:paraId="7FCA0DD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Methods for additional analyses, such as subgroup analyses and adjusted analyses</w:t>
            </w:r>
          </w:p>
        </w:tc>
        <w:tc>
          <w:tcPr>
            <w:tcW w:w="4759" w:type="dxa"/>
            <w:shd w:val="clear" w:color="auto" w:fill="auto"/>
          </w:tcPr>
          <w:p w14:paraId="0581EDF1" w14:textId="0142DA36" w:rsidR="00BA42D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“</w:t>
            </w:r>
            <w:r w:rsidRPr="008A1988">
              <w:rPr>
                <w:rFonts w:asciiTheme="minorHAnsi" w:hAnsiTheme="minorHAnsi" w:cstheme="minorHAnsi"/>
              </w:rPr>
              <w:t>Statistical Analysis” subsection</w:t>
            </w:r>
            <w:r w:rsidRPr="00222FED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222FED">
              <w:rPr>
                <w:rFonts w:asciiTheme="minorHAnsi" w:hAnsiTheme="minorHAnsi" w:cstheme="minorHAnsi"/>
              </w:rPr>
              <w:t>secondary unadjusted chi-square analyses</w:t>
            </w:r>
            <w:r w:rsidR="00BA42DC">
              <w:rPr>
                <w:rFonts w:asciiTheme="minorHAnsi" w:hAnsiTheme="minorHAnsi" w:cstheme="minorHAnsi"/>
              </w:rPr>
              <w:t xml:space="preserve"> </w:t>
            </w:r>
            <w:r w:rsidR="00BA42DC" w:rsidRPr="008A1988">
              <w:rPr>
                <w:rFonts w:asciiTheme="minorHAnsi" w:hAnsiTheme="minorHAnsi" w:cstheme="minorHAnsi"/>
                <w:color w:val="000000" w:themeColor="text1"/>
              </w:rPr>
              <w:t>and crude risk ratios;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 exploratory condition</w:t>
            </w:r>
            <w:r w:rsidR="00BA42DC" w:rsidRPr="008A1988">
              <w:rPr>
                <w:rFonts w:asciiTheme="minorHAnsi" w:hAnsiTheme="minorHAnsi" w:cstheme="minorHAnsi"/>
                <w:color w:val="000000" w:themeColor="text1"/>
              </w:rPr>
              <w:t>-by-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settlement interaction </w:t>
            </w:r>
            <w:r w:rsidR="00BA42DC" w:rsidRPr="008A1988">
              <w:rPr>
                <w:rFonts w:asciiTheme="minorHAnsi" w:hAnsiTheme="minorHAnsi" w:cstheme="minorHAnsi"/>
                <w:color w:val="000000" w:themeColor="text1"/>
              </w:rPr>
              <w:t xml:space="preserve">and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class-size </w:t>
            </w:r>
            <w:r w:rsidR="00BA42DC" w:rsidRPr="008A1988">
              <w:rPr>
                <w:rFonts w:asciiTheme="minorHAnsi" w:hAnsiTheme="minorHAnsi" w:cstheme="minorHAnsi"/>
                <w:color w:val="000000" w:themeColor="text1"/>
              </w:rPr>
              <w:t xml:space="preserve">mixed-effects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models</w:t>
            </w:r>
            <w:r w:rsidR="00BA42DC" w:rsidRPr="008A1988">
              <w:rPr>
                <w:rFonts w:asciiTheme="minorHAnsi" w:hAnsiTheme="minorHAnsi" w:cstheme="minorHAnsi"/>
                <w:color w:val="000000" w:themeColor="text1"/>
              </w:rPr>
              <w:t>; and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 Benjamini</w:t>
            </w:r>
            <w:r w:rsidRPr="008A1988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Hochberg adjustment for multiple comparisons.</w:t>
            </w:r>
          </w:p>
        </w:tc>
        <w:tc>
          <w:tcPr>
            <w:tcW w:w="4132" w:type="dxa"/>
          </w:tcPr>
          <w:p w14:paraId="202C8579" w14:textId="573CF4C8" w:rsidR="003A156C" w:rsidRPr="00222FED" w:rsidRDefault="00BA42DC">
            <w:pPr>
              <w:rPr>
                <w:rFonts w:asciiTheme="minorHAnsi" w:hAnsiTheme="minorHAnsi" w:cstheme="minorHAnsi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Pages 12-13</w:t>
            </w:r>
          </w:p>
        </w:tc>
      </w:tr>
      <w:tr w:rsidR="003A156C" w:rsidRPr="00222FED" w14:paraId="09C587E7" w14:textId="67094886" w:rsidTr="008A1988">
        <w:tc>
          <w:tcPr>
            <w:tcW w:w="1476" w:type="dxa"/>
          </w:tcPr>
          <w:p w14:paraId="4A98799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Participant flow</w:t>
            </w:r>
          </w:p>
        </w:tc>
        <w:tc>
          <w:tcPr>
            <w:tcW w:w="814" w:type="dxa"/>
          </w:tcPr>
          <w:p w14:paraId="567C64CD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13a</w:t>
            </w:r>
          </w:p>
        </w:tc>
        <w:tc>
          <w:tcPr>
            <w:tcW w:w="4207" w:type="dxa"/>
          </w:tcPr>
          <w:p w14:paraId="7D33DDFE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4759" w:type="dxa"/>
            <w:shd w:val="clear" w:color="auto" w:fill="auto"/>
          </w:tcPr>
          <w:p w14:paraId="49D84B17" w14:textId="77777777" w:rsidR="003A156C" w:rsidRPr="00222FED" w:rsidRDefault="003A156C">
            <w:pPr>
              <w:rPr>
                <w:rFonts w:asciiTheme="minorHAnsi" w:hAnsiTheme="minorHAnsi" w:cstheme="minorHAnsi"/>
                <w:highlight w:val="yellow"/>
              </w:rPr>
            </w:pPr>
            <w:r w:rsidRPr="008A1988">
              <w:rPr>
                <w:rFonts w:asciiTheme="minorHAnsi" w:hAnsiTheme="minorHAnsi" w:cstheme="minorHAnsi"/>
              </w:rPr>
              <w:t>Participant flow reported in Figure 1 (adapted flow diagram: eligible schools, allocation, non-participation with reasons, and analysed sample by condition), and in Table 1 and the 'Participants and recruitment' subsection of the Methods.</w:t>
            </w:r>
          </w:p>
        </w:tc>
        <w:tc>
          <w:tcPr>
            <w:tcW w:w="4132" w:type="dxa"/>
          </w:tcPr>
          <w:p w14:paraId="6A302727" w14:textId="4E82FFAA" w:rsidR="003A156C" w:rsidRPr="00222FED" w:rsidRDefault="002D05D6">
            <w:pPr>
              <w:rPr>
                <w:rFonts w:asciiTheme="minorHAnsi" w:hAnsiTheme="minorHAnsi" w:cstheme="minorHAnsi"/>
                <w:highlight w:val="yellow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Pages 14-15</w:t>
            </w:r>
          </w:p>
        </w:tc>
      </w:tr>
      <w:tr w:rsidR="003A156C" w:rsidRPr="00222FED" w14:paraId="4625744D" w14:textId="545AE147" w:rsidTr="008A1988">
        <w:tc>
          <w:tcPr>
            <w:tcW w:w="1476" w:type="dxa"/>
          </w:tcPr>
          <w:p w14:paraId="79FB5486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39E68DF1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13b</w:t>
            </w:r>
          </w:p>
        </w:tc>
        <w:tc>
          <w:tcPr>
            <w:tcW w:w="4207" w:type="dxa"/>
          </w:tcPr>
          <w:p w14:paraId="5CE03ABA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For each group, losses and exclusions after randomisation, with reasons</w:t>
            </w:r>
          </w:p>
        </w:tc>
        <w:tc>
          <w:tcPr>
            <w:tcW w:w="4759" w:type="dxa"/>
            <w:shd w:val="clear" w:color="auto" w:fill="auto"/>
          </w:tcPr>
          <w:p w14:paraId="2139EC28" w14:textId="24D873A8" w:rsidR="003A156C" w:rsidRPr="00222FED" w:rsidRDefault="003A156C">
            <w:pPr>
              <w:rPr>
                <w:rFonts w:asciiTheme="minorHAnsi" w:hAnsiTheme="minorHAnsi" w:cstheme="minorHAnsi"/>
                <w:lang w:val="en-US"/>
              </w:rPr>
            </w:pPr>
            <w:r w:rsidRPr="00222FED">
              <w:rPr>
                <w:rFonts w:asciiTheme="minorHAnsi" w:hAnsiTheme="minorHAnsi" w:cstheme="minorHAnsi"/>
              </w:rPr>
              <w:t xml:space="preserve">“Participants and recruitment” </w:t>
            </w:r>
            <w:r w:rsidR="00F962D7" w:rsidRPr="00222FED">
              <w:rPr>
                <w:rFonts w:asciiTheme="minorHAnsi" w:hAnsiTheme="minorHAnsi" w:cstheme="minorHAnsi"/>
              </w:rPr>
              <w:t>give</w:t>
            </w:r>
            <w:r w:rsidRPr="00222FED">
              <w:rPr>
                <w:rFonts w:asciiTheme="minorHAnsi" w:hAnsiTheme="minorHAnsi" w:cstheme="minorHAnsi"/>
              </w:rPr>
              <w:t xml:space="preserve"> detailed reasons for non-participation among the 94 eligible schools not included (re-registered independently, staff turnover, unreachable, unresponsive, withdrew, declined</w:t>
            </w:r>
            <w:r w:rsidRPr="00222FED">
              <w:rPr>
                <w:rFonts w:asciiTheme="minorHAnsi" w:hAnsiTheme="minorHAnsi" w:cstheme="minorHAnsi"/>
                <w:lang w:val="en-US"/>
              </w:rPr>
              <w:t>).</w:t>
            </w:r>
          </w:p>
        </w:tc>
        <w:tc>
          <w:tcPr>
            <w:tcW w:w="4132" w:type="dxa"/>
          </w:tcPr>
          <w:p w14:paraId="3D814007" w14:textId="0E3C6CBC" w:rsidR="003A156C" w:rsidRPr="00222FED" w:rsidRDefault="00FE42B1">
            <w:pPr>
              <w:rPr>
                <w:rFonts w:asciiTheme="minorHAnsi" w:hAnsiTheme="minorHAnsi" w:cstheme="minorHAnsi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Pages 8-9</w:t>
            </w:r>
          </w:p>
        </w:tc>
      </w:tr>
      <w:tr w:rsidR="003A156C" w:rsidRPr="00222FED" w14:paraId="53B638FF" w14:textId="22822137" w:rsidTr="003A156C">
        <w:tc>
          <w:tcPr>
            <w:tcW w:w="1476" w:type="dxa"/>
          </w:tcPr>
          <w:p w14:paraId="25EB898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Recruitment</w:t>
            </w:r>
          </w:p>
        </w:tc>
        <w:tc>
          <w:tcPr>
            <w:tcW w:w="814" w:type="dxa"/>
          </w:tcPr>
          <w:p w14:paraId="58082542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14a</w:t>
            </w:r>
          </w:p>
        </w:tc>
        <w:tc>
          <w:tcPr>
            <w:tcW w:w="4207" w:type="dxa"/>
          </w:tcPr>
          <w:p w14:paraId="4B8A42AC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Dates defining the periods of recruitment and follow-up</w:t>
            </w:r>
          </w:p>
        </w:tc>
        <w:tc>
          <w:tcPr>
            <w:tcW w:w="4759" w:type="dxa"/>
          </w:tcPr>
          <w:p w14:paraId="122C9754" w14:textId="77777777" w:rsidR="003A156C" w:rsidRPr="009D6CCF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Recruitment/implementation period stated as the 2024</w:t>
            </w:r>
            <w:r w:rsidRPr="009D6CCF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>2025 school year (September 2024</w:t>
            </w:r>
            <w:r w:rsidRPr="009D6CCF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June 2025); primary outcome assessed within 8 weeks of the initial prompt. </w:t>
            </w:r>
          </w:p>
        </w:tc>
        <w:tc>
          <w:tcPr>
            <w:tcW w:w="4132" w:type="dxa"/>
          </w:tcPr>
          <w:p w14:paraId="7540F832" w14:textId="51DA9EDA" w:rsidR="003A156C" w:rsidRPr="009D6CCF" w:rsidRDefault="00FE42B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 8; page 12</w:t>
            </w:r>
          </w:p>
        </w:tc>
      </w:tr>
      <w:tr w:rsidR="003A156C" w:rsidRPr="00222FED" w14:paraId="4572842C" w14:textId="587E7F5D" w:rsidTr="003A156C">
        <w:tc>
          <w:tcPr>
            <w:tcW w:w="1476" w:type="dxa"/>
          </w:tcPr>
          <w:p w14:paraId="10B5736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1C198F1D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14b</w:t>
            </w:r>
          </w:p>
        </w:tc>
        <w:tc>
          <w:tcPr>
            <w:tcW w:w="4207" w:type="dxa"/>
          </w:tcPr>
          <w:p w14:paraId="1B940AB4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Why the trial ended or was stopped</w:t>
            </w:r>
          </w:p>
        </w:tc>
        <w:tc>
          <w:tcPr>
            <w:tcW w:w="4759" w:type="dxa"/>
          </w:tcPr>
          <w:p w14:paraId="196B5397" w14:textId="77777777" w:rsidR="003A156C" w:rsidRPr="009D6CCF" w:rsidRDefault="003A156C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  <w:lang w:val="en-US"/>
              </w:rPr>
              <w:t>Trial</w:t>
            </w:r>
            <w:r w:rsidRPr="009D6CCF">
              <w:rPr>
                <w:rFonts w:asciiTheme="minorHAnsi" w:hAnsiTheme="minorHAnsi" w:cstheme="minorHAnsi"/>
                <w:color w:val="000000" w:themeColor="text1"/>
              </w:rPr>
              <w:t xml:space="preserve"> ended per the planned 8-week outcome window and school-year schedule</w:t>
            </w:r>
            <w:r w:rsidRPr="009D6CCF">
              <w:rPr>
                <w:rFonts w:asciiTheme="minorHAnsi" w:hAnsiTheme="minorHAnsi" w:cstheme="minorHAnsi"/>
                <w:color w:val="000000" w:themeColor="text1"/>
                <w:lang w:val="en-US"/>
              </w:rPr>
              <w:t>.</w:t>
            </w:r>
          </w:p>
        </w:tc>
        <w:tc>
          <w:tcPr>
            <w:tcW w:w="4132" w:type="dxa"/>
          </w:tcPr>
          <w:p w14:paraId="07E8ED87" w14:textId="4CDF7D0B" w:rsidR="003A156C" w:rsidRPr="009D6CCF" w:rsidRDefault="00FE42B1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 12</w:t>
            </w:r>
          </w:p>
        </w:tc>
      </w:tr>
      <w:tr w:rsidR="003A156C" w:rsidRPr="00222FED" w14:paraId="02D365A9" w14:textId="0DED0640" w:rsidTr="003A156C">
        <w:tc>
          <w:tcPr>
            <w:tcW w:w="1476" w:type="dxa"/>
          </w:tcPr>
          <w:p w14:paraId="55456E4A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Baseline data</w:t>
            </w:r>
          </w:p>
        </w:tc>
        <w:tc>
          <w:tcPr>
            <w:tcW w:w="814" w:type="dxa"/>
          </w:tcPr>
          <w:p w14:paraId="63A4F2B5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4207" w:type="dxa"/>
          </w:tcPr>
          <w:p w14:paraId="4A00043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A table showing baseline demographic and clinical characteristics for each group</w:t>
            </w:r>
          </w:p>
        </w:tc>
        <w:tc>
          <w:tcPr>
            <w:tcW w:w="4759" w:type="dxa"/>
          </w:tcPr>
          <w:p w14:paraId="7DAD77A1" w14:textId="77777777" w:rsidR="003A156C" w:rsidRPr="009D6CCF" w:rsidRDefault="003A156C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Table 1 shows schools and pupils by condition and settlement category</w:t>
            </w:r>
            <w:r w:rsidRPr="009D6CCF">
              <w:rPr>
                <w:rFonts w:asciiTheme="minorHAnsi" w:hAnsiTheme="minorHAnsi" w:cstheme="minorHAnsi"/>
                <w:color w:val="000000" w:themeColor="text1"/>
                <w:lang w:val="en-US"/>
              </w:rPr>
              <w:t>.</w:t>
            </w:r>
          </w:p>
        </w:tc>
        <w:tc>
          <w:tcPr>
            <w:tcW w:w="4132" w:type="dxa"/>
          </w:tcPr>
          <w:p w14:paraId="59156D30" w14:textId="704E7352" w:rsidR="003A156C" w:rsidRPr="009D6CCF" w:rsidRDefault="004A2A7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 11</w:t>
            </w:r>
          </w:p>
        </w:tc>
      </w:tr>
      <w:tr w:rsidR="003A156C" w:rsidRPr="00222FED" w14:paraId="4A58A244" w14:textId="260A9D29" w:rsidTr="003A156C">
        <w:tc>
          <w:tcPr>
            <w:tcW w:w="1476" w:type="dxa"/>
          </w:tcPr>
          <w:p w14:paraId="02EFB5C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Numbers analysed</w:t>
            </w:r>
          </w:p>
        </w:tc>
        <w:tc>
          <w:tcPr>
            <w:tcW w:w="814" w:type="dxa"/>
          </w:tcPr>
          <w:p w14:paraId="411D3B4F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16</w:t>
            </w:r>
          </w:p>
        </w:tc>
        <w:tc>
          <w:tcPr>
            <w:tcW w:w="4207" w:type="dxa"/>
          </w:tcPr>
          <w:p w14:paraId="1979100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For each group, number of participants included in each analysis and whether the analysis was by original assigned groups</w:t>
            </w:r>
          </w:p>
        </w:tc>
        <w:tc>
          <w:tcPr>
            <w:tcW w:w="4759" w:type="dxa"/>
          </w:tcPr>
          <w:p w14:paraId="54688F91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All 872 pupils across 37 schools were analysed by original assigned condition (Results, per-condition denominators of 249/175/278/170 reported).</w:t>
            </w:r>
          </w:p>
        </w:tc>
        <w:tc>
          <w:tcPr>
            <w:tcW w:w="4132" w:type="dxa"/>
          </w:tcPr>
          <w:p w14:paraId="003BF5C1" w14:textId="44E66212" w:rsidR="003A156C" w:rsidRPr="004A2A74" w:rsidRDefault="004A2A74">
            <w:pPr>
              <w:rPr>
                <w:rFonts w:asciiTheme="minorHAnsi" w:hAnsiTheme="minorHAnsi" w:cstheme="minorHAnsi"/>
                <w:color w:val="EE0000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 11; Page 15-16</w:t>
            </w:r>
          </w:p>
        </w:tc>
      </w:tr>
      <w:tr w:rsidR="003A156C" w:rsidRPr="00222FED" w14:paraId="4B29A7CF" w14:textId="174FA802" w:rsidTr="003A156C">
        <w:tc>
          <w:tcPr>
            <w:tcW w:w="1476" w:type="dxa"/>
          </w:tcPr>
          <w:p w14:paraId="4555D67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Outcomes and estimation</w:t>
            </w:r>
          </w:p>
        </w:tc>
        <w:tc>
          <w:tcPr>
            <w:tcW w:w="814" w:type="dxa"/>
          </w:tcPr>
          <w:p w14:paraId="0911127C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17a</w:t>
            </w:r>
          </w:p>
        </w:tc>
        <w:tc>
          <w:tcPr>
            <w:tcW w:w="4207" w:type="dxa"/>
          </w:tcPr>
          <w:p w14:paraId="6EFED99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For each primary and secondary outcome, results for each group and the estimated effect size and its precision (e.g., 95% CI)</w:t>
            </w:r>
          </w:p>
        </w:tc>
        <w:tc>
          <w:tcPr>
            <w:tcW w:w="4759" w:type="dxa"/>
          </w:tcPr>
          <w:p w14:paraId="41ED6432" w14:textId="13BF5A21" w:rsidR="004A2A74" w:rsidRPr="008A1988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A1988">
              <w:rPr>
                <w:rFonts w:asciiTheme="minorHAnsi" w:hAnsiTheme="minorHAnsi" w:cstheme="minorHAnsi"/>
                <w:color w:val="000000" w:themeColor="text1"/>
              </w:rPr>
              <w:t>Reported in detail: registration rates</w:t>
            </w:r>
            <w:r w:rsidR="004A2A74" w:rsidRPr="008A1988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 and Wilson </w:t>
            </w:r>
            <w:r w:rsidR="004A2A74" w:rsidRPr="008A1988">
              <w:rPr>
                <w:rFonts w:asciiTheme="minorHAnsi" w:hAnsiTheme="minorHAnsi" w:cstheme="minorHAnsi"/>
                <w:color w:val="000000" w:themeColor="text1"/>
              </w:rPr>
              <w:t xml:space="preserve">95%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CIs by </w:t>
            </w:r>
            <w:r w:rsidR="004A2A74" w:rsidRPr="008A1988">
              <w:rPr>
                <w:rFonts w:asciiTheme="minorHAnsi" w:hAnsiTheme="minorHAnsi" w:cstheme="minorHAnsi"/>
                <w:color w:val="000000" w:themeColor="text1"/>
              </w:rPr>
              <w:t xml:space="preserve">prompting 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 xml:space="preserve">condition (Results; Figure </w:t>
            </w:r>
            <w:r w:rsidR="004A2A74" w:rsidRPr="008A1988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8A1988">
              <w:rPr>
                <w:rFonts w:asciiTheme="minorHAnsi" w:hAnsiTheme="minorHAnsi" w:cstheme="minorHAnsi"/>
                <w:color w:val="000000" w:themeColor="text1"/>
              </w:rPr>
              <w:t>), adjusted ORs with 95% CIs from the mixed-effects model (Table 2).</w:t>
            </w:r>
          </w:p>
        </w:tc>
        <w:tc>
          <w:tcPr>
            <w:tcW w:w="4132" w:type="dxa"/>
          </w:tcPr>
          <w:p w14:paraId="65ED25B9" w14:textId="59C642A0" w:rsidR="003A156C" w:rsidRPr="000F1094" w:rsidRDefault="000F1094">
            <w:pPr>
              <w:rPr>
                <w:rFonts w:asciiTheme="minorHAnsi" w:hAnsiTheme="minorHAnsi" w:cstheme="minorHAnsi"/>
                <w:color w:val="EE0000"/>
              </w:rPr>
            </w:pPr>
            <w:r w:rsidRPr="009D6CCF">
              <w:rPr>
                <w:rFonts w:asciiTheme="minorHAnsi" w:hAnsiTheme="minorHAnsi" w:cstheme="minorHAnsi"/>
                <w:color w:val="000000" w:themeColor="text1"/>
              </w:rPr>
              <w:t>Pages 15-16; Pages 16-17</w:t>
            </w:r>
          </w:p>
        </w:tc>
      </w:tr>
      <w:tr w:rsidR="003A156C" w:rsidRPr="00222FED" w14:paraId="60904B3E" w14:textId="55CD1FF9" w:rsidTr="003A156C">
        <w:tc>
          <w:tcPr>
            <w:tcW w:w="1476" w:type="dxa"/>
          </w:tcPr>
          <w:p w14:paraId="18177B48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4" w:type="dxa"/>
          </w:tcPr>
          <w:p w14:paraId="57E12CC8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17b</w:t>
            </w:r>
          </w:p>
        </w:tc>
        <w:tc>
          <w:tcPr>
            <w:tcW w:w="4207" w:type="dxa"/>
          </w:tcPr>
          <w:p w14:paraId="747FD44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For binary outcomes, presentation of both absolute and relative effect sizes is recommended</w:t>
            </w:r>
          </w:p>
        </w:tc>
        <w:tc>
          <w:tcPr>
            <w:tcW w:w="4759" w:type="dxa"/>
          </w:tcPr>
          <w:p w14:paraId="66FF05D9" w14:textId="5D630C4F" w:rsidR="003A156C" w:rsidRPr="00B56CE9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56CE9">
              <w:rPr>
                <w:rFonts w:asciiTheme="minorHAnsi" w:hAnsiTheme="minorHAnsi" w:cstheme="minorHAnsi"/>
                <w:color w:val="000000" w:themeColor="text1"/>
              </w:rPr>
              <w:t xml:space="preserve">Absolute rates (%) with Wilson </w:t>
            </w:r>
            <w:r w:rsidR="00F962D7" w:rsidRPr="00B56CE9">
              <w:rPr>
                <w:rFonts w:asciiTheme="minorHAnsi" w:hAnsiTheme="minorHAnsi" w:cstheme="minorHAnsi"/>
                <w:color w:val="000000" w:themeColor="text1"/>
              </w:rPr>
              <w:t xml:space="preserve">95% </w:t>
            </w:r>
            <w:r w:rsidRPr="00B56CE9">
              <w:rPr>
                <w:rFonts w:asciiTheme="minorHAnsi" w:hAnsiTheme="minorHAnsi" w:cstheme="minorHAnsi"/>
                <w:color w:val="000000" w:themeColor="text1"/>
              </w:rPr>
              <w:t>CIs and relative effects (ORs, and crude risk ratios in Supplementary Table S1) are both reported.</w:t>
            </w:r>
          </w:p>
        </w:tc>
        <w:tc>
          <w:tcPr>
            <w:tcW w:w="4132" w:type="dxa"/>
          </w:tcPr>
          <w:p w14:paraId="395089D8" w14:textId="180DAC40" w:rsidR="003A156C" w:rsidRPr="00B56CE9" w:rsidRDefault="000F109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56CE9">
              <w:rPr>
                <w:rFonts w:asciiTheme="minorHAnsi" w:hAnsiTheme="minorHAnsi" w:cstheme="minorHAnsi"/>
                <w:color w:val="000000" w:themeColor="text1"/>
              </w:rPr>
              <w:t>Page 15; Pages 16-17 Supplementary Table S1</w:t>
            </w:r>
            <w:r w:rsidR="00B56CE9" w:rsidRPr="00B56CE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56CE9" w:rsidRPr="00B56CE9">
              <w:rPr>
                <w:rFonts w:asciiTheme="minorHAnsi" w:hAnsiTheme="minorHAnsi" w:cstheme="minorHAnsi"/>
                <w:color w:val="000000" w:themeColor="text1"/>
              </w:rPr>
              <w:t>on Additional_files_1</w:t>
            </w:r>
          </w:p>
        </w:tc>
      </w:tr>
      <w:tr w:rsidR="003A156C" w:rsidRPr="00222FED" w14:paraId="4BC294E2" w14:textId="61C4FD02" w:rsidTr="003A156C">
        <w:tc>
          <w:tcPr>
            <w:tcW w:w="1476" w:type="dxa"/>
          </w:tcPr>
          <w:p w14:paraId="1AA37B91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Ancillary analyses</w:t>
            </w:r>
          </w:p>
        </w:tc>
        <w:tc>
          <w:tcPr>
            <w:tcW w:w="814" w:type="dxa"/>
          </w:tcPr>
          <w:p w14:paraId="0CC82EB0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18</w:t>
            </w:r>
          </w:p>
        </w:tc>
        <w:tc>
          <w:tcPr>
            <w:tcW w:w="4207" w:type="dxa"/>
          </w:tcPr>
          <w:p w14:paraId="76B3D49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4759" w:type="dxa"/>
          </w:tcPr>
          <w:p w14:paraId="6BEF05E8" w14:textId="09773241" w:rsidR="003A156C" w:rsidRPr="00B56CE9" w:rsidRDefault="00AE571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56CE9">
              <w:rPr>
                <w:rFonts w:asciiTheme="minorHAnsi" w:hAnsiTheme="minorHAnsi" w:cstheme="minorHAnsi"/>
                <w:color w:val="000000" w:themeColor="text1"/>
              </w:rPr>
              <w:t>Secondary unadjusted comparisons across prompting conditions and e</w:t>
            </w:r>
            <w:r w:rsidR="003A156C" w:rsidRPr="00B56CE9">
              <w:rPr>
                <w:rFonts w:asciiTheme="minorHAnsi" w:hAnsiTheme="minorHAnsi" w:cstheme="minorHAnsi"/>
                <w:color w:val="000000" w:themeColor="text1"/>
              </w:rPr>
              <w:t>xploratory condition</w:t>
            </w:r>
            <w:r w:rsidRPr="00B56CE9">
              <w:rPr>
                <w:rFonts w:asciiTheme="minorHAnsi" w:hAnsiTheme="minorHAnsi" w:cstheme="minorHAnsi"/>
                <w:color w:val="000000" w:themeColor="text1"/>
              </w:rPr>
              <w:t>-by-</w:t>
            </w:r>
            <w:r w:rsidR="003A156C" w:rsidRPr="00B56CE9">
              <w:rPr>
                <w:rFonts w:asciiTheme="minorHAnsi" w:hAnsiTheme="minorHAnsi" w:cstheme="minorHAnsi"/>
                <w:color w:val="000000" w:themeColor="text1"/>
              </w:rPr>
              <w:t>settlement interaction and class-size analyses are clearly labelled as exploratory throughout Results and Discussion.</w:t>
            </w:r>
          </w:p>
        </w:tc>
        <w:tc>
          <w:tcPr>
            <w:tcW w:w="4132" w:type="dxa"/>
          </w:tcPr>
          <w:p w14:paraId="5D2B11E3" w14:textId="16D0FD37" w:rsidR="003A156C" w:rsidRPr="00B56CE9" w:rsidRDefault="00AE571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56CE9">
              <w:rPr>
                <w:rFonts w:asciiTheme="minorHAnsi" w:hAnsiTheme="minorHAnsi" w:cstheme="minorHAnsi"/>
                <w:color w:val="000000" w:themeColor="text1"/>
              </w:rPr>
              <w:t>Pages 17-20, lines 353-411; Supplementary Tables S1–S3</w:t>
            </w:r>
            <w:r w:rsidR="00B56CE9" w:rsidRPr="00B56CE9">
              <w:rPr>
                <w:rFonts w:asciiTheme="minorHAnsi" w:hAnsiTheme="minorHAnsi" w:cstheme="minorHAnsi"/>
                <w:color w:val="000000" w:themeColor="text1"/>
              </w:rPr>
              <w:t xml:space="preserve"> on Additional_files_1</w:t>
            </w:r>
          </w:p>
        </w:tc>
      </w:tr>
      <w:tr w:rsidR="003A156C" w:rsidRPr="00222FED" w14:paraId="4370A137" w14:textId="585A1B56" w:rsidTr="003A156C">
        <w:tc>
          <w:tcPr>
            <w:tcW w:w="1476" w:type="dxa"/>
          </w:tcPr>
          <w:p w14:paraId="02D688D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Results: Harms</w:t>
            </w:r>
          </w:p>
        </w:tc>
        <w:tc>
          <w:tcPr>
            <w:tcW w:w="814" w:type="dxa"/>
          </w:tcPr>
          <w:p w14:paraId="7B4C07FA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19</w:t>
            </w:r>
          </w:p>
        </w:tc>
        <w:tc>
          <w:tcPr>
            <w:tcW w:w="4207" w:type="dxa"/>
          </w:tcPr>
          <w:p w14:paraId="2EDAEF4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All important harms or unintended effects in each group</w:t>
            </w:r>
          </w:p>
        </w:tc>
        <w:tc>
          <w:tcPr>
            <w:tcW w:w="4759" w:type="dxa"/>
          </w:tcPr>
          <w:p w14:paraId="201AE930" w14:textId="77777777" w:rsidR="003A156C" w:rsidRPr="00222FED" w:rsidRDefault="003A156C">
            <w:pPr>
              <w:rPr>
                <w:rFonts w:asciiTheme="minorHAnsi" w:hAnsiTheme="minorHAnsi" w:cstheme="minorHAnsi"/>
                <w:lang w:val="en-US"/>
              </w:rPr>
            </w:pPr>
            <w:r w:rsidRPr="00222FED">
              <w:rPr>
                <w:rFonts w:asciiTheme="minorHAnsi" w:hAnsiTheme="minorHAnsi" w:cstheme="minorHAnsi"/>
              </w:rPr>
              <w:t>Not applicabl</w:t>
            </w:r>
            <w:r w:rsidRPr="00222FED">
              <w:rPr>
                <w:rFonts w:asciiTheme="minorHAnsi" w:hAnsiTheme="minorHAnsi" w:cstheme="minorHAnsi"/>
                <w:lang w:val="en-US"/>
              </w:rPr>
              <w:t>e.</w:t>
            </w:r>
            <w:r w:rsidRPr="00222FED">
              <w:rPr>
                <w:rFonts w:asciiTheme="minorHAnsi" w:hAnsiTheme="minorHAnsi" w:cstheme="minorHAnsi"/>
              </w:rPr>
              <w:t xml:space="preserve"> </w:t>
            </w:r>
            <w:r w:rsidRPr="00222FED">
              <w:rPr>
                <w:rFonts w:asciiTheme="minorHAnsi" w:hAnsiTheme="minorHAnsi" w:cstheme="minorHAnsi"/>
                <w:lang w:val="en-US"/>
              </w:rPr>
              <w:t>N</w:t>
            </w:r>
            <w:r w:rsidRPr="00222FED">
              <w:rPr>
                <w:rFonts w:asciiTheme="minorHAnsi" w:hAnsiTheme="minorHAnsi" w:cstheme="minorHAnsi"/>
              </w:rPr>
              <w:t>o harms were assessed or expected</w:t>
            </w:r>
            <w:r w:rsidRPr="00222FED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4132" w:type="dxa"/>
          </w:tcPr>
          <w:p w14:paraId="13D7A556" w14:textId="41F0B31F" w:rsidR="003A156C" w:rsidRPr="00222FED" w:rsidRDefault="00D911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N/A</w:t>
            </w:r>
          </w:p>
        </w:tc>
      </w:tr>
      <w:tr w:rsidR="003A156C" w:rsidRPr="00222FED" w14:paraId="0D1AC28B" w14:textId="52EE87B8" w:rsidTr="003A156C">
        <w:tc>
          <w:tcPr>
            <w:tcW w:w="1476" w:type="dxa"/>
          </w:tcPr>
          <w:p w14:paraId="52E59F75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lastRenderedPageBreak/>
              <w:t>Discussion: Limitations</w:t>
            </w:r>
          </w:p>
        </w:tc>
        <w:tc>
          <w:tcPr>
            <w:tcW w:w="814" w:type="dxa"/>
          </w:tcPr>
          <w:p w14:paraId="4E233B99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20</w:t>
            </w:r>
          </w:p>
        </w:tc>
        <w:tc>
          <w:tcPr>
            <w:tcW w:w="4207" w:type="dxa"/>
          </w:tcPr>
          <w:p w14:paraId="38B22C3B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Trial limitations, addressing sources of potential bias, imprecision, and, if relevant, multiplicity of analyses</w:t>
            </w:r>
          </w:p>
        </w:tc>
        <w:tc>
          <w:tcPr>
            <w:tcW w:w="4759" w:type="dxa"/>
          </w:tcPr>
          <w:p w14:paraId="2657B07F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“Limitations and Future Directions” section extensively addresses self-selection/consent bias, non-random allocation and post-consent attrition, sparse condition×settlement strata, confounding in Condition 4, and settlement classification limitations.</w:t>
            </w:r>
          </w:p>
        </w:tc>
        <w:tc>
          <w:tcPr>
            <w:tcW w:w="4132" w:type="dxa"/>
          </w:tcPr>
          <w:p w14:paraId="23D96F85" w14:textId="35069358" w:rsidR="003A156C" w:rsidRPr="00222FED" w:rsidRDefault="00D911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Pages 28-29</w:t>
            </w:r>
          </w:p>
        </w:tc>
      </w:tr>
      <w:tr w:rsidR="003A156C" w:rsidRPr="00222FED" w14:paraId="21061ABA" w14:textId="6797F457" w:rsidTr="003A156C">
        <w:tc>
          <w:tcPr>
            <w:tcW w:w="1476" w:type="dxa"/>
          </w:tcPr>
          <w:p w14:paraId="56A6102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Discussion: Generalisability</w:t>
            </w:r>
          </w:p>
        </w:tc>
        <w:tc>
          <w:tcPr>
            <w:tcW w:w="814" w:type="dxa"/>
          </w:tcPr>
          <w:p w14:paraId="3BC5C6B0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21</w:t>
            </w:r>
          </w:p>
        </w:tc>
        <w:tc>
          <w:tcPr>
            <w:tcW w:w="4207" w:type="dxa"/>
          </w:tcPr>
          <w:p w14:paraId="2D641BB7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Generalisability (external validity, applicability) of the trial findings</w:t>
            </w:r>
          </w:p>
        </w:tc>
        <w:tc>
          <w:tcPr>
            <w:tcW w:w="4759" w:type="dxa"/>
          </w:tcPr>
          <w:p w14:paraId="748803C9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Discussed in “Limitations and Future Directions”: generalisability to the broader Greek kindergarten system, and caution about extrapolating beyond the national/educational context.</w:t>
            </w:r>
          </w:p>
        </w:tc>
        <w:tc>
          <w:tcPr>
            <w:tcW w:w="4132" w:type="dxa"/>
          </w:tcPr>
          <w:p w14:paraId="4B85A232" w14:textId="0C1911DA" w:rsidR="003A156C" w:rsidRPr="00222FED" w:rsidRDefault="00D911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Pages 28-29</w:t>
            </w:r>
          </w:p>
        </w:tc>
      </w:tr>
      <w:tr w:rsidR="003A156C" w:rsidRPr="00222FED" w14:paraId="0C84917C" w14:textId="60AC23EA" w:rsidTr="003A156C">
        <w:tc>
          <w:tcPr>
            <w:tcW w:w="1476" w:type="dxa"/>
          </w:tcPr>
          <w:p w14:paraId="023C09D8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Discussion: Interpretation</w:t>
            </w:r>
          </w:p>
        </w:tc>
        <w:tc>
          <w:tcPr>
            <w:tcW w:w="814" w:type="dxa"/>
          </w:tcPr>
          <w:p w14:paraId="545266C1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22</w:t>
            </w:r>
          </w:p>
        </w:tc>
        <w:tc>
          <w:tcPr>
            <w:tcW w:w="4207" w:type="dxa"/>
          </w:tcPr>
          <w:p w14:paraId="783CD84C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Interpretation consistent with results, balancing benefits and harms, and considering other relevant evidence</w:t>
            </w:r>
          </w:p>
        </w:tc>
        <w:tc>
          <w:tcPr>
            <w:tcW w:w="4759" w:type="dxa"/>
          </w:tcPr>
          <w:p w14:paraId="5142D8D0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Discussion section interprets findings via the COM-B model and behavioral-science literature, consistent with the reported effect sizes and their uncertainty.</w:t>
            </w:r>
          </w:p>
        </w:tc>
        <w:tc>
          <w:tcPr>
            <w:tcW w:w="4132" w:type="dxa"/>
          </w:tcPr>
          <w:p w14:paraId="46EABA59" w14:textId="4655B9D4" w:rsidR="003A156C" w:rsidRPr="00222FED" w:rsidRDefault="008348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Pages 25-27</w:t>
            </w:r>
          </w:p>
        </w:tc>
      </w:tr>
      <w:tr w:rsidR="003A156C" w:rsidRPr="00222FED" w14:paraId="6E2BBC49" w14:textId="35FBC937" w:rsidTr="003A156C">
        <w:tc>
          <w:tcPr>
            <w:tcW w:w="1476" w:type="dxa"/>
          </w:tcPr>
          <w:p w14:paraId="54CE076E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Other information: Registration</w:t>
            </w:r>
          </w:p>
        </w:tc>
        <w:tc>
          <w:tcPr>
            <w:tcW w:w="814" w:type="dxa"/>
          </w:tcPr>
          <w:p w14:paraId="7EFFE870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23</w:t>
            </w:r>
          </w:p>
        </w:tc>
        <w:tc>
          <w:tcPr>
            <w:tcW w:w="4207" w:type="dxa"/>
          </w:tcPr>
          <w:p w14:paraId="3A851CF4" w14:textId="77777777" w:rsidR="003A156C" w:rsidRPr="00BB00A9" w:rsidRDefault="003A156C">
            <w:pPr>
              <w:rPr>
                <w:rFonts w:asciiTheme="minorHAnsi" w:hAnsiTheme="minorHAnsi" w:cstheme="minorHAnsi"/>
              </w:rPr>
            </w:pPr>
            <w:r w:rsidRPr="00BB00A9">
              <w:rPr>
                <w:rFonts w:asciiTheme="minorHAnsi" w:hAnsiTheme="minorHAnsi" w:cstheme="minorHAnsi"/>
              </w:rPr>
              <w:t>Registration number and name of trial registry</w:t>
            </w:r>
          </w:p>
        </w:tc>
        <w:tc>
          <w:tcPr>
            <w:tcW w:w="4759" w:type="dxa"/>
          </w:tcPr>
          <w:p w14:paraId="1FB497AE" w14:textId="4DF58C02" w:rsidR="003A156C" w:rsidRPr="00BB00A9" w:rsidRDefault="00BB00A9">
            <w:pPr>
              <w:rPr>
                <w:rFonts w:asciiTheme="minorHAnsi" w:hAnsiTheme="minorHAnsi" w:cstheme="minorHAnsi"/>
                <w:highlight w:val="yellow"/>
                <w:lang w:val="en-US"/>
              </w:rPr>
            </w:pPr>
            <w:r w:rsidRPr="00BB00A9">
              <w:rPr>
                <w:rFonts w:asciiTheme="minorHAnsi" w:hAnsiTheme="minorHAnsi" w:cstheme="minorHAnsi"/>
                <w:color w:val="000000"/>
              </w:rPr>
              <w:t>NCT07745582</w:t>
            </w:r>
          </w:p>
        </w:tc>
        <w:tc>
          <w:tcPr>
            <w:tcW w:w="4132" w:type="dxa"/>
          </w:tcPr>
          <w:p w14:paraId="17631781" w14:textId="20DB6EC0" w:rsidR="003A156C" w:rsidRPr="00222FED" w:rsidRDefault="00573168">
            <w:pPr>
              <w:rPr>
                <w:rFonts w:asciiTheme="minorHAnsi" w:hAnsiTheme="minorHAnsi" w:cstheme="minorHAnsi"/>
                <w:highlight w:val="yellow"/>
                <w:lang w:val="en-US"/>
              </w:rPr>
            </w:pPr>
            <w:r w:rsidRPr="0083486C">
              <w:rPr>
                <w:rFonts w:asciiTheme="minorHAnsi" w:hAnsiTheme="minorHAnsi" w:cstheme="minorHAnsi"/>
                <w:color w:val="000000" w:themeColor="text1"/>
                <w:lang w:val="en-US"/>
              </w:rPr>
              <w:t>Page 2; Page 13</w:t>
            </w:r>
          </w:p>
        </w:tc>
      </w:tr>
      <w:tr w:rsidR="003A156C" w:rsidRPr="00222FED" w14:paraId="6538FCEE" w14:textId="4F895F24" w:rsidTr="003A156C">
        <w:tc>
          <w:tcPr>
            <w:tcW w:w="1476" w:type="dxa"/>
          </w:tcPr>
          <w:p w14:paraId="1EE320B3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Other information: Protocol</w:t>
            </w:r>
          </w:p>
        </w:tc>
        <w:tc>
          <w:tcPr>
            <w:tcW w:w="814" w:type="dxa"/>
          </w:tcPr>
          <w:p w14:paraId="0A6A4753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24</w:t>
            </w:r>
          </w:p>
        </w:tc>
        <w:tc>
          <w:tcPr>
            <w:tcW w:w="4207" w:type="dxa"/>
          </w:tcPr>
          <w:p w14:paraId="2A3EFBE4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Where the full trial protocol can be accessed, if available</w:t>
            </w:r>
          </w:p>
        </w:tc>
        <w:tc>
          <w:tcPr>
            <w:tcW w:w="4759" w:type="dxa"/>
          </w:tcPr>
          <w:p w14:paraId="4D523145" w14:textId="77777777" w:rsidR="003A156C" w:rsidRPr="00222FED" w:rsidRDefault="003A156C">
            <w:pPr>
              <w:rPr>
                <w:rFonts w:asciiTheme="minorHAnsi" w:hAnsiTheme="minorHAnsi" w:cstheme="minorHAnsi"/>
                <w:lang w:val="en-US"/>
              </w:rPr>
            </w:pPr>
            <w:r w:rsidRPr="00BB00A9">
              <w:rPr>
                <w:rFonts w:asciiTheme="minorHAnsi" w:hAnsiTheme="minorHAnsi" w:cstheme="minorHAnsi"/>
                <w:lang w:val="en-US"/>
              </w:rPr>
              <w:t>Protocol in clinical trials.gov</w:t>
            </w:r>
          </w:p>
        </w:tc>
        <w:tc>
          <w:tcPr>
            <w:tcW w:w="4132" w:type="dxa"/>
          </w:tcPr>
          <w:p w14:paraId="6413D985" w14:textId="71438642" w:rsidR="003A156C" w:rsidRPr="00222FED" w:rsidRDefault="00573168">
            <w:pPr>
              <w:rPr>
                <w:rFonts w:asciiTheme="minorHAnsi" w:hAnsiTheme="minorHAnsi" w:cstheme="minorHAnsi"/>
                <w:highlight w:val="yellow"/>
                <w:lang w:val="en-US"/>
              </w:rPr>
            </w:pPr>
            <w:r w:rsidRPr="00573168">
              <w:rPr>
                <w:rFonts w:asciiTheme="minorHAnsi" w:hAnsiTheme="minorHAnsi" w:cstheme="minorHAnsi"/>
                <w:color w:val="EE0000"/>
                <w:lang w:val="en-US"/>
              </w:rPr>
              <w:t>-</w:t>
            </w:r>
          </w:p>
        </w:tc>
      </w:tr>
      <w:tr w:rsidR="003A156C" w:rsidRPr="00222FED" w14:paraId="3C13FF01" w14:textId="688C9D4E" w:rsidTr="003A156C">
        <w:tc>
          <w:tcPr>
            <w:tcW w:w="1476" w:type="dxa"/>
          </w:tcPr>
          <w:p w14:paraId="564C20A2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Other information: Funding</w:t>
            </w:r>
          </w:p>
        </w:tc>
        <w:tc>
          <w:tcPr>
            <w:tcW w:w="814" w:type="dxa"/>
          </w:tcPr>
          <w:p w14:paraId="418CCF74" w14:textId="77777777" w:rsidR="003A156C" w:rsidRPr="00222FED" w:rsidRDefault="003A156C">
            <w:pPr>
              <w:jc w:val="center"/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  <w:b/>
                <w:bCs/>
              </w:rPr>
              <w:t>25</w:t>
            </w:r>
          </w:p>
        </w:tc>
        <w:tc>
          <w:tcPr>
            <w:tcW w:w="4207" w:type="dxa"/>
          </w:tcPr>
          <w:p w14:paraId="51FF5E7F" w14:textId="77777777" w:rsidR="003A156C" w:rsidRPr="00222FED" w:rsidRDefault="003A156C">
            <w:pPr>
              <w:rPr>
                <w:rFonts w:asciiTheme="minorHAnsi" w:hAnsiTheme="minorHAnsi" w:cstheme="minorHAnsi"/>
              </w:rPr>
            </w:pPr>
            <w:r w:rsidRPr="00222FED">
              <w:rPr>
                <w:rFonts w:asciiTheme="minorHAnsi" w:hAnsiTheme="minorHAnsi" w:cstheme="minorHAnsi"/>
              </w:rPr>
              <w:t>Sources of funding and other support, and the role of funders</w:t>
            </w:r>
          </w:p>
        </w:tc>
        <w:tc>
          <w:tcPr>
            <w:tcW w:w="4759" w:type="dxa"/>
          </w:tcPr>
          <w:p w14:paraId="4CD9014F" w14:textId="77777777" w:rsidR="003A156C" w:rsidRPr="00BB1404" w:rsidRDefault="003A1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B1404">
              <w:rPr>
                <w:rFonts w:asciiTheme="minorHAnsi" w:hAnsiTheme="minorHAnsi" w:cstheme="minorHAnsi"/>
                <w:color w:val="000000" w:themeColor="text1"/>
              </w:rPr>
              <w:t>“Funding” declaration: supported by Boehringer Ingelheim and Angels Initiative (Grant No. 695751, 2023); funder had no role in design, conduct, analysis, or reporting.</w:t>
            </w:r>
          </w:p>
        </w:tc>
        <w:tc>
          <w:tcPr>
            <w:tcW w:w="4132" w:type="dxa"/>
          </w:tcPr>
          <w:p w14:paraId="757B98F1" w14:textId="35CF06A8" w:rsidR="003A156C" w:rsidRPr="00BB1404" w:rsidRDefault="00FE42B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B1404">
              <w:rPr>
                <w:rFonts w:asciiTheme="minorHAnsi" w:hAnsiTheme="minorHAnsi" w:cstheme="minorHAnsi"/>
                <w:color w:val="000000" w:themeColor="text1"/>
              </w:rPr>
              <w:t>Page 32</w:t>
            </w:r>
          </w:p>
        </w:tc>
      </w:tr>
    </w:tbl>
    <w:p w14:paraId="662A91E4" w14:textId="77777777" w:rsidR="00502C50" w:rsidRPr="00222FED" w:rsidRDefault="00502C50">
      <w:pPr>
        <w:spacing w:before="200"/>
        <w:rPr>
          <w:rFonts w:asciiTheme="minorHAnsi" w:hAnsiTheme="minorHAnsi" w:cstheme="minorHAnsi"/>
        </w:rPr>
      </w:pPr>
    </w:p>
    <w:p w14:paraId="0A2BD171" w14:textId="77777777" w:rsidR="00502C50" w:rsidRPr="00273763" w:rsidRDefault="00000000">
      <w:pPr>
        <w:rPr>
          <w:rFonts w:asciiTheme="minorHAnsi" w:hAnsiTheme="minorHAnsi" w:cstheme="minorHAnsi"/>
        </w:rPr>
      </w:pPr>
      <w:r w:rsidRPr="00222FED">
        <w:rPr>
          <w:rFonts w:asciiTheme="minorHAnsi" w:hAnsiTheme="minorHAnsi" w:cstheme="minorHAnsi"/>
          <w:b/>
          <w:bCs/>
        </w:rPr>
        <w:t xml:space="preserve">Source: </w:t>
      </w:r>
      <w:r w:rsidRPr="00222FED">
        <w:rPr>
          <w:rFonts w:asciiTheme="minorHAnsi" w:hAnsiTheme="minorHAnsi" w:cstheme="minorHAnsi"/>
        </w:rPr>
        <w:t>Schulz KF, Altman DG, Moher</w:t>
      </w:r>
      <w:r w:rsidRPr="00273763">
        <w:rPr>
          <w:rFonts w:asciiTheme="minorHAnsi" w:hAnsiTheme="minorHAnsi" w:cstheme="minorHAnsi"/>
        </w:rPr>
        <w:t xml:space="preserve"> D, for the CONSORT Group. CONSORT 2010 Statement: updated guidelines for reporting parallel group randomised trials. BMC Medicine. 2010;8:18.</w:t>
      </w:r>
    </w:p>
    <w:sectPr w:rsidR="00502C50" w:rsidRPr="00273763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86ADE"/>
    <w:multiLevelType w:val="hybridMultilevel"/>
    <w:tmpl w:val="17625A3A"/>
    <w:lvl w:ilvl="0" w:tplc="ECBA63EE">
      <w:start w:val="1"/>
      <w:numFmt w:val="bullet"/>
      <w:lvlText w:val="●"/>
      <w:lvlJc w:val="left"/>
      <w:pPr>
        <w:ind w:left="720" w:hanging="360"/>
      </w:pPr>
    </w:lvl>
    <w:lvl w:ilvl="1" w:tplc="F8601226">
      <w:start w:val="1"/>
      <w:numFmt w:val="bullet"/>
      <w:lvlText w:val="○"/>
      <w:lvlJc w:val="left"/>
      <w:pPr>
        <w:ind w:left="1440" w:hanging="360"/>
      </w:pPr>
    </w:lvl>
    <w:lvl w:ilvl="2" w:tplc="9800A3E2">
      <w:start w:val="1"/>
      <w:numFmt w:val="bullet"/>
      <w:lvlText w:val="■"/>
      <w:lvlJc w:val="left"/>
      <w:pPr>
        <w:ind w:left="2160" w:hanging="360"/>
      </w:pPr>
    </w:lvl>
    <w:lvl w:ilvl="3" w:tplc="BA6C42D6">
      <w:start w:val="1"/>
      <w:numFmt w:val="bullet"/>
      <w:lvlText w:val="●"/>
      <w:lvlJc w:val="left"/>
      <w:pPr>
        <w:ind w:left="2880" w:hanging="360"/>
      </w:pPr>
    </w:lvl>
    <w:lvl w:ilvl="4" w:tplc="60262AAA">
      <w:start w:val="1"/>
      <w:numFmt w:val="bullet"/>
      <w:lvlText w:val="○"/>
      <w:lvlJc w:val="left"/>
      <w:pPr>
        <w:ind w:left="3600" w:hanging="360"/>
      </w:pPr>
    </w:lvl>
    <w:lvl w:ilvl="5" w:tplc="2BCE0A70">
      <w:start w:val="1"/>
      <w:numFmt w:val="bullet"/>
      <w:lvlText w:val="■"/>
      <w:lvlJc w:val="left"/>
      <w:pPr>
        <w:ind w:left="4320" w:hanging="360"/>
      </w:pPr>
    </w:lvl>
    <w:lvl w:ilvl="6" w:tplc="B0E0FCF6">
      <w:start w:val="1"/>
      <w:numFmt w:val="bullet"/>
      <w:lvlText w:val="●"/>
      <w:lvlJc w:val="left"/>
      <w:pPr>
        <w:ind w:left="5040" w:hanging="360"/>
      </w:pPr>
    </w:lvl>
    <w:lvl w:ilvl="7" w:tplc="FD7870AE">
      <w:start w:val="1"/>
      <w:numFmt w:val="bullet"/>
      <w:lvlText w:val="●"/>
      <w:lvlJc w:val="left"/>
      <w:pPr>
        <w:ind w:left="5760" w:hanging="360"/>
      </w:pPr>
    </w:lvl>
    <w:lvl w:ilvl="8" w:tplc="59740B9E">
      <w:start w:val="1"/>
      <w:numFmt w:val="bullet"/>
      <w:lvlText w:val="●"/>
      <w:lvlJc w:val="left"/>
      <w:pPr>
        <w:ind w:left="6480" w:hanging="360"/>
      </w:pPr>
    </w:lvl>
  </w:abstractNum>
  <w:num w:numId="1" w16cid:durableId="4687150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50"/>
    <w:rsid w:val="000928CB"/>
    <w:rsid w:val="000C2CD8"/>
    <w:rsid w:val="000F1094"/>
    <w:rsid w:val="00156A9C"/>
    <w:rsid w:val="00222FED"/>
    <w:rsid w:val="00273763"/>
    <w:rsid w:val="002D05D6"/>
    <w:rsid w:val="002F69FB"/>
    <w:rsid w:val="003210B1"/>
    <w:rsid w:val="003A156C"/>
    <w:rsid w:val="004A2A74"/>
    <w:rsid w:val="00502C50"/>
    <w:rsid w:val="005052F9"/>
    <w:rsid w:val="005270C3"/>
    <w:rsid w:val="00533737"/>
    <w:rsid w:val="005562B2"/>
    <w:rsid w:val="00573168"/>
    <w:rsid w:val="00626FD3"/>
    <w:rsid w:val="006B6294"/>
    <w:rsid w:val="00736FE8"/>
    <w:rsid w:val="0083486C"/>
    <w:rsid w:val="00895738"/>
    <w:rsid w:val="008A1988"/>
    <w:rsid w:val="008A2BFC"/>
    <w:rsid w:val="009118D3"/>
    <w:rsid w:val="009262BB"/>
    <w:rsid w:val="00943FCA"/>
    <w:rsid w:val="00951D27"/>
    <w:rsid w:val="0096343C"/>
    <w:rsid w:val="009D6CCF"/>
    <w:rsid w:val="009E534C"/>
    <w:rsid w:val="00A83A1F"/>
    <w:rsid w:val="00AB4D8A"/>
    <w:rsid w:val="00AE5714"/>
    <w:rsid w:val="00AE5B95"/>
    <w:rsid w:val="00B30CDD"/>
    <w:rsid w:val="00B56CE9"/>
    <w:rsid w:val="00B9633A"/>
    <w:rsid w:val="00BA42DC"/>
    <w:rsid w:val="00BB00A9"/>
    <w:rsid w:val="00BB1404"/>
    <w:rsid w:val="00BE37FB"/>
    <w:rsid w:val="00C42978"/>
    <w:rsid w:val="00CC248F"/>
    <w:rsid w:val="00D15AEF"/>
    <w:rsid w:val="00D25F4A"/>
    <w:rsid w:val="00D911EB"/>
    <w:rsid w:val="00DF4042"/>
    <w:rsid w:val="00E01391"/>
    <w:rsid w:val="00E366B8"/>
    <w:rsid w:val="00E5138C"/>
    <w:rsid w:val="00E942ED"/>
    <w:rsid w:val="00F3116B"/>
    <w:rsid w:val="00F91954"/>
    <w:rsid w:val="00F962D7"/>
    <w:rsid w:val="00FD05F9"/>
    <w:rsid w:val="00FE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0DCC3"/>
  <w15:docId w15:val="{9A3A2166-8E10-CE4C-8F78-276A7BA3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Maria Baskini</cp:lastModifiedBy>
  <cp:revision>2</cp:revision>
  <dcterms:created xsi:type="dcterms:W3CDTF">2026-08-04T07:01:00Z</dcterms:created>
  <dcterms:modified xsi:type="dcterms:W3CDTF">2026-08-04T07:01:00Z</dcterms:modified>
</cp:coreProperties>
</file>