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79253">
      <w:pPr>
        <w:pStyle w:val="6"/>
        <w:spacing w:line="360" w:lineRule="auto"/>
        <w:ind w:left="0" w:leftChars="0" w:firstLine="0" w:firstLineChars="0"/>
        <w:jc w:val="center"/>
        <w:rPr>
          <w:rFonts w:hint="default" w:cs="Times New Roman"/>
          <w:b/>
          <w:bCs/>
          <w:kern w:val="0"/>
          <w:sz w:val="28"/>
          <w:szCs w:val="28"/>
          <w:lang w:val="en-US" w:eastAsia="zh-CN" w:bidi="ar-SA"/>
        </w:rPr>
      </w:pPr>
      <w:r>
        <w:rPr>
          <w:rFonts w:hint="eastAsia" w:cs="Times New Roman"/>
          <w:b/>
          <w:bCs/>
          <w:kern w:val="0"/>
          <w:sz w:val="28"/>
          <w:szCs w:val="28"/>
          <w:lang w:val="en-US" w:eastAsia="zh-CN" w:bidi="ar-SA"/>
        </w:rPr>
        <w:t>Supplementary Materials</w:t>
      </w:r>
    </w:p>
    <w:p w14:paraId="2982A608">
      <w:pPr>
        <w:pStyle w:val="6"/>
        <w:spacing w:line="360" w:lineRule="auto"/>
        <w:ind w:left="0" w:leftChars="0" w:firstLine="0" w:firstLineChars="0"/>
        <w:jc w:val="both"/>
        <w:rPr>
          <w:rFonts w:hint="eastAsia" w:cs="Times New Roman"/>
          <w:b/>
          <w:bCs/>
          <w:kern w:val="0"/>
          <w:sz w:val="24"/>
          <w:szCs w:val="24"/>
          <w:lang w:val="en-US" w:eastAsia="zh-CN" w:bidi="ar-SA"/>
        </w:rPr>
      </w:pPr>
      <w:r>
        <w:rPr>
          <w:rFonts w:hint="eastAsia" w:cs="Times New Roman"/>
          <w:b/>
          <w:bCs/>
          <w:kern w:val="0"/>
          <w:sz w:val="24"/>
          <w:szCs w:val="24"/>
          <w:lang w:val="en-US" w:eastAsia="zh-CN" w:bidi="ar-SA"/>
        </w:rPr>
        <w:t>Development of the AI model</w:t>
      </w:r>
    </w:p>
    <w:p w14:paraId="1480E066">
      <w:pPr>
        <w:pStyle w:val="6"/>
        <w:jc w:val="both"/>
        <w:rPr>
          <w:szCs w:val="24"/>
        </w:rPr>
      </w:pPr>
      <w:r>
        <w:rPr>
          <w:szCs w:val="24"/>
        </w:rPr>
        <w:t xml:space="preserve">Unlike the conventional one-step mapping adopted by CycleGAN, we formulate the translation from white-light imaging (WLI) to virtual indigo carmine chromoendoscopy (ICC) as a structure-guided progressive evolution process, in which the image is incrementally transformed toward the target chromoendoscopic domain while preserving critical anatomical structures, including glandular architecture, vascular topology, and lesion boundaries. </w:t>
      </w:r>
      <w:r>
        <w:rPr>
          <w:rFonts w:hint="eastAsia"/>
          <w:szCs w:val="24"/>
        </w:rPr>
        <w:t xml:space="preserve">Specifically, given an input image </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∈X</m:t>
        </m:r>
      </m:oMath>
      <w:r>
        <w:rPr>
          <w:rFonts w:hint="eastAsia"/>
          <w:szCs w:val="24"/>
        </w:rPr>
        <w:t xml:space="preserve">, a </w:t>
      </w:r>
      <w:r>
        <w:t>discrete evolution trajectory</w:t>
      </w:r>
      <w:r>
        <w:rPr>
          <w:rFonts w:hint="eastAsia"/>
          <w:szCs w:val="24"/>
        </w:rPr>
        <w:t xml:space="preserve"> </w:t>
      </w:r>
      <m:oMath>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sSubSup>
          <m:sSubSupPr>
            <m:ctrlPr>
              <w:rPr>
                <w:rFonts w:ascii="Cambria Math" w:hAnsi="Cambria Math"/>
              </w:rPr>
            </m:ctrlPr>
          </m:sSubSupPr>
          <m:e>
            <m:r>
              <m:rPr/>
              <w:rPr>
                <w:rFonts w:ascii="Cambria Math" w:hAnsi="Cambria Math"/>
              </w:rPr>
              <m:t>}</m:t>
            </m:r>
            <m:ctrlPr>
              <w:rPr>
                <w:rFonts w:ascii="Cambria Math" w:hAnsi="Cambria Math"/>
              </w:rPr>
            </m:ctrlPr>
          </m:e>
          <m:sub>
            <m:r>
              <m:rPr/>
              <w:rPr>
                <w:rFonts w:ascii="Cambria Math" w:hAnsi="Cambria Math"/>
              </w:rPr>
              <m:t>t=0</m:t>
            </m:r>
            <m:ctrlPr>
              <w:rPr>
                <w:rFonts w:ascii="Cambria Math" w:hAnsi="Cambria Math"/>
              </w:rPr>
            </m:ctrlPr>
          </m:sub>
          <m:sup>
            <m:r>
              <m:rPr/>
              <w:rPr>
                <w:rFonts w:ascii="Cambria Math" w:hAnsi="Cambria Math"/>
              </w:rPr>
              <m:t>T</m:t>
            </m:r>
            <m:ctrlPr>
              <w:rPr>
                <w:rFonts w:ascii="Cambria Math" w:hAnsi="Cambria Math"/>
              </w:rPr>
            </m:ctrlPr>
          </m:sup>
        </m:sSubSup>
      </m:oMath>
      <w:r>
        <w:rPr>
          <w:rFonts w:hint="eastAsia"/>
          <w:szCs w:val="24"/>
        </w:rPr>
        <w:t xml:space="preserve"> is constructed, with the update process defined as:</w:t>
      </w:r>
    </w:p>
    <w:p w14:paraId="7BB71DAF">
      <w:pPr>
        <w:pStyle w:val="6"/>
        <w:jc w:val="both"/>
        <w:rPr>
          <w:szCs w:val="24"/>
        </w:rPr>
      </w:pPr>
      <m:oMathPara>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G</m:t>
              </m:r>
              <m:ctrlPr>
                <w:rPr>
                  <w:rFonts w:ascii="Cambria Math" w:hAnsi="Cambria Math"/>
                </w:rPr>
              </m:ctrlPr>
            </m:e>
            <m:sub>
              <m:r>
                <m:rPr/>
                <w:rPr>
                  <w:rFonts w:ascii="Cambria Math" w:hAnsi="Cambria Math"/>
                </w:rPr>
                <m:t>xy</m:t>
              </m:r>
              <m:ctrlPr>
                <w:rPr>
                  <w:rFonts w:ascii="Cambria Math" w:hAnsi="Cambria Math"/>
                </w:rPr>
              </m:ctrlPr>
            </m:sub>
          </m:sSub>
          <m:d>
            <m:dPr>
              <m:ctrlPr>
                <w:rPr>
                  <w:rFonts w:ascii="Cambria Math" w:hAnsi="Cambria Math"/>
                  <w:i/>
                </w:rPr>
              </m:ctrlPr>
            </m:dPr>
            <m:e>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r>
                <m:rPr/>
                <w:rPr>
                  <w:rFonts w:ascii="Cambria Math" w:hAnsi="Cambria Math"/>
                </w:rPr>
                <m:t>,C</m:t>
              </m:r>
              <m:d>
                <m:dPr>
                  <m:ctrlPr>
                    <w:rPr>
                      <w:rFonts w:ascii="Cambria Math" w:hAnsi="Cambria Math"/>
                      <w:i/>
                    </w:rPr>
                  </m:ctrlPr>
                </m:dPr>
                <m:e>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ctrlPr>
                    <w:rPr>
                      <w:rFonts w:ascii="Cambria Math" w:hAnsi="Cambria Math"/>
                    </w:rPr>
                  </m:ctrlPr>
                </m:e>
              </m:d>
              <m:r>
                <m:rPr/>
                <w:rPr>
                  <w:rFonts w:ascii="Cambria Math" w:hAnsi="Cambria Math"/>
                </w:rPr>
                <m:t>,t</m:t>
              </m:r>
              <m:ctrlPr>
                <w:rPr>
                  <w:rFonts w:ascii="Cambria Math" w:hAnsi="Cambria Math"/>
                  <w:i/>
                </w:rPr>
              </m:ctrlPr>
            </m:e>
          </m:d>
          <m:r>
            <m:rPr/>
            <w:rPr>
              <w:rFonts w:ascii="Cambria Math" w:hAnsi="Cambria Math"/>
            </w:rPr>
            <m:t>, t=0,…,T−1</m:t>
          </m:r>
        </m:oMath>
      </m:oMathPara>
    </w:p>
    <w:p w14:paraId="7C91D39C">
      <w:pPr>
        <w:pStyle w:val="6"/>
        <w:jc w:val="both"/>
        <w:rPr>
          <w:rFonts w:hint="eastAsia"/>
          <w:szCs w:val="24"/>
        </w:rPr>
      </w:pPr>
      <w:r>
        <w:rPr>
          <w:rFonts w:hint="eastAsia"/>
          <w:szCs w:val="24"/>
        </w:rPr>
        <w:t xml:space="preserve">where </w:t>
      </w:r>
      <m:oMath>
        <m:r>
          <m:rPr/>
          <w:rPr>
            <w:rFonts w:ascii="Cambria Math" w:hAnsi="Cambria Math"/>
          </w:rPr>
          <m:t>C</m:t>
        </m:r>
        <m:d>
          <m:dPr>
            <m:ctrlPr>
              <w:rPr>
                <w:rFonts w:ascii="Cambria Math" w:hAnsi="Cambria Math"/>
                <w:i/>
              </w:rPr>
            </m:ctrlPr>
          </m:dPr>
          <m:e>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ctrlPr>
              <w:rPr>
                <w:rFonts w:ascii="Cambria Math" w:hAnsi="Cambria Math"/>
              </w:rPr>
            </m:ctrlPr>
          </m:e>
        </m:d>
      </m:oMath>
      <w:r>
        <w:rPr>
          <w:rFonts w:hint="eastAsia"/>
          <w:szCs w:val="24"/>
        </w:rPr>
        <w:t xml:space="preserve"> denotes the structural prior, and </w:t>
      </w:r>
      <m:oMath>
        <m:sSub>
          <m:sSubPr>
            <m:ctrlPr>
              <w:rPr>
                <w:rFonts w:ascii="Cambria Math" w:hAnsi="Cambria Math"/>
              </w:rPr>
            </m:ctrlPr>
          </m:sSubPr>
          <m:e>
            <m:r>
              <m:rPr/>
              <w:rPr>
                <w:rFonts w:ascii="Cambria Math" w:hAnsi="Cambria Math"/>
              </w:rPr>
              <m:t>G</m:t>
            </m:r>
            <m:ctrlPr>
              <w:rPr>
                <w:rFonts w:ascii="Cambria Math" w:hAnsi="Cambria Math"/>
              </w:rPr>
            </m:ctrlPr>
          </m:e>
          <m:sub>
            <m:r>
              <m:rPr/>
              <w:rPr>
                <w:rFonts w:ascii="Cambria Math" w:hAnsi="Cambria Math"/>
              </w:rPr>
              <m:t>xy</m:t>
            </m:r>
            <m:ctrlPr>
              <w:rPr>
                <w:rFonts w:ascii="Cambria Math" w:hAnsi="Cambria Math"/>
              </w:rPr>
            </m:ctrlPr>
          </m:sub>
        </m:sSub>
      </m:oMath>
      <w:r>
        <w:rPr>
          <w:rFonts w:hint="eastAsia"/>
          <w:szCs w:val="24"/>
        </w:rPr>
        <w:t xml:space="preserve"> is the shared generator, with the final output given by </w:t>
      </w:r>
      <m:oMath>
        <m:acc>
          <m:accPr>
            <m:ctrlPr>
              <w:rPr>
                <w:rFonts w:ascii="Cambria Math" w:hAnsi="Cambria Math"/>
              </w:rPr>
            </m:ctrlPr>
          </m:accPr>
          <m:e>
            <m:r>
              <m:rPr/>
              <w:rPr>
                <w:rFonts w:ascii="Cambria Math" w:hAnsi="Cambria Math"/>
              </w:rPr>
              <m:t>y</m:t>
            </m:r>
            <m:ctrlPr>
              <w:rPr>
                <w:rFonts w:ascii="Cambria Math" w:hAnsi="Cambria Math"/>
              </w:rPr>
            </m:ctrlPr>
          </m:e>
        </m:acc>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T</m:t>
            </m:r>
            <m:ctrlPr>
              <w:rPr>
                <w:rFonts w:ascii="Cambria Math" w:hAnsi="Cambria Math"/>
              </w:rPr>
            </m:ctrlPr>
          </m:sub>
        </m:sSub>
      </m:oMath>
      <w:r>
        <w:rPr>
          <w:rFonts w:hint="eastAsia" w:hAnsi="Cambria Math"/>
        </w:rPr>
        <w:t>.</w:t>
      </w:r>
      <w:r>
        <w:rPr>
          <w:rFonts w:hint="eastAsia"/>
          <w:szCs w:val="24"/>
        </w:rPr>
        <w:t xml:space="preserve"> This process can be interpreted as executing a structurally constrained progressive style evolution path in the image space, whereby </w:t>
      </w:r>
      <w:r>
        <w:t xml:space="preserve">stain-related appearance, texture, and contrast are progressively introduced while preserving the underlying anatomical structures. </w:t>
      </w:r>
      <w:r>
        <w:rPr>
          <w:rFonts w:hint="eastAsia"/>
          <w:szCs w:val="24"/>
        </w:rPr>
        <w:t xml:space="preserve">To </w:t>
      </w:r>
      <w:r>
        <w:rPr>
          <w:szCs w:val="24"/>
        </w:rPr>
        <w:t>enforce</w:t>
      </w:r>
      <w:r>
        <w:rPr>
          <w:rFonts w:hint="eastAsia"/>
          <w:szCs w:val="24"/>
        </w:rPr>
        <w:t xml:space="preserve"> cross-domain consistency, a</w:t>
      </w:r>
      <w:r>
        <w:rPr>
          <w:szCs w:val="24"/>
        </w:rPr>
        <w:t>n inverse mapping</w:t>
      </w:r>
      <w:r>
        <w:rPr>
          <w:rFonts w:hint="eastAsia"/>
          <w:szCs w:val="24"/>
        </w:rPr>
        <w:t xml:space="preserve"> path </w:t>
      </w:r>
      <m:oMath>
        <m:sSub>
          <m:sSubPr>
            <m:ctrlPr>
              <w:rPr>
                <w:rFonts w:ascii="Cambria Math" w:hAnsi="Cambria Math"/>
              </w:rPr>
            </m:ctrlPr>
          </m:sSubPr>
          <m:e>
            <m:r>
              <m:rPr/>
              <w:rPr>
                <w:rFonts w:ascii="Cambria Math" w:hAnsi="Cambria Math"/>
              </w:rPr>
              <m:t>G</m:t>
            </m:r>
            <m:ctrlPr>
              <w:rPr>
                <w:rFonts w:ascii="Cambria Math" w:hAnsi="Cambria Math"/>
              </w:rPr>
            </m:ctrlPr>
          </m:e>
          <m:sub>
            <m:r>
              <m:rPr/>
              <w:rPr>
                <w:rFonts w:ascii="Cambria Math" w:hAnsi="Cambria Math"/>
              </w:rPr>
              <m:t>xy</m:t>
            </m:r>
            <m:ctrlPr>
              <w:rPr>
                <w:rFonts w:ascii="Cambria Math" w:hAnsi="Cambria Math"/>
              </w:rPr>
            </m:ctrlPr>
          </m:sub>
        </m:sSub>
      </m:oMath>
      <w:r>
        <w:rPr>
          <w:rFonts w:hint="eastAsia"/>
          <w:szCs w:val="24"/>
        </w:rPr>
        <w:t xml:space="preserve"> </w:t>
      </w:r>
      <w:r>
        <w:t>simultaneously learned, forming a cycle-consistent translation framework.</w:t>
      </w:r>
    </w:p>
    <w:p w14:paraId="19BD8A3E">
      <w:pPr>
        <w:pStyle w:val="6"/>
        <w:jc w:val="both"/>
      </w:pPr>
      <w:r>
        <w:t>The proposed model comprises two complementary modules</w:t>
      </w:r>
      <w:r>
        <w:rPr>
          <w:rFonts w:hint="eastAsia"/>
          <w:lang w:val="en-US" w:eastAsia="zh-CN"/>
        </w:rPr>
        <w:t xml:space="preserve"> (Figure S1)</w:t>
      </w:r>
      <w:r>
        <w:t>. The first is a structure-aware encoding module that models tissue morphological invariance and enforces structural fidelity throughout the style translation process. The second is a progressive residual staining module that progressively enhances stain-related tissue contrast to emulate the gradual appearance changes observed during real staining, thereby producing visually more natural and structurally more consistent results.</w:t>
      </w:r>
    </w:p>
    <w:p w14:paraId="5911DD72">
      <w:pPr>
        <w:pStyle w:val="6"/>
        <w:spacing w:line="360" w:lineRule="auto"/>
        <w:ind w:left="0" w:leftChars="0" w:firstLine="0" w:firstLineChars="0"/>
        <w:jc w:val="both"/>
        <w:rPr>
          <w:rFonts w:hint="eastAsia" w:cs="Times New Roman"/>
          <w:kern w:val="0"/>
          <w:sz w:val="24"/>
          <w:szCs w:val="24"/>
          <w:lang w:val="en-US" w:eastAsia="zh-CN" w:bidi="ar-SA"/>
        </w:rPr>
      </w:pPr>
      <w:r>
        <w:rPr>
          <w:rFonts w:hint="eastAsia"/>
          <w:szCs w:val="24"/>
        </w:rPr>
        <w:drawing>
          <wp:inline distT="0" distB="0" distL="0" distR="0">
            <wp:extent cx="5274310" cy="3194050"/>
            <wp:effectExtent l="0" t="0" r="139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194050"/>
                    </a:xfrm>
                    <a:prstGeom prst="rect">
                      <a:avLst/>
                    </a:prstGeom>
                  </pic:spPr>
                </pic:pic>
              </a:graphicData>
            </a:graphic>
          </wp:inline>
        </w:drawing>
      </w:r>
    </w:p>
    <w:p w14:paraId="7D1D39D9">
      <w:pPr>
        <w:pStyle w:val="6"/>
        <w:spacing w:line="360" w:lineRule="auto"/>
        <w:ind w:left="0" w:leftChars="0" w:firstLine="0" w:firstLineChars="0"/>
        <w:jc w:val="center"/>
        <w:rPr>
          <w:rFonts w:hint="eastAsia" w:cs="Times New Roman"/>
          <w:b/>
          <w:bCs/>
          <w:kern w:val="0"/>
          <w:sz w:val="24"/>
          <w:szCs w:val="24"/>
          <w:highlight w:val="none"/>
          <w:lang w:val="en-US" w:eastAsia="zh-CN" w:bidi="ar-SA"/>
        </w:rPr>
      </w:pPr>
      <w:r>
        <w:rPr>
          <w:rFonts w:hint="eastAsia" w:cs="Times New Roman"/>
          <w:b/>
          <w:bCs/>
          <w:kern w:val="0"/>
          <w:sz w:val="24"/>
          <w:szCs w:val="24"/>
          <w:highlight w:val="none"/>
          <w:lang w:val="en-US" w:eastAsia="zh-CN" w:bidi="ar-SA"/>
        </w:rPr>
        <w:t>Figure S1. Architecture of the structure-guided multi-step generation model</w:t>
      </w:r>
    </w:p>
    <w:p w14:paraId="5FFBF5B2">
      <w:pPr>
        <w:pStyle w:val="6"/>
        <w:spacing w:line="360" w:lineRule="auto"/>
        <w:ind w:left="0" w:leftChars="0" w:firstLine="0" w:firstLineChars="0"/>
        <w:jc w:val="center"/>
        <w:rPr>
          <w:rFonts w:hint="eastAsia" w:cs="Times New Roman"/>
          <w:b/>
          <w:bCs/>
          <w:kern w:val="0"/>
          <w:sz w:val="24"/>
          <w:szCs w:val="24"/>
          <w:highlight w:val="none"/>
          <w:lang w:val="en-US" w:eastAsia="zh-CN" w:bidi="ar-SA"/>
        </w:rPr>
      </w:pPr>
    </w:p>
    <w:p w14:paraId="6867B6D0">
      <w:pPr>
        <w:pStyle w:val="6"/>
        <w:spacing w:line="360" w:lineRule="auto"/>
        <w:ind w:left="0" w:leftChars="0" w:firstLine="480" w:firstLineChars="200"/>
        <w:jc w:val="both"/>
        <w:rPr>
          <w:rFonts w:hint="eastAsia" w:cs="Times New Roman"/>
          <w:kern w:val="0"/>
          <w:sz w:val="24"/>
          <w:szCs w:val="24"/>
          <w:lang w:val="en-US" w:eastAsia="zh-CN" w:bidi="ar-SA"/>
        </w:rPr>
      </w:pPr>
      <w:r>
        <w:rPr>
          <w:rFonts w:hint="eastAsia" w:cs="Times New Roman"/>
          <w:kern w:val="0"/>
          <w:sz w:val="24"/>
          <w:szCs w:val="24"/>
          <w:lang w:val="en-US" w:eastAsia="zh-CN" w:bidi="ar-SA"/>
        </w:rPr>
        <w:t>All experiments were conducted on a single NVIDIA RTX 4090 GPU. The network was trained with the Adam optimizer at an initial learning rate of 2×10−4, linearly decayed to zero during training. All input images were uniformly resized to 256×256 pixels and normalized to the range [−1, 1]. The batch size was 2, and training ran for 400 epochs. For the multi-step generation process, we set T=5 to enable progressive mapping from WLI to virtual ICC images.</w:t>
      </w:r>
    </w:p>
    <w:p w14:paraId="5908F24A">
      <w:pPr>
        <w:jc w:val="both"/>
        <w:rPr>
          <w:rFonts w:hint="default" w:ascii="Times New Roman" w:hAnsi="Times New Roman" w:cs="Times New Roman"/>
          <w:b/>
          <w:bCs/>
          <w:sz w:val="24"/>
          <w:szCs w:val="24"/>
          <w:lang w:val="en-US" w:eastAsia="zh-CN"/>
        </w:rPr>
      </w:pPr>
    </w:p>
    <w:p w14:paraId="754D5A7C">
      <w:pPr>
        <w:spacing w:line="360" w:lineRule="auto"/>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Outcomes measures</w:t>
      </w:r>
      <w:bookmarkStart w:id="0" w:name="_GoBack"/>
      <w:bookmarkEnd w:id="0"/>
    </w:p>
    <w:p w14:paraId="3A1A7DCE">
      <w:pPr>
        <w:spacing w:line="360" w:lineRule="auto"/>
        <w:ind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Fréchet</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Inception Distance (FID) is an image quality metric that quantifies the distributional similarity between </w:t>
      </w:r>
      <w:r>
        <w:rPr>
          <w:rFonts w:hint="eastAsia" w:ascii="Times New Roman" w:hAnsi="Times New Roman" w:cs="Times New Roman"/>
          <w:b w:val="0"/>
          <w:bCs w:val="0"/>
          <w:sz w:val="24"/>
          <w:szCs w:val="24"/>
          <w:lang w:val="en-US" w:eastAsia="zh-CN"/>
        </w:rPr>
        <w:t>virtual</w:t>
      </w:r>
      <w:r>
        <w:rPr>
          <w:rFonts w:hint="default" w:ascii="Times New Roman" w:hAnsi="Times New Roman" w:cs="Times New Roman"/>
          <w:b w:val="0"/>
          <w:bCs w:val="0"/>
          <w:sz w:val="24"/>
          <w:szCs w:val="24"/>
          <w:lang w:val="en-US" w:eastAsia="zh-CN"/>
        </w:rPr>
        <w:t xml:space="preserve"> and real images based on feature space distances. It is computed using feature representations extracted from an intermediate layer of a pretrained convolutional neural network for both the </w:t>
      </w:r>
      <w:r>
        <w:rPr>
          <w:rFonts w:hint="eastAsia" w:ascii="Times New Roman" w:hAnsi="Times New Roman" w:cs="Times New Roman"/>
          <w:b w:val="0"/>
          <w:bCs w:val="0"/>
          <w:sz w:val="24"/>
          <w:szCs w:val="24"/>
          <w:lang w:val="en-US" w:eastAsia="zh-CN"/>
        </w:rPr>
        <w:t xml:space="preserve">virtual </w:t>
      </w:r>
      <w:r>
        <w:rPr>
          <w:rFonts w:hint="default" w:ascii="Times New Roman" w:hAnsi="Times New Roman" w:cs="Times New Roman"/>
          <w:b w:val="0"/>
          <w:bCs w:val="0"/>
          <w:sz w:val="24"/>
          <w:szCs w:val="24"/>
          <w:lang w:val="en-US" w:eastAsia="zh-CN"/>
        </w:rPr>
        <w:t xml:space="preserve">and real images. The core principle of FID is to measure the similarity between these two feature distributions using the Fréchet distance. A lower FID value indicates greater proximity in both location and shape between the feature distribution of </w:t>
      </w:r>
      <w:r>
        <w:rPr>
          <w:rFonts w:hint="eastAsia" w:ascii="Times New Roman" w:hAnsi="Times New Roman" w:cs="Times New Roman"/>
          <w:b w:val="0"/>
          <w:bCs w:val="0"/>
          <w:sz w:val="24"/>
          <w:szCs w:val="24"/>
          <w:lang w:val="en-US" w:eastAsia="zh-CN"/>
        </w:rPr>
        <w:t>virtual</w:t>
      </w:r>
      <w:r>
        <w:rPr>
          <w:rFonts w:hint="default" w:ascii="Times New Roman" w:hAnsi="Times New Roman" w:cs="Times New Roman"/>
          <w:b w:val="0"/>
          <w:bCs w:val="0"/>
          <w:sz w:val="24"/>
          <w:szCs w:val="24"/>
          <w:lang w:val="en-US" w:eastAsia="zh-CN"/>
        </w:rPr>
        <w:t xml:space="preserve"> images and that of real images, reflecting higher image quality. Conversely, a higher FID value suggests lower quality, as the generated feature distribution deviates further from the real distribution.</w:t>
      </w:r>
    </w:p>
    <w:p w14:paraId="7D9C6EC5">
      <w:pPr>
        <w:spacing w:line="360" w:lineRule="auto"/>
        <w:ind w:firstLine="480" w:firstLineChars="200"/>
        <w:jc w:val="both"/>
        <w:rPr>
          <w:rFonts w:hint="eastAsia"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Colorfulness Score (CF) is a widely used metric for quantifying color richness in image processing. It evaluates the diversity and visual appeal of an image by computing the dispersion and saturation of its color distribution. In addition to reflecting image vividness, CF provides important quantitative evidence for image quality assessment. In the context of virtual staining, CF effectively measures the color expressiveness of </w:t>
      </w:r>
      <w:r>
        <w:rPr>
          <w:rFonts w:hint="eastAsia" w:ascii="Times New Roman" w:hAnsi="Times New Roman" w:cs="Times New Roman"/>
          <w:b w:val="0"/>
          <w:bCs w:val="0"/>
          <w:sz w:val="24"/>
          <w:szCs w:val="24"/>
          <w:lang w:val="en-US" w:eastAsia="zh-CN"/>
        </w:rPr>
        <w:t>virtual</w:t>
      </w:r>
      <w:r>
        <w:rPr>
          <w:rFonts w:hint="default" w:ascii="Times New Roman" w:hAnsi="Times New Roman" w:cs="Times New Roman"/>
          <w:b w:val="0"/>
          <w:bCs w:val="0"/>
          <w:sz w:val="24"/>
          <w:szCs w:val="24"/>
          <w:lang w:val="en-US" w:eastAsia="zh-CN"/>
        </w:rPr>
        <w:t xml:space="preserve"> images. To comprehensively evaluate the virtual staining performance on </w:t>
      </w:r>
      <w:r>
        <w:rPr>
          <w:rFonts w:hint="eastAsia" w:ascii="Times New Roman" w:hAnsi="Times New Roman" w:cs="Times New Roman"/>
          <w:b w:val="0"/>
          <w:bCs w:val="0"/>
          <w:sz w:val="24"/>
          <w:szCs w:val="24"/>
          <w:lang w:val="en-US" w:eastAsia="zh-CN"/>
        </w:rPr>
        <w:t>WLI</w:t>
      </w:r>
      <w:r>
        <w:rPr>
          <w:rFonts w:hint="default" w:ascii="Times New Roman" w:hAnsi="Times New Roman" w:cs="Times New Roman"/>
          <w:b w:val="0"/>
          <w:bCs w:val="0"/>
          <w:sz w:val="24"/>
          <w:szCs w:val="24"/>
          <w:lang w:val="en-US" w:eastAsia="zh-CN"/>
        </w:rPr>
        <w:t xml:space="preserve">, we computed CF for all virtual </w:t>
      </w:r>
      <w:r>
        <w:rPr>
          <w:rFonts w:hint="eastAsia" w:ascii="Times New Roman" w:hAnsi="Times New Roman" w:cs="Times New Roman"/>
          <w:b w:val="0"/>
          <w:bCs w:val="0"/>
          <w:sz w:val="24"/>
          <w:szCs w:val="24"/>
          <w:lang w:val="en-US" w:eastAsia="zh-CN"/>
        </w:rPr>
        <w:t>ICC</w:t>
      </w:r>
      <w:r>
        <w:rPr>
          <w:rFonts w:hint="default" w:ascii="Times New Roman" w:hAnsi="Times New Roman" w:cs="Times New Roman"/>
          <w:b w:val="0"/>
          <w:bCs w:val="0"/>
          <w:sz w:val="24"/>
          <w:szCs w:val="24"/>
          <w:lang w:val="en-US" w:eastAsia="zh-CN"/>
        </w:rPr>
        <w:t xml:space="preserve"> images and used the mean value as the overall assessment metric. To quantify the discrepancy in color richness between virtual and real </w:t>
      </w:r>
      <w:r>
        <w:rPr>
          <w:rFonts w:hint="eastAsia" w:ascii="Times New Roman" w:hAnsi="Times New Roman" w:cs="Times New Roman"/>
          <w:b w:val="0"/>
          <w:bCs w:val="0"/>
          <w:sz w:val="24"/>
          <w:szCs w:val="24"/>
          <w:lang w:val="en-US" w:eastAsia="zh-CN"/>
        </w:rPr>
        <w:t>ICC</w:t>
      </w:r>
      <w:r>
        <w:rPr>
          <w:rFonts w:hint="default" w:ascii="Times New Roman" w:hAnsi="Times New Roman" w:cs="Times New Roman"/>
          <w:b w:val="0"/>
          <w:bCs w:val="0"/>
          <w:sz w:val="24"/>
          <w:szCs w:val="24"/>
          <w:lang w:val="en-US" w:eastAsia="zh-CN"/>
        </w:rPr>
        <w:t xml:space="preserve"> images, we adopted the ∆CF metric, defined as the absolute difference between the CF values of the virtual and corresponding real images. A smaller ∆CF indicates a smaller difference in color richness and thus closer color expressiveness between the virtual and real images.</w:t>
      </w:r>
    </w:p>
    <w:p w14:paraId="3ECD5F1C">
      <w:pPr>
        <w:spacing w:line="360" w:lineRule="auto"/>
        <w:ind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Structural Similarity Index (SSIM) is a perceptual metric that quantifies image quality in accordance with the human visual system. It assesses the structural similarity between two images by computing the local means, variances, and covariance within sliding windows. The metric integrates three independent components, namely luminance, contrast, and structure, to provide a holistic evaluation of perceived similarity. This multi-dimensional design enables SSIM to better approximate human visual perception compared with traditional error-based measures. The SSIM index ranges from </w:t>
      </w:r>
      <w:r>
        <w:rPr>
          <w:rFonts w:hint="eastAsia" w:ascii="宋体" w:hAnsi="宋体" w:eastAsia="宋体" w:cs="宋体"/>
          <w:b w:val="0"/>
          <w:bCs w:val="0"/>
          <w:sz w:val="24"/>
          <w:szCs w:val="24"/>
          <w:lang w:val="en-US" w:eastAsia="zh-CN"/>
        </w:rPr>
        <w:t>－</w:t>
      </w:r>
      <w:r>
        <w:rPr>
          <w:rFonts w:hint="default" w:ascii="Times New Roman" w:hAnsi="Times New Roman" w:cs="Times New Roman"/>
          <w:b w:val="0"/>
          <w:bCs w:val="0"/>
          <w:sz w:val="24"/>
          <w:szCs w:val="24"/>
          <w:lang w:val="en-US" w:eastAsia="zh-CN"/>
        </w:rPr>
        <w:t>1 to 1, with larger values indicating stronger perceptual resemblance between the two images. A value of 1 is obtained when the two images are exactly identical.</w:t>
      </w:r>
    </w:p>
    <w:p w14:paraId="624B0263">
      <w:pPr>
        <w:spacing w:line="360" w:lineRule="auto"/>
        <w:jc w:val="both"/>
        <w:rPr>
          <w:rFonts w:hint="default" w:ascii="Times New Roman" w:hAnsi="Times New Roman" w:cs="Times New Roman"/>
          <w:b w:val="0"/>
          <w:bCs w:val="0"/>
          <w:sz w:val="24"/>
          <w:szCs w:val="24"/>
          <w:lang w:val="en-US" w:eastAsia="zh-CN"/>
        </w:rPr>
        <w:sectPr>
          <w:pgSz w:w="11906" w:h="16838"/>
          <w:pgMar w:top="1440" w:right="1800" w:bottom="1440" w:left="1800" w:header="851" w:footer="992" w:gutter="0"/>
          <w:cols w:space="425" w:num="1"/>
          <w:docGrid w:type="lines" w:linePitch="312" w:charSpace="0"/>
        </w:sectPr>
      </w:pPr>
    </w:p>
    <w:p w14:paraId="34C2E683">
      <w:pPr>
        <w:spacing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Table </w:t>
      </w:r>
      <w:r>
        <w:rPr>
          <w:rFonts w:hint="eastAsia" w:ascii="Times New Roman" w:hAnsi="Times New Roman" w:cs="Times New Roman"/>
          <w:b/>
          <w:bCs/>
          <w:sz w:val="24"/>
          <w:szCs w:val="24"/>
          <w:lang w:val="en-US" w:eastAsia="zh-CN"/>
        </w:rPr>
        <w:t>S1</w:t>
      </w:r>
      <w:r>
        <w:rPr>
          <w:rFonts w:hint="default" w:ascii="Times New Roman" w:hAnsi="Times New Roman" w:cs="Times New Roman"/>
          <w:b/>
          <w:bCs/>
          <w:sz w:val="24"/>
          <w:szCs w:val="24"/>
          <w:lang w:val="en-US" w:eastAsia="zh-CN"/>
        </w:rPr>
        <w:t>. Comparative results with representative algorithms</w:t>
      </w:r>
      <w:r>
        <w:rPr>
          <w:rFonts w:hint="eastAsia" w:ascii="Times New Roman" w:hAnsi="Times New Roman" w:cs="Times New Roman"/>
          <w:b/>
          <w:bCs/>
          <w:sz w:val="24"/>
          <w:szCs w:val="24"/>
          <w:lang w:val="en-US" w:eastAsia="zh-CN"/>
        </w:rPr>
        <w:t xml:space="preserve"> across participating hospitals.</w:t>
      </w: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83"/>
        <w:gridCol w:w="1415"/>
        <w:gridCol w:w="1409"/>
        <w:gridCol w:w="1403"/>
        <w:gridCol w:w="1404"/>
        <w:gridCol w:w="1408"/>
      </w:tblGrid>
      <w:tr w14:paraId="5A7EFE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tcBorders>
              <w:top w:val="single" w:color="auto" w:sz="4" w:space="0"/>
              <w:bottom w:val="single" w:color="auto" w:sz="4" w:space="0"/>
            </w:tcBorders>
          </w:tcPr>
          <w:p w14:paraId="5365FD78">
            <w:pPr>
              <w:spacing w:line="36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Comparison</w:t>
            </w:r>
          </w:p>
        </w:tc>
        <w:tc>
          <w:tcPr>
            <w:tcW w:w="1420" w:type="dxa"/>
            <w:tcBorders>
              <w:top w:val="single" w:color="auto" w:sz="4" w:space="0"/>
              <w:bottom w:val="single" w:color="auto" w:sz="4" w:space="0"/>
            </w:tcBorders>
          </w:tcPr>
          <w:p w14:paraId="7C2FCF9E">
            <w:pPr>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Hospitals</w:t>
            </w:r>
          </w:p>
        </w:tc>
        <w:tc>
          <w:tcPr>
            <w:tcW w:w="1420" w:type="dxa"/>
            <w:tcBorders>
              <w:top w:val="single" w:color="auto" w:sz="4" w:space="0"/>
              <w:bottom w:val="single" w:color="auto" w:sz="4" w:space="0"/>
            </w:tcBorders>
          </w:tcPr>
          <w:p w14:paraId="1AFF1EC7">
            <w:pPr>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FID↓ </w:t>
            </w:r>
          </w:p>
        </w:tc>
        <w:tc>
          <w:tcPr>
            <w:tcW w:w="1420" w:type="dxa"/>
            <w:tcBorders>
              <w:top w:val="single" w:color="auto" w:sz="4" w:space="0"/>
              <w:bottom w:val="single" w:color="auto" w:sz="4" w:space="0"/>
            </w:tcBorders>
          </w:tcPr>
          <w:p w14:paraId="7EB001E4">
            <w:pPr>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CF↑</w:t>
            </w:r>
          </w:p>
        </w:tc>
        <w:tc>
          <w:tcPr>
            <w:tcW w:w="1420" w:type="dxa"/>
            <w:tcBorders>
              <w:top w:val="single" w:color="auto" w:sz="4" w:space="0"/>
              <w:bottom w:val="single" w:color="auto" w:sz="4" w:space="0"/>
            </w:tcBorders>
          </w:tcPr>
          <w:p w14:paraId="56013CCC">
            <w:pPr>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∆CF↓</w:t>
            </w:r>
          </w:p>
        </w:tc>
        <w:tc>
          <w:tcPr>
            <w:tcW w:w="1420" w:type="dxa"/>
            <w:tcBorders>
              <w:top w:val="single" w:color="auto" w:sz="4" w:space="0"/>
              <w:bottom w:val="single" w:color="auto" w:sz="4" w:space="0"/>
            </w:tcBorders>
          </w:tcPr>
          <w:p w14:paraId="2D751D85">
            <w:pPr>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SSIM↑</w:t>
            </w:r>
          </w:p>
        </w:tc>
      </w:tr>
      <w:tr w14:paraId="75D17A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Merge w:val="restart"/>
            <w:vAlign w:val="center"/>
          </w:tcPr>
          <w:p w14:paraId="2CF4D8BE">
            <w:pPr>
              <w:spacing w:line="360" w:lineRule="auto"/>
              <w:jc w:val="cente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DDColor</w:t>
            </w:r>
          </w:p>
        </w:tc>
        <w:tc>
          <w:tcPr>
            <w:tcW w:w="1420" w:type="dxa"/>
            <w:shd w:val="clear" w:color="auto" w:fill="auto"/>
            <w:vAlign w:val="center"/>
          </w:tcPr>
          <w:p w14:paraId="3882CE24">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tcPr>
          <w:p w14:paraId="5C142E2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90.57</w:t>
            </w:r>
          </w:p>
        </w:tc>
        <w:tc>
          <w:tcPr>
            <w:tcW w:w="1420" w:type="dxa"/>
          </w:tcPr>
          <w:p w14:paraId="7156BF4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41.11</w:t>
            </w:r>
          </w:p>
        </w:tc>
        <w:tc>
          <w:tcPr>
            <w:tcW w:w="1420" w:type="dxa"/>
          </w:tcPr>
          <w:p w14:paraId="61D8C01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4.45</w:t>
            </w:r>
          </w:p>
        </w:tc>
        <w:tc>
          <w:tcPr>
            <w:tcW w:w="1420" w:type="dxa"/>
          </w:tcPr>
          <w:p w14:paraId="3513ABF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0.207</w:t>
            </w:r>
          </w:p>
        </w:tc>
      </w:tr>
      <w:tr w14:paraId="463614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Merge w:val="continue"/>
          </w:tcPr>
          <w:p w14:paraId="026BAB55">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314762AD">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tcPr>
          <w:p w14:paraId="3F839F1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99.15</w:t>
            </w:r>
          </w:p>
        </w:tc>
        <w:tc>
          <w:tcPr>
            <w:tcW w:w="1420" w:type="dxa"/>
          </w:tcPr>
          <w:p w14:paraId="15332BF9">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42.14</w:t>
            </w:r>
          </w:p>
        </w:tc>
        <w:tc>
          <w:tcPr>
            <w:tcW w:w="1420" w:type="dxa"/>
          </w:tcPr>
          <w:p w14:paraId="0CCCDD8C">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10.67</w:t>
            </w:r>
          </w:p>
        </w:tc>
        <w:tc>
          <w:tcPr>
            <w:tcW w:w="1420" w:type="dxa"/>
          </w:tcPr>
          <w:p w14:paraId="56BDF63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0.232</w:t>
            </w:r>
          </w:p>
        </w:tc>
      </w:tr>
      <w:tr w14:paraId="76CCC6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Merge w:val="continue"/>
          </w:tcPr>
          <w:p w14:paraId="65A3C86A">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3C166E31">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tcPr>
          <w:p w14:paraId="56B59F84">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119.09</w:t>
            </w:r>
          </w:p>
        </w:tc>
        <w:tc>
          <w:tcPr>
            <w:tcW w:w="1420" w:type="dxa"/>
          </w:tcPr>
          <w:p w14:paraId="2A021BF8">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38.39</w:t>
            </w:r>
          </w:p>
        </w:tc>
        <w:tc>
          <w:tcPr>
            <w:tcW w:w="1420" w:type="dxa"/>
          </w:tcPr>
          <w:p w14:paraId="373282A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6.48</w:t>
            </w:r>
          </w:p>
        </w:tc>
        <w:tc>
          <w:tcPr>
            <w:tcW w:w="1420" w:type="dxa"/>
          </w:tcPr>
          <w:p w14:paraId="61E857B7">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0.209</w:t>
            </w:r>
          </w:p>
        </w:tc>
      </w:tr>
      <w:tr w14:paraId="437C3A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restart"/>
            <w:shd w:val="clear" w:color="auto" w:fill="auto"/>
            <w:vAlign w:val="center"/>
          </w:tcPr>
          <w:p w14:paraId="37F307E5">
            <w:pPr>
              <w:spacing w:line="360" w:lineRule="auto"/>
              <w:jc w:val="cente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CycleGAN</w:t>
            </w:r>
          </w:p>
        </w:tc>
        <w:tc>
          <w:tcPr>
            <w:tcW w:w="1420" w:type="dxa"/>
            <w:shd w:val="clear" w:color="auto" w:fill="auto"/>
            <w:vAlign w:val="center"/>
          </w:tcPr>
          <w:p w14:paraId="3461D7EC">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shd w:val="clear" w:color="auto" w:fill="auto"/>
            <w:vAlign w:val="top"/>
          </w:tcPr>
          <w:p w14:paraId="205CCE4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108.33</w:t>
            </w:r>
          </w:p>
        </w:tc>
        <w:tc>
          <w:tcPr>
            <w:tcW w:w="1420" w:type="dxa"/>
            <w:shd w:val="clear" w:color="auto" w:fill="auto"/>
            <w:vAlign w:val="top"/>
          </w:tcPr>
          <w:p w14:paraId="58D53DEE">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39.47</w:t>
            </w:r>
          </w:p>
        </w:tc>
        <w:tc>
          <w:tcPr>
            <w:tcW w:w="1420" w:type="dxa"/>
            <w:shd w:val="clear" w:color="auto" w:fill="auto"/>
            <w:vAlign w:val="top"/>
          </w:tcPr>
          <w:p w14:paraId="09B38AD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2.81</w:t>
            </w:r>
          </w:p>
        </w:tc>
        <w:tc>
          <w:tcPr>
            <w:tcW w:w="1420" w:type="dxa"/>
            <w:shd w:val="clear" w:color="auto" w:fill="auto"/>
            <w:vAlign w:val="top"/>
          </w:tcPr>
          <w:p w14:paraId="055EA63E">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0.140</w:t>
            </w:r>
          </w:p>
        </w:tc>
      </w:tr>
      <w:tr w14:paraId="2F72BA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center"/>
          </w:tcPr>
          <w:p w14:paraId="173EB887">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27B309AD">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shd w:val="clear" w:color="auto" w:fill="auto"/>
            <w:vAlign w:val="top"/>
          </w:tcPr>
          <w:p w14:paraId="29902DF9">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105.11</w:t>
            </w:r>
          </w:p>
        </w:tc>
        <w:tc>
          <w:tcPr>
            <w:tcW w:w="1420" w:type="dxa"/>
            <w:shd w:val="clear" w:color="auto" w:fill="auto"/>
            <w:vAlign w:val="top"/>
          </w:tcPr>
          <w:p w14:paraId="7E00D18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38.21</w:t>
            </w:r>
          </w:p>
        </w:tc>
        <w:tc>
          <w:tcPr>
            <w:tcW w:w="1420" w:type="dxa"/>
            <w:shd w:val="clear" w:color="auto" w:fill="auto"/>
            <w:vAlign w:val="top"/>
          </w:tcPr>
          <w:p w14:paraId="64392253">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6.73</w:t>
            </w:r>
          </w:p>
        </w:tc>
        <w:tc>
          <w:tcPr>
            <w:tcW w:w="1420" w:type="dxa"/>
            <w:shd w:val="clear" w:color="auto" w:fill="auto"/>
            <w:vAlign w:val="top"/>
          </w:tcPr>
          <w:p w14:paraId="6251BCCB">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0.174</w:t>
            </w:r>
          </w:p>
        </w:tc>
      </w:tr>
      <w:tr w14:paraId="5A22FF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center"/>
          </w:tcPr>
          <w:p w14:paraId="53E5A3B3">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764C34DE">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shd w:val="clear" w:color="auto" w:fill="auto"/>
            <w:vAlign w:val="top"/>
          </w:tcPr>
          <w:p w14:paraId="7525EE5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131.30</w:t>
            </w:r>
          </w:p>
        </w:tc>
        <w:tc>
          <w:tcPr>
            <w:tcW w:w="1420" w:type="dxa"/>
            <w:shd w:val="clear" w:color="auto" w:fill="auto"/>
            <w:vAlign w:val="top"/>
          </w:tcPr>
          <w:p w14:paraId="5585839D">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33.33</w:t>
            </w:r>
          </w:p>
        </w:tc>
        <w:tc>
          <w:tcPr>
            <w:tcW w:w="1420" w:type="dxa"/>
            <w:shd w:val="clear" w:color="auto" w:fill="auto"/>
            <w:vAlign w:val="top"/>
          </w:tcPr>
          <w:p w14:paraId="3DD2B38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1.42</w:t>
            </w:r>
          </w:p>
        </w:tc>
        <w:tc>
          <w:tcPr>
            <w:tcW w:w="1420" w:type="dxa"/>
            <w:shd w:val="clear" w:color="auto" w:fill="auto"/>
            <w:vAlign w:val="top"/>
          </w:tcPr>
          <w:p w14:paraId="6E49D95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0.153</w:t>
            </w:r>
          </w:p>
        </w:tc>
      </w:tr>
      <w:tr w14:paraId="05B556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restart"/>
            <w:shd w:val="clear" w:color="auto" w:fill="auto"/>
            <w:vAlign w:val="center"/>
          </w:tcPr>
          <w:p w14:paraId="4D339087">
            <w:pPr>
              <w:spacing w:line="360" w:lineRule="auto"/>
              <w:jc w:val="cente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UNSB</w:t>
            </w:r>
          </w:p>
        </w:tc>
        <w:tc>
          <w:tcPr>
            <w:tcW w:w="1420" w:type="dxa"/>
            <w:shd w:val="clear" w:color="auto" w:fill="auto"/>
            <w:vAlign w:val="center"/>
          </w:tcPr>
          <w:p w14:paraId="648A9AE2">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shd w:val="clear" w:color="auto" w:fill="auto"/>
            <w:vAlign w:val="top"/>
          </w:tcPr>
          <w:p w14:paraId="26B0EEA7">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112.21</w:t>
            </w:r>
          </w:p>
        </w:tc>
        <w:tc>
          <w:tcPr>
            <w:tcW w:w="1420" w:type="dxa"/>
            <w:shd w:val="clear" w:color="auto" w:fill="auto"/>
            <w:vAlign w:val="top"/>
          </w:tcPr>
          <w:p w14:paraId="3198FC5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27.80</w:t>
            </w:r>
          </w:p>
        </w:tc>
        <w:tc>
          <w:tcPr>
            <w:tcW w:w="1420" w:type="dxa"/>
            <w:shd w:val="clear" w:color="auto" w:fill="auto"/>
            <w:vAlign w:val="top"/>
          </w:tcPr>
          <w:p w14:paraId="2068FB9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8.86</w:t>
            </w:r>
          </w:p>
        </w:tc>
        <w:tc>
          <w:tcPr>
            <w:tcW w:w="1420" w:type="dxa"/>
            <w:shd w:val="clear" w:color="auto" w:fill="auto"/>
            <w:vAlign w:val="top"/>
          </w:tcPr>
          <w:p w14:paraId="6D7A3E98">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0.149</w:t>
            </w:r>
          </w:p>
        </w:tc>
      </w:tr>
      <w:tr w14:paraId="42B1D7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0D397E5F">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046F5D72">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shd w:val="clear" w:color="auto" w:fill="auto"/>
            <w:vAlign w:val="top"/>
          </w:tcPr>
          <w:p w14:paraId="2C22169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81.84</w:t>
            </w:r>
          </w:p>
        </w:tc>
        <w:tc>
          <w:tcPr>
            <w:tcW w:w="1420" w:type="dxa"/>
            <w:shd w:val="clear" w:color="auto" w:fill="auto"/>
            <w:vAlign w:val="top"/>
          </w:tcPr>
          <w:p w14:paraId="30683F24">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25.88</w:t>
            </w:r>
          </w:p>
        </w:tc>
        <w:tc>
          <w:tcPr>
            <w:tcW w:w="1420" w:type="dxa"/>
            <w:shd w:val="clear" w:color="auto" w:fill="auto"/>
            <w:vAlign w:val="top"/>
          </w:tcPr>
          <w:p w14:paraId="1346BBF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5.58</w:t>
            </w:r>
          </w:p>
        </w:tc>
        <w:tc>
          <w:tcPr>
            <w:tcW w:w="1420" w:type="dxa"/>
            <w:shd w:val="clear" w:color="auto" w:fill="auto"/>
            <w:vAlign w:val="top"/>
          </w:tcPr>
          <w:p w14:paraId="055D7637">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0.171</w:t>
            </w:r>
          </w:p>
        </w:tc>
      </w:tr>
      <w:tr w14:paraId="615647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34B80E54">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7AD92455">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shd w:val="clear" w:color="auto" w:fill="auto"/>
            <w:vAlign w:val="top"/>
          </w:tcPr>
          <w:p w14:paraId="21833C3F">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111.55</w:t>
            </w:r>
          </w:p>
        </w:tc>
        <w:tc>
          <w:tcPr>
            <w:tcW w:w="1420" w:type="dxa"/>
            <w:shd w:val="clear" w:color="auto" w:fill="auto"/>
            <w:vAlign w:val="top"/>
          </w:tcPr>
          <w:p w14:paraId="50E95F2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24.21</w:t>
            </w:r>
          </w:p>
        </w:tc>
        <w:tc>
          <w:tcPr>
            <w:tcW w:w="1420" w:type="dxa"/>
            <w:shd w:val="clear" w:color="auto" w:fill="auto"/>
            <w:vAlign w:val="top"/>
          </w:tcPr>
          <w:p w14:paraId="48BF535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7.70</w:t>
            </w:r>
          </w:p>
        </w:tc>
        <w:tc>
          <w:tcPr>
            <w:tcW w:w="1420" w:type="dxa"/>
            <w:shd w:val="clear" w:color="auto" w:fill="auto"/>
            <w:vAlign w:val="top"/>
          </w:tcPr>
          <w:p w14:paraId="049D6970">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0.147</w:t>
            </w:r>
          </w:p>
        </w:tc>
      </w:tr>
      <w:tr w14:paraId="5218EB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restart"/>
            <w:shd w:val="clear" w:color="auto" w:fill="auto"/>
            <w:vAlign w:val="center"/>
          </w:tcPr>
          <w:p w14:paraId="4B6D3972">
            <w:pPr>
              <w:spacing w:line="360" w:lineRule="auto"/>
              <w:jc w:val="cente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ILVR</w:t>
            </w:r>
          </w:p>
        </w:tc>
        <w:tc>
          <w:tcPr>
            <w:tcW w:w="1420" w:type="dxa"/>
            <w:shd w:val="clear" w:color="auto" w:fill="auto"/>
            <w:vAlign w:val="center"/>
          </w:tcPr>
          <w:p w14:paraId="7128D46A">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shd w:val="clear" w:color="auto" w:fill="auto"/>
            <w:vAlign w:val="top"/>
          </w:tcPr>
          <w:p w14:paraId="709625C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152.47</w:t>
            </w:r>
          </w:p>
        </w:tc>
        <w:tc>
          <w:tcPr>
            <w:tcW w:w="1420" w:type="dxa"/>
            <w:shd w:val="clear" w:color="auto" w:fill="auto"/>
            <w:vAlign w:val="top"/>
          </w:tcPr>
          <w:p w14:paraId="2694ECBE">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60.73</w:t>
            </w:r>
          </w:p>
        </w:tc>
        <w:tc>
          <w:tcPr>
            <w:tcW w:w="1420" w:type="dxa"/>
            <w:shd w:val="clear" w:color="auto" w:fill="auto"/>
            <w:vAlign w:val="top"/>
          </w:tcPr>
          <w:p w14:paraId="727C594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24.07</w:t>
            </w:r>
          </w:p>
        </w:tc>
        <w:tc>
          <w:tcPr>
            <w:tcW w:w="1420" w:type="dxa"/>
            <w:shd w:val="clear" w:color="auto" w:fill="auto"/>
            <w:vAlign w:val="top"/>
          </w:tcPr>
          <w:p w14:paraId="35DDCC7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0.142</w:t>
            </w:r>
          </w:p>
        </w:tc>
      </w:tr>
      <w:tr w14:paraId="6DA7B0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4E46956D">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0DC5C966">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shd w:val="clear" w:color="auto" w:fill="auto"/>
            <w:vAlign w:val="top"/>
          </w:tcPr>
          <w:p w14:paraId="5EFD8A5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174.17</w:t>
            </w:r>
          </w:p>
        </w:tc>
        <w:tc>
          <w:tcPr>
            <w:tcW w:w="1420" w:type="dxa"/>
            <w:shd w:val="clear" w:color="auto" w:fill="auto"/>
            <w:vAlign w:val="top"/>
          </w:tcPr>
          <w:p w14:paraId="4E21FF0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59.40</w:t>
            </w:r>
          </w:p>
        </w:tc>
        <w:tc>
          <w:tcPr>
            <w:tcW w:w="1420" w:type="dxa"/>
            <w:shd w:val="clear" w:color="auto" w:fill="auto"/>
            <w:vAlign w:val="top"/>
          </w:tcPr>
          <w:p w14:paraId="0C67A3C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27.93</w:t>
            </w:r>
          </w:p>
        </w:tc>
        <w:tc>
          <w:tcPr>
            <w:tcW w:w="1420" w:type="dxa"/>
            <w:shd w:val="clear" w:color="auto" w:fill="auto"/>
            <w:vAlign w:val="top"/>
          </w:tcPr>
          <w:p w14:paraId="7CB2D7CC">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0.144</w:t>
            </w:r>
          </w:p>
        </w:tc>
      </w:tr>
      <w:tr w14:paraId="2FA224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4A7C52AE">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577D911F">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shd w:val="clear" w:color="auto" w:fill="auto"/>
            <w:vAlign w:val="top"/>
          </w:tcPr>
          <w:p w14:paraId="138F7B6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194.47</w:t>
            </w:r>
          </w:p>
        </w:tc>
        <w:tc>
          <w:tcPr>
            <w:tcW w:w="1420" w:type="dxa"/>
            <w:shd w:val="clear" w:color="auto" w:fill="auto"/>
            <w:vAlign w:val="top"/>
          </w:tcPr>
          <w:p w14:paraId="42935B5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55.47</w:t>
            </w:r>
          </w:p>
        </w:tc>
        <w:tc>
          <w:tcPr>
            <w:tcW w:w="1420" w:type="dxa"/>
            <w:shd w:val="clear" w:color="auto" w:fill="auto"/>
            <w:vAlign w:val="top"/>
          </w:tcPr>
          <w:p w14:paraId="74EBEFB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23.56</w:t>
            </w:r>
          </w:p>
        </w:tc>
        <w:tc>
          <w:tcPr>
            <w:tcW w:w="1420" w:type="dxa"/>
            <w:shd w:val="clear" w:color="auto" w:fill="auto"/>
            <w:vAlign w:val="top"/>
          </w:tcPr>
          <w:p w14:paraId="2DEEE8E7">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0.139</w:t>
            </w:r>
          </w:p>
        </w:tc>
      </w:tr>
      <w:tr w14:paraId="6F679C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restart"/>
            <w:shd w:val="clear" w:color="auto" w:fill="auto"/>
            <w:vAlign w:val="center"/>
          </w:tcPr>
          <w:p w14:paraId="08C02BD5">
            <w:pPr>
              <w:spacing w:line="360" w:lineRule="auto"/>
              <w:jc w:val="cente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SD</w:t>
            </w:r>
          </w:p>
        </w:tc>
        <w:tc>
          <w:tcPr>
            <w:tcW w:w="1420" w:type="dxa"/>
            <w:shd w:val="clear" w:color="auto" w:fill="auto"/>
            <w:vAlign w:val="center"/>
          </w:tcPr>
          <w:p w14:paraId="74B5FA55">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shd w:val="clear" w:color="auto" w:fill="auto"/>
            <w:vAlign w:val="top"/>
          </w:tcPr>
          <w:p w14:paraId="7DE638E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144.99</w:t>
            </w:r>
          </w:p>
        </w:tc>
        <w:tc>
          <w:tcPr>
            <w:tcW w:w="1420" w:type="dxa"/>
            <w:shd w:val="clear" w:color="auto" w:fill="auto"/>
            <w:vAlign w:val="top"/>
          </w:tcPr>
          <w:p w14:paraId="3C986589">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60.21</w:t>
            </w:r>
          </w:p>
        </w:tc>
        <w:tc>
          <w:tcPr>
            <w:tcW w:w="1420" w:type="dxa"/>
            <w:shd w:val="clear" w:color="auto" w:fill="auto"/>
            <w:vAlign w:val="top"/>
          </w:tcPr>
          <w:p w14:paraId="7236E49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23.55</w:t>
            </w:r>
          </w:p>
        </w:tc>
        <w:tc>
          <w:tcPr>
            <w:tcW w:w="1420" w:type="dxa"/>
            <w:shd w:val="clear" w:color="auto" w:fill="auto"/>
            <w:vAlign w:val="top"/>
          </w:tcPr>
          <w:p w14:paraId="556A442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0.155</w:t>
            </w:r>
          </w:p>
        </w:tc>
      </w:tr>
      <w:tr w14:paraId="58063C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0C1B1F8C">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553A1E70">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shd w:val="clear" w:color="auto" w:fill="auto"/>
            <w:vAlign w:val="top"/>
          </w:tcPr>
          <w:p w14:paraId="3E55027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157.94</w:t>
            </w:r>
          </w:p>
        </w:tc>
        <w:tc>
          <w:tcPr>
            <w:tcW w:w="1420" w:type="dxa"/>
            <w:shd w:val="clear" w:color="auto" w:fill="auto"/>
            <w:vAlign w:val="top"/>
          </w:tcPr>
          <w:p w14:paraId="01EF6BD7">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59.47</w:t>
            </w:r>
          </w:p>
        </w:tc>
        <w:tc>
          <w:tcPr>
            <w:tcW w:w="1420" w:type="dxa"/>
            <w:shd w:val="clear" w:color="auto" w:fill="auto"/>
            <w:vAlign w:val="top"/>
          </w:tcPr>
          <w:p w14:paraId="3ECF720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28.00</w:t>
            </w:r>
          </w:p>
        </w:tc>
        <w:tc>
          <w:tcPr>
            <w:tcW w:w="1420" w:type="dxa"/>
            <w:shd w:val="clear" w:color="auto" w:fill="auto"/>
            <w:vAlign w:val="top"/>
          </w:tcPr>
          <w:p w14:paraId="7BA0764C">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0.176</w:t>
            </w:r>
          </w:p>
        </w:tc>
      </w:tr>
      <w:tr w14:paraId="796462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6E682C42">
            <w:pPr>
              <w:spacing w:line="360" w:lineRule="auto"/>
              <w:jc w:val="center"/>
              <w:rPr>
                <w:rFonts w:hint="default" w:ascii="Times New Roman" w:hAnsi="Times New Roman" w:cs="Times New Roman"/>
                <w:b w:val="0"/>
                <w:bCs w:val="0"/>
                <w:sz w:val="24"/>
                <w:szCs w:val="24"/>
                <w:lang w:val="en-US" w:eastAsia="zh-CN"/>
              </w:rPr>
            </w:pPr>
          </w:p>
        </w:tc>
        <w:tc>
          <w:tcPr>
            <w:tcW w:w="1420" w:type="dxa"/>
            <w:shd w:val="clear" w:color="auto" w:fill="auto"/>
            <w:vAlign w:val="center"/>
          </w:tcPr>
          <w:p w14:paraId="0A2FB5A6">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shd w:val="clear" w:color="auto" w:fill="auto"/>
            <w:vAlign w:val="top"/>
          </w:tcPr>
          <w:p w14:paraId="14E7154B">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163.32</w:t>
            </w:r>
          </w:p>
        </w:tc>
        <w:tc>
          <w:tcPr>
            <w:tcW w:w="1420" w:type="dxa"/>
            <w:shd w:val="clear" w:color="auto" w:fill="auto"/>
            <w:vAlign w:val="top"/>
          </w:tcPr>
          <w:p w14:paraId="74CB1C8D">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55.48</w:t>
            </w:r>
          </w:p>
        </w:tc>
        <w:tc>
          <w:tcPr>
            <w:tcW w:w="1420" w:type="dxa"/>
            <w:shd w:val="clear" w:color="auto" w:fill="auto"/>
            <w:vAlign w:val="top"/>
          </w:tcPr>
          <w:p w14:paraId="46E5BC2E">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23.57</w:t>
            </w:r>
          </w:p>
        </w:tc>
        <w:tc>
          <w:tcPr>
            <w:tcW w:w="1420" w:type="dxa"/>
            <w:shd w:val="clear" w:color="auto" w:fill="auto"/>
            <w:vAlign w:val="top"/>
          </w:tcPr>
          <w:p w14:paraId="647D7865">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0.160</w:t>
            </w:r>
          </w:p>
        </w:tc>
      </w:tr>
      <w:tr w14:paraId="3D0A40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restart"/>
            <w:shd w:val="clear" w:color="auto" w:fill="auto"/>
            <w:vAlign w:val="center"/>
          </w:tcPr>
          <w:p w14:paraId="1CC5C200">
            <w:pPr>
              <w:spacing w:line="360" w:lineRule="auto"/>
              <w:jc w:val="center"/>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Ours</w:t>
            </w:r>
          </w:p>
        </w:tc>
        <w:tc>
          <w:tcPr>
            <w:tcW w:w="1420" w:type="dxa"/>
            <w:tcBorders>
              <w:bottom w:val="nil"/>
            </w:tcBorders>
            <w:shd w:val="clear" w:color="auto" w:fill="auto"/>
            <w:vAlign w:val="center"/>
          </w:tcPr>
          <w:p w14:paraId="25BC295C">
            <w:pPr>
              <w:pStyle w:val="7"/>
              <w:widowControl w:val="0"/>
              <w:jc w:val="center"/>
              <w:rPr>
                <w:rFonts w:hint="default" w:ascii="Times New Roman" w:hAnsi="Times New Roman" w:eastAsia="宋体" w:cs="Times New Roman"/>
                <w:b w:val="0"/>
                <w:bCs/>
                <w:sz w:val="24"/>
                <w:szCs w:val="24"/>
                <w:lang w:val="en-US" w:eastAsia="zh-CN" w:bidi="ar-SA"/>
              </w:rPr>
            </w:pPr>
            <w:r>
              <w:rPr>
                <w:rFonts w:hint="eastAsia" w:eastAsia="宋体" w:cs="Times New Roman"/>
                <w:b w:val="0"/>
                <w:bCs/>
                <w:sz w:val="24"/>
                <w:szCs w:val="24"/>
              </w:rPr>
              <w:t>WCHSCU</w:t>
            </w:r>
          </w:p>
        </w:tc>
        <w:tc>
          <w:tcPr>
            <w:tcW w:w="1420" w:type="dxa"/>
            <w:tcBorders>
              <w:bottom w:val="nil"/>
            </w:tcBorders>
            <w:shd w:val="clear" w:color="auto" w:fill="auto"/>
            <w:vAlign w:val="top"/>
          </w:tcPr>
          <w:p w14:paraId="7D7D1233">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91.28</w:t>
            </w:r>
          </w:p>
        </w:tc>
        <w:tc>
          <w:tcPr>
            <w:tcW w:w="1420" w:type="dxa"/>
            <w:tcBorders>
              <w:bottom w:val="nil"/>
            </w:tcBorders>
            <w:shd w:val="clear" w:color="auto" w:fill="auto"/>
            <w:vAlign w:val="top"/>
          </w:tcPr>
          <w:p w14:paraId="1F154770">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56.98</w:t>
            </w:r>
          </w:p>
        </w:tc>
        <w:tc>
          <w:tcPr>
            <w:tcW w:w="1420" w:type="dxa"/>
            <w:tcBorders>
              <w:bottom w:val="nil"/>
            </w:tcBorders>
            <w:shd w:val="clear" w:color="auto" w:fill="auto"/>
            <w:vAlign w:val="top"/>
          </w:tcPr>
          <w:p w14:paraId="0871DD4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0.32</w:t>
            </w:r>
          </w:p>
        </w:tc>
        <w:tc>
          <w:tcPr>
            <w:tcW w:w="1420" w:type="dxa"/>
            <w:tcBorders>
              <w:bottom w:val="nil"/>
            </w:tcBorders>
            <w:shd w:val="clear" w:color="auto" w:fill="auto"/>
            <w:vAlign w:val="top"/>
          </w:tcPr>
          <w:p w14:paraId="6D49FE04">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0.147</w:t>
            </w:r>
          </w:p>
        </w:tc>
      </w:tr>
      <w:tr w14:paraId="599436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shd w:val="clear" w:color="auto" w:fill="auto"/>
            <w:vAlign w:val="top"/>
          </w:tcPr>
          <w:p w14:paraId="4125213C">
            <w:pPr>
              <w:spacing w:line="360" w:lineRule="auto"/>
              <w:jc w:val="center"/>
              <w:rPr>
                <w:rFonts w:hint="eastAsia" w:ascii="Times New Roman" w:hAnsi="Times New Roman" w:cs="Times New Roman"/>
                <w:b w:val="0"/>
                <w:bCs w:val="0"/>
                <w:sz w:val="24"/>
                <w:szCs w:val="24"/>
                <w:lang w:val="en-US" w:eastAsia="zh-CN"/>
              </w:rPr>
            </w:pPr>
          </w:p>
        </w:tc>
        <w:tc>
          <w:tcPr>
            <w:tcW w:w="1420" w:type="dxa"/>
            <w:tcBorders>
              <w:top w:val="nil"/>
              <w:bottom w:val="nil"/>
            </w:tcBorders>
            <w:shd w:val="clear" w:color="auto" w:fill="auto"/>
            <w:vAlign w:val="center"/>
          </w:tcPr>
          <w:p w14:paraId="6F8FC634">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CPH</w:t>
            </w:r>
          </w:p>
        </w:tc>
        <w:tc>
          <w:tcPr>
            <w:tcW w:w="1420" w:type="dxa"/>
            <w:tcBorders>
              <w:top w:val="nil"/>
              <w:bottom w:val="nil"/>
            </w:tcBorders>
            <w:shd w:val="clear" w:color="auto" w:fill="auto"/>
            <w:vAlign w:val="top"/>
          </w:tcPr>
          <w:p w14:paraId="09039A31">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80.38</w:t>
            </w:r>
          </w:p>
        </w:tc>
        <w:tc>
          <w:tcPr>
            <w:tcW w:w="1420" w:type="dxa"/>
            <w:tcBorders>
              <w:top w:val="nil"/>
              <w:bottom w:val="nil"/>
            </w:tcBorders>
            <w:shd w:val="clear" w:color="auto" w:fill="auto"/>
            <w:vAlign w:val="top"/>
          </w:tcPr>
          <w:p w14:paraId="789AFED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60.81</w:t>
            </w:r>
          </w:p>
        </w:tc>
        <w:tc>
          <w:tcPr>
            <w:tcW w:w="1420" w:type="dxa"/>
            <w:tcBorders>
              <w:top w:val="nil"/>
              <w:bottom w:val="nil"/>
            </w:tcBorders>
            <w:shd w:val="clear" w:color="auto" w:fill="auto"/>
            <w:vAlign w:val="top"/>
          </w:tcPr>
          <w:p w14:paraId="52908376">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9.34</w:t>
            </w:r>
          </w:p>
        </w:tc>
        <w:tc>
          <w:tcPr>
            <w:tcW w:w="1420" w:type="dxa"/>
            <w:tcBorders>
              <w:top w:val="nil"/>
              <w:bottom w:val="nil"/>
            </w:tcBorders>
            <w:shd w:val="clear" w:color="auto" w:fill="auto"/>
            <w:vAlign w:val="top"/>
          </w:tcPr>
          <w:p w14:paraId="77660CB4">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0.187</w:t>
            </w:r>
          </w:p>
        </w:tc>
      </w:tr>
      <w:tr w14:paraId="5A9C4F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420" w:type="dxa"/>
            <w:vMerge w:val="continue"/>
            <w:tcBorders>
              <w:bottom w:val="single" w:color="auto" w:sz="4" w:space="0"/>
            </w:tcBorders>
            <w:shd w:val="clear" w:color="auto" w:fill="auto"/>
            <w:vAlign w:val="top"/>
          </w:tcPr>
          <w:p w14:paraId="1D984C6E">
            <w:pPr>
              <w:spacing w:line="360" w:lineRule="auto"/>
              <w:jc w:val="center"/>
              <w:rPr>
                <w:rFonts w:hint="eastAsia" w:ascii="Times New Roman" w:hAnsi="Times New Roman" w:cs="Times New Roman"/>
                <w:b w:val="0"/>
                <w:bCs w:val="0"/>
                <w:sz w:val="24"/>
                <w:szCs w:val="24"/>
                <w:lang w:val="en-US" w:eastAsia="zh-CN"/>
              </w:rPr>
            </w:pPr>
          </w:p>
        </w:tc>
        <w:tc>
          <w:tcPr>
            <w:tcW w:w="1420" w:type="dxa"/>
            <w:tcBorders>
              <w:top w:val="nil"/>
              <w:bottom w:val="single" w:color="auto" w:sz="4" w:space="0"/>
            </w:tcBorders>
            <w:shd w:val="clear" w:color="auto" w:fill="auto"/>
            <w:vAlign w:val="center"/>
          </w:tcPr>
          <w:p w14:paraId="0E4383F9">
            <w:pPr>
              <w:pStyle w:val="7"/>
              <w:widowControl w:val="0"/>
              <w:jc w:val="center"/>
              <w:rPr>
                <w:rFonts w:hint="default" w:ascii="Times New Roman" w:hAnsi="Times New Roman" w:eastAsia="宋体" w:cs="Times New Roman"/>
                <w:b w:val="0"/>
                <w:bCs/>
                <w:sz w:val="24"/>
                <w:szCs w:val="24"/>
                <w:lang w:val="en-US" w:eastAsia="zh-CN" w:bidi="ar-SA"/>
              </w:rPr>
            </w:pPr>
            <w:r>
              <w:rPr>
                <w:rFonts w:hint="default" w:ascii="Times New Roman" w:hAnsi="Times New Roman" w:eastAsia="宋体" w:cs="Times New Roman"/>
                <w:b w:val="0"/>
                <w:bCs/>
                <w:kern w:val="0"/>
                <w:sz w:val="24"/>
                <w:szCs w:val="24"/>
                <w:lang w:val="en-US" w:eastAsia="zh-CN" w:bidi="ar-SA"/>
              </w:rPr>
              <w:t>NCH</w:t>
            </w:r>
          </w:p>
        </w:tc>
        <w:tc>
          <w:tcPr>
            <w:tcW w:w="1420" w:type="dxa"/>
            <w:tcBorders>
              <w:top w:val="nil"/>
              <w:bottom w:val="single" w:color="auto" w:sz="4" w:space="0"/>
            </w:tcBorders>
            <w:shd w:val="clear" w:color="auto" w:fill="auto"/>
            <w:vAlign w:val="top"/>
          </w:tcPr>
          <w:p w14:paraId="0CEF206C">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84.04</w:t>
            </w:r>
          </w:p>
        </w:tc>
        <w:tc>
          <w:tcPr>
            <w:tcW w:w="1420" w:type="dxa"/>
            <w:tcBorders>
              <w:top w:val="nil"/>
              <w:bottom w:val="single" w:color="auto" w:sz="4" w:space="0"/>
            </w:tcBorders>
            <w:shd w:val="clear" w:color="auto" w:fill="auto"/>
            <w:vAlign w:val="top"/>
          </w:tcPr>
          <w:p w14:paraId="5D677062">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55.91</w:t>
            </w:r>
          </w:p>
        </w:tc>
        <w:tc>
          <w:tcPr>
            <w:tcW w:w="1420" w:type="dxa"/>
            <w:tcBorders>
              <w:top w:val="nil"/>
              <w:bottom w:val="single" w:color="auto" w:sz="4" w:space="0"/>
            </w:tcBorders>
            <w:shd w:val="clear" w:color="auto" w:fill="auto"/>
            <w:vAlign w:val="top"/>
          </w:tcPr>
          <w:p w14:paraId="0B43847A">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4.00</w:t>
            </w:r>
          </w:p>
        </w:tc>
        <w:tc>
          <w:tcPr>
            <w:tcW w:w="1420" w:type="dxa"/>
            <w:tcBorders>
              <w:top w:val="nil"/>
              <w:bottom w:val="single" w:color="auto" w:sz="4" w:space="0"/>
            </w:tcBorders>
            <w:shd w:val="clear" w:color="auto" w:fill="auto"/>
            <w:vAlign w:val="top"/>
          </w:tcPr>
          <w:p w14:paraId="35EE7FB4">
            <w:pPr>
              <w:spacing w:line="360" w:lineRule="auto"/>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0.166</w:t>
            </w:r>
          </w:p>
        </w:tc>
      </w:tr>
      <w:tr w14:paraId="234F3E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8520" w:type="dxa"/>
            <w:gridSpan w:val="6"/>
            <w:tcBorders>
              <w:top w:val="single" w:color="auto" w:sz="4" w:space="0"/>
              <w:bottom w:val="nil"/>
            </w:tcBorders>
            <w:shd w:val="clear" w:color="auto" w:fill="auto"/>
            <w:vAlign w:val="top"/>
          </w:tcPr>
          <w:p w14:paraId="0B24206A">
            <w:pPr>
              <w:spacing w:line="360" w:lineRule="auto"/>
              <w:jc w:val="both"/>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FID, </w:t>
            </w:r>
            <w:r>
              <w:rPr>
                <w:rFonts w:hint="default" w:ascii="Times New Roman" w:hAnsi="Times New Roman" w:cs="Times New Roman"/>
                <w:b w:val="0"/>
                <w:bCs w:val="0"/>
                <w:sz w:val="24"/>
                <w:szCs w:val="24"/>
                <w:lang w:val="en-US" w:eastAsia="zh-CN"/>
              </w:rPr>
              <w:t>Fréchet Inception Distance</w:t>
            </w:r>
            <w:r>
              <w:rPr>
                <w:rFonts w:hint="eastAsia" w:ascii="Times New Roman" w:hAnsi="Times New Roman" w:cs="Times New Roman"/>
                <w:b w:val="0"/>
                <w:bCs w:val="0"/>
                <w:sz w:val="24"/>
                <w:szCs w:val="24"/>
                <w:lang w:val="en-US" w:eastAsia="zh-CN"/>
              </w:rPr>
              <w:t xml:space="preserve">; CF, </w:t>
            </w:r>
            <w:r>
              <w:rPr>
                <w:rFonts w:hint="default" w:ascii="Times New Roman" w:hAnsi="Times New Roman" w:cs="Times New Roman"/>
                <w:b w:val="0"/>
                <w:bCs w:val="0"/>
                <w:sz w:val="24"/>
                <w:szCs w:val="24"/>
                <w:lang w:val="en-US" w:eastAsia="zh-CN"/>
              </w:rPr>
              <w:t>Colorfulness Score</w:t>
            </w:r>
            <w:r>
              <w:rPr>
                <w:rFonts w:hint="eastAsia" w:ascii="Times New Roman" w:hAnsi="Times New Roman" w:cs="Times New Roman"/>
                <w:b w:val="0"/>
                <w:bCs w:val="0"/>
                <w:sz w:val="24"/>
                <w:szCs w:val="24"/>
                <w:lang w:val="en-US" w:eastAsia="zh-CN"/>
              </w:rPr>
              <w:t xml:space="preserve">; SSIM, </w:t>
            </w:r>
            <w:r>
              <w:rPr>
                <w:rFonts w:hint="default" w:ascii="Times New Roman" w:hAnsi="Times New Roman" w:cs="Times New Roman"/>
                <w:b w:val="0"/>
                <w:bCs w:val="0"/>
                <w:sz w:val="24"/>
                <w:szCs w:val="24"/>
                <w:lang w:val="en-US" w:eastAsia="zh-CN"/>
              </w:rPr>
              <w:t>Structural Similarity Index</w:t>
            </w:r>
            <w:r>
              <w:rPr>
                <w:rFonts w:hint="eastAsia" w:ascii="Times New Roman" w:hAnsi="Times New Roman" w:cs="Times New Roman"/>
                <w:b w:val="0"/>
                <w:bCs w:val="0"/>
                <w:sz w:val="24"/>
                <w:szCs w:val="24"/>
                <w:lang w:val="en-US" w:eastAsia="zh-CN"/>
              </w:rPr>
              <w:t>; WCHSCU, West China Hospital, Sichuan University; CPH, Cangxi People's Hospital; NCH, Nanchong Central Hospital.</w:t>
            </w:r>
          </w:p>
        </w:tc>
      </w:tr>
    </w:tbl>
    <w:p w14:paraId="0249185F">
      <w:pPr>
        <w:spacing w:line="360" w:lineRule="auto"/>
        <w:jc w:val="both"/>
        <w:rPr>
          <w:rFonts w:hint="default" w:ascii="Times New Roman" w:hAnsi="Times New Roman" w:cs="Times New Roman"/>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EB3002"/>
    <w:rsid w:val="00663FEE"/>
    <w:rsid w:val="010F53AD"/>
    <w:rsid w:val="036902BF"/>
    <w:rsid w:val="0BC2202A"/>
    <w:rsid w:val="0D6E2FFE"/>
    <w:rsid w:val="0F3D5D2B"/>
    <w:rsid w:val="10626FEC"/>
    <w:rsid w:val="13C133CE"/>
    <w:rsid w:val="147F6DE6"/>
    <w:rsid w:val="19EA253C"/>
    <w:rsid w:val="1ADE151D"/>
    <w:rsid w:val="1E5D0198"/>
    <w:rsid w:val="1F843502"/>
    <w:rsid w:val="214A6A99"/>
    <w:rsid w:val="22DF561F"/>
    <w:rsid w:val="263C4B36"/>
    <w:rsid w:val="2A5F0DF4"/>
    <w:rsid w:val="2C7547EA"/>
    <w:rsid w:val="2CDC5A1D"/>
    <w:rsid w:val="2D9C6103"/>
    <w:rsid w:val="2DB66F7C"/>
    <w:rsid w:val="32C97DB6"/>
    <w:rsid w:val="360A255B"/>
    <w:rsid w:val="3B067ED0"/>
    <w:rsid w:val="3C740740"/>
    <w:rsid w:val="3D846AAF"/>
    <w:rsid w:val="404D7C80"/>
    <w:rsid w:val="41CD7C17"/>
    <w:rsid w:val="43D16466"/>
    <w:rsid w:val="442A6836"/>
    <w:rsid w:val="4545710C"/>
    <w:rsid w:val="46721BA0"/>
    <w:rsid w:val="474B29D4"/>
    <w:rsid w:val="481E3C44"/>
    <w:rsid w:val="4C457577"/>
    <w:rsid w:val="4DFA2192"/>
    <w:rsid w:val="50650662"/>
    <w:rsid w:val="50AF7B2F"/>
    <w:rsid w:val="51165E00"/>
    <w:rsid w:val="53690469"/>
    <w:rsid w:val="54E444E2"/>
    <w:rsid w:val="55173EF5"/>
    <w:rsid w:val="555C60DD"/>
    <w:rsid w:val="58EB3002"/>
    <w:rsid w:val="58F81449"/>
    <w:rsid w:val="5F21731E"/>
    <w:rsid w:val="60031720"/>
    <w:rsid w:val="62217EE6"/>
    <w:rsid w:val="62A74353"/>
    <w:rsid w:val="62D41AF1"/>
    <w:rsid w:val="670818F0"/>
    <w:rsid w:val="6AE53247"/>
    <w:rsid w:val="6BF1089A"/>
    <w:rsid w:val="6CC83FFB"/>
    <w:rsid w:val="6D070B92"/>
    <w:rsid w:val="6E005A16"/>
    <w:rsid w:val="6F441389"/>
    <w:rsid w:val="71042290"/>
    <w:rsid w:val="726A16B0"/>
    <w:rsid w:val="72704323"/>
    <w:rsid w:val="759247A9"/>
    <w:rsid w:val="76E45ED5"/>
    <w:rsid w:val="79703A50"/>
    <w:rsid w:val="7B4B6523"/>
    <w:rsid w:val="7B6F62E1"/>
    <w:rsid w:val="7B7D6B3E"/>
    <w:rsid w:val="7BBA4D55"/>
    <w:rsid w:val="7BC3313A"/>
    <w:rsid w:val="7C124E50"/>
    <w:rsid w:val="7C475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中文正文"/>
    <w:qFormat/>
    <w:uiPriority w:val="0"/>
    <w:pPr>
      <w:spacing w:line="360" w:lineRule="auto"/>
      <w:ind w:firstLine="480" w:firstLineChars="200"/>
    </w:pPr>
    <w:rPr>
      <w:rFonts w:ascii="Times New Roman" w:hAnsi="Times New Roman" w:eastAsia="宋体" w:cs="Times New Roman"/>
      <w:sz w:val="24"/>
      <w:lang w:val="en-US" w:eastAsia="zh-CN" w:bidi="ar-SA"/>
    </w:rPr>
  </w:style>
  <w:style w:type="paragraph" w:customStyle="1" w:styleId="7">
    <w:name w:val="8二级标题"/>
    <w:basedOn w:val="8"/>
    <w:qFormat/>
    <w:uiPriority w:val="0"/>
    <w:pPr>
      <w:jc w:val="left"/>
    </w:pPr>
    <w:rPr>
      <w:sz w:val="28"/>
    </w:rPr>
  </w:style>
  <w:style w:type="paragraph" w:customStyle="1" w:styleId="8">
    <w:name w:val="7一级标题"/>
    <w:next w:val="1"/>
    <w:qFormat/>
    <w:uiPriority w:val="0"/>
    <w:pPr>
      <w:adjustRightInd w:val="0"/>
      <w:snapToGrid w:val="0"/>
      <w:spacing w:line="360" w:lineRule="auto"/>
      <w:jc w:val="center"/>
    </w:pPr>
    <w:rPr>
      <w:rFonts w:ascii="Times New Roman" w:hAnsi="Times New Roman" w:eastAsia="微软雅黑" w:cstheme="minorBidi"/>
      <w:b/>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874</Words>
  <Characters>4873</Characters>
  <Lines>0</Lines>
  <Paragraphs>0</Paragraphs>
  <TotalTime>0</TotalTime>
  <ScaleCrop>false</ScaleCrop>
  <LinksUpToDate>false</LinksUpToDate>
  <CharactersWithSpaces>5586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2026-06-23T10:12:00Z</dcterms:created>
  <dc:creator>袁湘蕾</dc:creator>
  <cp:lastModifiedBy>袁湘蕾</cp:lastModifiedBy>
  <dcterms:modified xsi:type="dcterms:W3CDTF">2026-07-01T08:10:12Z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44DBB1B6CED74A3BB73A1F310AABB108_11</vt:lpwstr>
  </property>
  <property fmtid="{D5CDD505-2E9C-101B-9397-08002B2CF9AE}" pid="4" name="KSOTemplateDocerSaveRecord">
    <vt:lpwstr>eyJoZGlkIjoiMTQ0YWVhODIwNWViNWIwNDU0NDRhNTYwM2Y3NjNiODIiLCJ1c2VySWQiOiIyODY1MDE3MDcifQ==</vt:lpwstr>
  </property>
</Properties>
</file>