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keepLines w:val="0"/>
        <w:spacing w:after="0" w:before="0" w:line="276" w:lineRule="auto"/>
        <w:jc w:val="center"/>
      </w:pPr>
      <w:r>
        <w:rPr>
          <w:rFonts w:ascii="Times New Roman" w:hAnsi="Times New Roman" w:eastAsia="Times New Roman"/>
          <w:sz w:val="24"/>
        </w:rPr>
        <w:t>Additional file 1</w:t>
      </w:r>
    </w:p>
    <w:p>
      <w:pPr>
        <w:pStyle w:val="NoIndent"/>
        <w:keepNext w:val="0"/>
        <w:keepLines w:val="0"/>
        <w:spacing w:after="0" w:before="0" w:line="276" w:lineRule="auto"/>
        <w:jc w:val="center"/>
      </w:pPr>
      <w:r>
        <w:rPr>
          <w:rFonts w:ascii="Times New Roman" w:hAnsi="Times New Roman" w:eastAsia="Times New Roman"/>
          <w:sz w:val="24"/>
        </w:rPr>
        <w:t xml:space="preserve">Growth-year-associated variation in the bulb metabolome, bulb-associated microbiota, and root transcriptome of wild </w:t>
      </w:r>
      <w:r>
        <w:rPr>
          <w:rFonts w:ascii="Times New Roman" w:hAnsi="Times New Roman" w:eastAsia="Times New Roman"/>
          <w:i w:val="1"/>
          <w:sz w:val="24"/>
        </w:rPr>
        <w:t>Fritillaria cirrhosa</w:t>
      </w:r>
    </w:p>
    <w:p>
      <w:pPr>
        <w:pStyle w:val="Heading1"/>
        <w:keepNext w:val="0"/>
        <w:keepLines w:val="0"/>
        <w:spacing w:after="0" w:before="0" w:line="276" w:lineRule="auto"/>
      </w:pPr>
      <w:r>
        <w:t>Supplementary tables and year-5 extension</w:t>
      </w:r>
    </w:p>
    <w:p>
      <w:pPr>
        <w:pStyle w:val="NoIndent"/>
        <w:keepNext w:val="0"/>
        <w:keepLines w:val="0"/>
        <w:spacing w:after="0" w:before="0" w:line="276" w:lineRule="auto"/>
      </w:pPr>
      <w:r>
        <w:t>This file contains three supplementary tables and one supplementary figure that support the statistical results reported in the main manuscript.</w:t>
      </w:r>
    </w:p>
    <w:p>
      <w:pPr>
        <w:pStyle w:val="Heading1"/>
        <w:keepNext w:val="0"/>
        <w:keepLines w:val="0"/>
        <w:spacing w:after="0" w:before="0" w:line="276" w:lineRule="auto"/>
      </w:pPr>
      <w:r>
        <w:t>Table S1. FDR-supported LC-MS features associated with growth year</w:t>
      </w:r>
    </w:p>
    <w:p>
      <w:pPr>
        <w:pStyle w:val="NoIndent"/>
        <w:keepNext w:val="0"/>
        <w:keepLines w:val="0"/>
        <w:spacing w:after="0" w:before="0" w:line="276" w:lineRule="auto"/>
        <w:ind w:firstLine="0"/>
      </w:pPr>
      <w:r>
        <w:t>Features satisfied one-way ANOVA FDR-adjusted P &lt; 0.05 and |Spearman ρ| ≥ 0.60 across years 1-4. Compound names are putative library assignments and were not confirmed with authentic standards.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  <w:jc w:val="center"/>
        <w:tblBorders>
          <w:top w:val="single" w:sz="8" w:space="0" w:color="000000"/>
          <w:left w:val="nil" w:sz="0" w:space="0" w:color="000000"/>
          <w:bottom w:val="single" w:sz="8" w:space="0" w:color="000000"/>
          <w:right w:val="nil" w:sz="0" w:space="0" w:color="000000"/>
          <w:insideH w:val="nil" w:sz="0" w:space="0" w:color="000000"/>
          <w:insideV w:val="nil" w:sz="0" w:space="0" w:color="000000"/>
        </w:tblBorders>
      </w:tblPr>
      <w:tblGrid>
        <w:gridCol w:w="2518"/>
        <w:gridCol w:w="2518"/>
        <w:gridCol w:w="2518"/>
        <w:gridCol w:w="2518"/>
        <w:gridCol w:w="2518"/>
        <w:gridCol w:w="2518"/>
      </w:tblGrid>
      <w:tr>
        <w:trPr>
          <w:tblHeader w:val="true"/>
        </w:trPr>
        <w:tc>
          <w:tcPr>
            <w:tcW w:type="dxa" w:w="2088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Feature ID</w:t>
            </w:r>
          </w:p>
        </w:tc>
        <w:tc>
          <w:tcPr>
            <w:tcW w:type="dxa" w:w="4536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Putative annotation</w:t>
            </w:r>
          </w:p>
        </w:tc>
        <w:tc>
          <w:tcPr>
            <w:tcW w:type="dxa" w:w="1224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Ion mode</w:t>
            </w:r>
          </w:p>
        </w:tc>
        <w:tc>
          <w:tcPr>
            <w:tcW w:type="dxa" w:w="1440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ANOVA P</w:t>
            </w:r>
          </w:p>
        </w:tc>
        <w:tc>
          <w:tcPr>
            <w:tcW w:type="dxa" w:w="1440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FDR q</w:t>
            </w:r>
          </w:p>
        </w:tc>
        <w:tc>
          <w:tcPr>
            <w:tcW w:type="dxa" w:w="1800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Spearman ρ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Com_159_pos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PC (18:1/18:2)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pos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8.58e-07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0.00182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-0.842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Com_4333_neg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Tracheloside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neg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5.7e-06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0.00603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0.864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Com_890_pos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PC (17:0/17:1)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pos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1.66e-05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0.0088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-0.756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Com_15079_pos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LPE 20:5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pos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3.13e-05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0.0123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-0.972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Com_343_pos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DL-Stachydrine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pos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6.19e-05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0.0168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-0.885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Com_7124_pos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L-Cystine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pos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6.36e-05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0.0168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-0.885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Com_13024_pos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Emetine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pos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0.000131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0.0277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0.928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Com_292_pos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L-Ornithine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pos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0.000152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0.0292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-0.885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Com_9987_neg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Antiarol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neg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0.000173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0.0306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0.907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Com_734_pos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Nootkatone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pos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0.000188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0.0307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-0.734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Com_652_pos</w:t>
            </w:r>
          </w:p>
        </w:tc>
        <w:tc>
          <w:tcPr>
            <w:tcW w:type="dxa" w:w="4536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4-Methoxycinnamaldehyde</w:t>
            </w:r>
          </w:p>
        </w:tc>
        <w:tc>
          <w:tcPr>
            <w:tcW w:type="dxa" w:w="1224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pos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0.000266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0.0402</w:t>
            </w:r>
          </w:p>
        </w:tc>
        <w:tc>
          <w:tcPr>
            <w:tcW w:type="dxa" w:w="1800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0.734</w:t>
            </w:r>
          </w:p>
        </w:tc>
      </w:tr>
    </w:tbl>
    <w:p>
      <w:pPr>
        <w:keepNext w:val="0"/>
        <w:keepLines w:val="0"/>
        <w:spacing w:after="0" w:before="0" w:line="276" w:lineRule="auto"/>
      </w:pPr>
      <w:r>
        <w:rPr>
          <w:rFonts w:ascii="Times New Roman" w:hAnsi="Times New Roman" w:eastAsia="Times New Roman"/>
          <w:sz w:val="24"/>
        </w:rPr>
      </w:r>
    </w:p>
    <w:p>
      <w:pPr>
        <w:pStyle w:val="Heading1"/>
        <w:keepNext w:val="0"/>
        <w:keepLines w:val="0"/>
        <w:spacing w:after="0" w:before="0" w:line="276" w:lineRule="auto"/>
      </w:pPr>
      <w:r>
        <w:t>Table S2. Bacterial and fungal alpha-diversity summary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  <w:jc w:val="center"/>
        <w:tblBorders>
          <w:top w:val="single" w:sz="8" w:space="0" w:color="000000"/>
          <w:left w:val="nil" w:sz="0" w:space="0" w:color="000000"/>
          <w:bottom w:val="single" w:sz="8" w:space="0" w:color="000000"/>
          <w:right w:val="nil" w:sz="0" w:space="0" w:color="000000"/>
          <w:insideH w:val="nil" w:sz="0" w:space="0" w:color="000000"/>
          <w:insideV w:val="nil" w:sz="0" w:space="0" w:color="000000"/>
        </w:tblBorders>
      </w:tblPr>
      <w:tblGrid>
        <w:gridCol w:w="2518"/>
        <w:gridCol w:w="2518"/>
        <w:gridCol w:w="2518"/>
        <w:gridCol w:w="2518"/>
        <w:gridCol w:w="2518"/>
        <w:gridCol w:w="2518"/>
      </w:tblGrid>
      <w:tr>
        <w:trPr>
          <w:tblHeader w:val="true"/>
        </w:trPr>
        <w:tc>
          <w:tcPr>
            <w:tcW w:type="dxa" w:w="2088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Kingdom</w:t>
            </w:r>
          </w:p>
        </w:tc>
        <w:tc>
          <w:tcPr>
            <w:tcW w:type="dxa" w:w="2088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Growth year</w:t>
            </w:r>
          </w:p>
        </w:tc>
        <w:tc>
          <w:tcPr>
            <w:tcW w:type="dxa" w:w="2232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Observed mean</w:t>
            </w:r>
          </w:p>
        </w:tc>
        <w:tc>
          <w:tcPr>
            <w:tcW w:type="dxa" w:w="2232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Observed SD</w:t>
            </w:r>
          </w:p>
        </w:tc>
        <w:tc>
          <w:tcPr>
            <w:tcW w:type="dxa" w:w="2232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Shannon mean</w:t>
            </w:r>
          </w:p>
        </w:tc>
        <w:tc>
          <w:tcPr>
            <w:tcW w:type="dxa" w:w="2232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Shannon SD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Bacteria</w:t>
            </w:r>
          </w:p>
        </w:tc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816.67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522.13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4.053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1.549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Bacteria</w:t>
            </w:r>
          </w:p>
        </w:tc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427.67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331.28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2.724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0.720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Bacteria</w:t>
            </w:r>
          </w:p>
        </w:tc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1156.00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267.68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4.929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0.589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Bacteria</w:t>
            </w:r>
          </w:p>
        </w:tc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4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591.33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457.73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3.536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1.360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Fungi</w:t>
            </w:r>
          </w:p>
        </w:tc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24.67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14.01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2.395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0.654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Fungi</w:t>
            </w:r>
          </w:p>
        </w:tc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42.00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32.14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2.701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0.391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Fungi</w:t>
            </w:r>
          </w:p>
        </w:tc>
        <w:tc>
          <w:tcPr>
            <w:tcW w:type="dxa" w:w="208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240.33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185.44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3.488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0.492</w:t>
            </w:r>
          </w:p>
        </w:tc>
      </w:tr>
      <w:tr>
        <w:tc>
          <w:tcPr>
            <w:tcW w:type="dxa" w:w="2088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Fungi</w:t>
            </w:r>
          </w:p>
        </w:tc>
        <w:tc>
          <w:tcPr>
            <w:tcW w:type="dxa" w:w="2088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4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264.33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91.22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2.526</w:t>
            </w:r>
          </w:p>
        </w:tc>
        <w:tc>
          <w:tcPr>
            <w:tcW w:type="dxa" w:w="2232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0.511</w:t>
            </w:r>
          </w:p>
        </w:tc>
      </w:tr>
    </w:tbl>
    <w:p>
      <w:pPr>
        <w:keepNext w:val="0"/>
        <w:keepLines w:val="0"/>
        <w:spacing w:after="0" w:before="0" w:line="276" w:lineRule="auto"/>
      </w:pPr>
      <w:r>
        <w:rPr>
          <w:rFonts w:ascii="Times New Roman" w:hAnsi="Times New Roman" w:eastAsia="Times New Roman"/>
          <w:sz w:val="24"/>
        </w:rPr>
      </w:r>
    </w:p>
    <w:p>
      <w:pPr>
        <w:pStyle w:val="Heading1"/>
        <w:keepNext w:val="0"/>
        <w:keepLines w:val="0"/>
        <w:spacing w:after="0" w:before="0" w:line="276" w:lineRule="auto"/>
      </w:pPr>
      <w:r>
        <w:t>Table S3. Adjacent-year root RNA-seq differential-expression and KEGG enrichment summary</w:t>
      </w:r>
    </w:p>
    <w:p>
      <w:pPr>
        <w:pStyle w:val="NoIndent"/>
        <w:keepNext w:val="0"/>
        <w:keepLines w:val="0"/>
        <w:spacing w:after="0" w:before="0" w:line="276" w:lineRule="auto"/>
        <w:ind w:firstLine="0"/>
      </w:pPr>
      <w:r>
        <w:t>KEGG terms are ordered within each adjacent-year contrast by nominal enrichment P value. Statistical interpretation is based on FDR-adjusted q values.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  <w:jc w:val="center"/>
        <w:tblBorders>
          <w:top w:val="single" w:sz="8" w:space="0" w:color="000000"/>
          <w:left w:val="nil" w:sz="0" w:space="0" w:color="000000"/>
          <w:bottom w:val="single" w:sz="8" w:space="0" w:color="000000"/>
          <w:right w:val="nil" w:sz="0" w:space="0" w:color="000000"/>
          <w:insideH w:val="nil" w:sz="0" w:space="0" w:color="000000"/>
          <w:insideV w:val="nil" w:sz="0" w:space="0" w:color="000000"/>
        </w:tblBorders>
      </w:tblPr>
      <w:tblGrid>
        <w:gridCol w:w="2158"/>
        <w:gridCol w:w="2158"/>
        <w:gridCol w:w="2158"/>
        <w:gridCol w:w="2158"/>
        <w:gridCol w:w="2158"/>
        <w:gridCol w:w="2158"/>
        <w:gridCol w:w="2158"/>
      </w:tblGrid>
      <w:tr>
        <w:trPr>
          <w:tblHeader w:val="true"/>
        </w:trPr>
        <w:tc>
          <w:tcPr>
            <w:tcW w:type="dxa" w:w="1656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Contrast</w:t>
            </w:r>
          </w:p>
        </w:tc>
        <w:tc>
          <w:tcPr>
            <w:tcW w:type="dxa" w:w="1008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Up</w:t>
            </w:r>
          </w:p>
        </w:tc>
        <w:tc>
          <w:tcPr>
            <w:tcW w:type="dxa" w:w="1008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Down</w:t>
            </w:r>
          </w:p>
        </w:tc>
        <w:tc>
          <w:tcPr>
            <w:tcW w:type="dxa" w:w="6264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KEGG term</w:t>
            </w:r>
          </w:p>
        </w:tc>
        <w:tc>
          <w:tcPr>
            <w:tcW w:type="dxa" w:w="1440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Nominal P</w:t>
            </w:r>
          </w:p>
        </w:tc>
        <w:tc>
          <w:tcPr>
            <w:tcW w:type="dxa" w:w="1440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FDR q</w:t>
            </w:r>
          </w:p>
        </w:tc>
        <w:tc>
          <w:tcPr>
            <w:tcW w:type="dxa" w:w="1152"/>
            <w:vAlign w:val="center"/>
            <w:tcBorders>
              <w:bottom w:val="single" w:sz="8" w:space="0" w:color="000000"/>
              <w:top w:val="single" w:sz="12" w:color="000000"/>
              <w:left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Input n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 vs 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69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88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Glycolysis / Gluconeogenesis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0.0173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0.512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 vs 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69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88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Starch and sucrose metabolism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0.0252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0.512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 vs 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69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88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Tyrosine metabolism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0.0358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0.512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 vs 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69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88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Other glycan degradation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0.0483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0.512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 vs 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69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88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Valine, leucine and isoleucine degradation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0.0502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0.512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 vs 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69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88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Pantothenate and CoA biosynthesis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0.0822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0.619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 vs 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69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88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Pentose and glucuronate interconversions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0.085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0.619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1 vs 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69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88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Phenylpropanoid biosynthesis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0.123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0.667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 vs 3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66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Protein processing in endoplasmic reticulum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0.00128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 vs 3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66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Plant-pathogen interaction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0.00788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0.181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 vs 3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66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Pantothenate and CoA biosynthesis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0.0173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0.265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 vs 3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66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Thiamine metabolism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0.0337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0.388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 vs 3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66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Phenylalanine metabolism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0.0467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0.429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 vs 3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66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Ubiquinone and other terpenoid-quinone biosynthesis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0.0716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0.532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 vs 3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66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Glycosphingolipid biosynthesis - ganglio series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0.103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0.532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2 vs 3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66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Sulfur metabolism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0.107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0.532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 vs 4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202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116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Protein processing in endoplasmic reticulum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2.64e-06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0.000198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23.0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 vs 4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202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116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Protein export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0.0187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0.701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 vs 4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202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116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Base excision repair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0.0601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 vs 4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202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116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Pantothenate and CoA biosynthesis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0.0952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 vs 4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202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116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Endocytosis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0.111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 vs 4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202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116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Valine, leucine and isoleucine degradation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0.119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 vs 4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202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116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Spliceosome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0.131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12.0</w:t>
            </w:r>
          </w:p>
        </w:tc>
      </w:tr>
      <w:tr>
        <w:tc>
          <w:tcPr>
            <w:tcW w:type="dxa" w:w="1656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Year 3 vs 4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202</w:t>
            </w:r>
          </w:p>
        </w:tc>
        <w:tc>
          <w:tcPr>
            <w:tcW w:type="dxa" w:w="1008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116</w:t>
            </w:r>
          </w:p>
        </w:tc>
        <w:tc>
          <w:tcPr>
            <w:tcW w:type="dxa" w:w="6264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Valine, leucine and isoleucine biosynthesis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0.142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0.859</w:t>
            </w:r>
          </w:p>
        </w:tc>
        <w:tc>
          <w:tcPr>
            <w:tcW w:type="dxa" w:w="1152"/>
            <w:vAlign w:val="center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after="0" w:line="216" w:lineRule="auto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2.0</w:t>
            </w:r>
          </w:p>
        </w:tc>
      </w:tr>
    </w:tbl>
    <w:p>
      <w:pPr>
        <w:keepNext w:val="0"/>
        <w:keepLines w:val="0"/>
        <w:spacing w:after="0" w:before="0" w:line="276" w:lineRule="auto"/>
      </w:pPr>
      <w:r>
        <w:rPr>
          <w:rFonts w:ascii="Times New Roman" w:hAnsi="Times New Roman" w:eastAsia="Times New Roman"/>
          <w:sz w:val="24"/>
        </w:rPr>
      </w:r>
    </w:p>
    <w:p>
      <w:pPr>
        <w:pStyle w:val="Caption"/>
        <w:keepNext w:val="0"/>
        <w:keepLines w:val="0"/>
        <w:spacing w:after="0" w:before="0" w:line="276" w:lineRule="auto"/>
      </w:pPr>
      <w:r>
        <w:t>Figure S1. Year-5 metabolome and microbial-richness extension</w:t>
      </w:r>
    </w:p>
    <w:p>
      <w:pPr>
        <w:pStyle w:val="Caption"/>
        <w:keepNext w:val="0"/>
        <w:keepLines w:val="0"/>
        <w:spacing w:after="0" w:before="0" w:line="276" w:lineRule="auto"/>
      </w:pPr>
      <w:r>
        <w:t>Figure S1. Late-stage extension beyond the four-year integrated analysis. (A) Volcano plot for the year 4-5 pairwise metabolite contrast. Vertical dashed lines indicate |log₂ fold change| = 0.5 and the horizontal dashed line indicates P = 0.05; grey points fall within the fold-change interval. (B) Observed bacterial and fungal richness across years 1-5. Boxes show interquartile ranges, centre lines show medians, and points represent biological replicates. Year 5 was excluded from the primary cross-layer analysis because matched root RNA-seq data were unavailable.</w:t>
      </w:r>
    </w:p>
    <w:p>
      <w:pPr>
        <w:keepNext w:val="0"/>
        <w:keepLines w:val="0"/>
        <w:spacing w:after="0" w:before="0" w:line="276" w:lineRule="auto"/>
        <w:jc w:val="center"/>
      </w:pPr>
      <w:r>
        <w:rPr>
          <w:rFonts w:ascii="Times New Roman" w:hAnsi="Times New Roman" w:eastAsia="Times New Roman"/>
        </w:rPr>
        <w:drawing>
          <wp:inline xmlns:a="http://schemas.openxmlformats.org/drawingml/2006/main" xmlns:pic="http://schemas.openxmlformats.org/drawingml/2006/picture">
            <wp:extent cx="5943600" cy="285777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7778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9"/>
      <w:pgSz w:w="16834" w:h="11909" w:orient="landscape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 w:after="0"/>
      <w:ind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20" w:after="0" w:line="240" w:lineRule="auto"/>
      <w:ind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ind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20" w:after="0" w:line="240" w:lineRule="auto"/>
      <w:ind/>
      <w:outlineLvl w:val="2"/>
    </w:pPr>
    <w:rPr>
      <w:rFonts w:asciiTheme="majorHAnsi" w:eastAsiaTheme="majorEastAsia" w:hAnsiTheme="majorHAnsi" w:cstheme="majorBidi" w:ascii="Times New Roman" w:hAnsi="Times New Roman" w:eastAsia="Times New Roman"/>
      <w:b w:val="0"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spacing w:after="0" w:line="240" w:lineRule="auto" w:before="0"/>
      <w:ind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 w:before="0" w:after="0"/>
      <w:ind/>
    </w:pPr>
    <w:rPr>
      <w:rFonts w:ascii="Times New Roman" w:hAnsi="Times New Roman" w:eastAsia="Times New Roman"/>
      <w:b w:val="0"/>
      <w:bCs/>
      <w:i w:val="0"/>
      <w:color w:val="000000"/>
      <w:sz w:val="22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Indent">
    <w:name w:val="NoIndent"/>
    <w:basedOn w:val="Normal"/>
    <w:pPr>
      <w:spacing w:before="0" w:after="0" w:line="240" w:lineRule="auto"/>
      <w:ind/>
    </w:pPr>
    <w:rPr>
      <w:rFonts w:ascii="Times New Roman" w:hAnsi="Times New Roman" w:eastAsia="Times New Roman"/>
      <w:b w:val="0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keywords/>
  <dc:description/>
</cp:coreProperties>
</file>