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after="20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S1.</w:t>
      </w:r>
      <w:r w:rsidDel="00000000" w:rsidR="00000000" w:rsidRPr="00000000">
        <w:rPr>
          <w:rFonts w:ascii="Times New Roman" w:cs="Times New Roman" w:eastAsia="Times New Roman" w:hAnsi="Times New Roman"/>
          <w:sz w:val="24"/>
          <w:szCs w:val="24"/>
          <w:rtl w:val="0"/>
        </w:rPr>
        <w:t xml:space="preserve"> Variables included in the clustering procedure</w:t>
      </w:r>
      <w:r w:rsidDel="00000000" w:rsidR="00000000" w:rsidRPr="00000000">
        <w:rPr>
          <w:rtl w:val="0"/>
        </w:rPr>
      </w:r>
    </w:p>
    <w:tbl>
      <w:tblPr>
        <w:tblStyle w:val="Table1"/>
        <w:tblW w:w="9025.511811023624"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004.1048067119539"/>
        <w:gridCol w:w="2525.078187379464"/>
        <w:gridCol w:w="4496.328816932206"/>
        <w:tblGridChange w:id="0">
          <w:tblGrid>
            <w:gridCol w:w="2004.1048067119539"/>
            <w:gridCol w:w="2525.078187379464"/>
            <w:gridCol w:w="4496.328816932206"/>
          </w:tblGrid>
        </w:tblGridChange>
      </w:tblGrid>
      <w:tr>
        <w:trPr>
          <w:cantSplit w:val="0"/>
          <w:trHeight w:val="1566.6314338235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2">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b w:val="1"/>
                <w:bCs w:val="1"/>
                <w:sz w:val="24"/>
                <w:szCs w:val="24"/>
                <w:rtl w:val="0"/>
              </w:rPr>
              <w:t xml:space="preserve">Domain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3">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b w:val="1"/>
                <w:bCs w:val="1"/>
                <w:sz w:val="24"/>
                <w:szCs w:val="24"/>
                <w:rtl w:val="0"/>
              </w:rPr>
              <w:t xml:space="preserve">Variable included in cluster analysis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4">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b w:val="1"/>
                <w:bCs w:val="1"/>
                <w:sz w:val="24"/>
                <w:szCs w:val="24"/>
                <w:rtl w:val="0"/>
              </w:rPr>
              <w:t xml:space="preserve">Operational definition / coding</w:t>
            </w:r>
            <w:r w:rsidDel="00000000" w:rsidR="00000000" w:rsidRPr="00000000">
              <w:rPr>
                <w:rtl w:val="0"/>
              </w:rPr>
            </w:r>
          </w:p>
        </w:tc>
      </w:tr>
      <w:tr>
        <w:trPr>
          <w:cantSplit w:val="0"/>
          <w:trHeight w:val="1566.6314338235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5">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Cancer status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6">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Active cancer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Active malignancy at the time of the index VTE event</w:t>
            </w:r>
          </w:p>
        </w:tc>
      </w:tr>
      <w:tr>
        <w:trPr>
          <w:cantSplit w:val="0"/>
          <w:trHeight w:val="1566.6314338235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8">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Demographic characteristics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Age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Age at index VTE event</w:t>
            </w:r>
          </w:p>
        </w:tc>
      </w:tr>
      <w:tr>
        <w:trPr>
          <w:cantSplit w:val="0"/>
          <w:trHeight w:val="1566.6314338235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Demographic characteristics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Sex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Female or male</w:t>
            </w:r>
          </w:p>
        </w:tc>
      </w:tr>
      <w:tr>
        <w:trPr>
          <w:cantSplit w:val="0"/>
          <w:trHeight w:val="1566.6314338235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Cardiovascular comorbidities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Heart failure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History of heart failure documented in the medical record</w:t>
            </w:r>
          </w:p>
        </w:tc>
      </w:tr>
      <w:tr>
        <w:trPr>
          <w:cantSplit w:val="0"/>
          <w:trHeight w:val="1566.6314338235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Cardiovascular comorbidities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Arterial hypertension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History of arterial hypertension</w:t>
            </w:r>
          </w:p>
        </w:tc>
      </w:tr>
      <w:tr>
        <w:trPr>
          <w:cantSplit w:val="0"/>
          <w:trHeight w:val="1566.6314338235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Cardiovascular comorbidities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Diabetes mellitus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History of diabetes mellitus</w:t>
            </w:r>
          </w:p>
        </w:tc>
      </w:tr>
      <w:tr>
        <w:trPr>
          <w:cantSplit w:val="0"/>
          <w:trHeight w:val="1566.6314338235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Cardiovascular comorbidities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Cerebrovascular disease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History of stroke or cerebrovascular disease</w:t>
            </w:r>
          </w:p>
        </w:tc>
      </w:tr>
      <w:tr>
        <w:trPr>
          <w:cantSplit w:val="0"/>
          <w:trHeight w:val="1566.6314338235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Cardiovascular comorbidities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Atherosclerotic disease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History of coronary artery disease, peripheral artery disease, or other atherosclerotic cardiovascular disease</w:t>
            </w:r>
          </w:p>
        </w:tc>
      </w:tr>
      <w:tr>
        <w:trPr>
          <w:cantSplit w:val="0"/>
          <w:trHeight w:val="1566.6314338235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Cardiovascular comorbidities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Atrial fibrillation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History of atrial fibrillation</w:t>
            </w:r>
          </w:p>
        </w:tc>
      </w:tr>
      <w:tr>
        <w:trPr>
          <w:cantSplit w:val="0"/>
          <w:trHeight w:val="1566.6314338235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Other comorbidities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Chronic kidney disease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History of chronic kidney disease</w:t>
            </w:r>
          </w:p>
        </w:tc>
      </w:tr>
      <w:tr>
        <w:trPr>
          <w:cantSplit w:val="0"/>
          <w:trHeight w:val="1566.6314338235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Other comorbidities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Chronic obstructive pulmonary disease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History of COPD</w:t>
            </w:r>
          </w:p>
        </w:tc>
      </w:tr>
      <w:tr>
        <w:trPr>
          <w:cantSplit w:val="0"/>
          <w:trHeight w:val="1566.6314338235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Bleeding risk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High bleeding risk according to HAS-BLED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Gungsuh" w:cs="Gungsuh" w:eastAsia="Gungsuh" w:hAnsi="Gungsuh"/>
                <w:sz w:val="24"/>
                <w:szCs w:val="24"/>
                <w:rtl w:val="0"/>
              </w:rPr>
              <w:t xml:space="preserve">HAS-BLED score ≥3</w:t>
            </w:r>
          </w:p>
        </w:tc>
      </w:tr>
      <w:tr>
        <w:trPr>
          <w:cantSplit w:val="0"/>
          <w:trHeight w:val="1566.6314338235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Thrombotic history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History of VTE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Previous history of venous thromboembolism before the index event</w:t>
            </w:r>
          </w:p>
        </w:tc>
      </w:tr>
      <w:tr>
        <w:trPr>
          <w:cantSplit w:val="0"/>
          <w:trHeight w:val="9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Recent clinical exposures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Recent hospitalization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Hospitalization within the 3 months preceding the index VTE event</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Recent clinical exposures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Recent surgery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Surgery within the 3 months preceding the index VTE event</w:t>
            </w:r>
          </w:p>
        </w:tc>
      </w:tr>
      <w:tr>
        <w:trPr>
          <w:cantSplit w:val="0"/>
          <w:trHeight w:val="1566.63143382352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Recent clinical exposures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Recent central venous catheter use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spacing w:after="240" w:before="240" w:line="360" w:lineRule="auto"/>
              <w:jc w:val="both"/>
              <w:rPr>
                <w:rFonts w:ascii="Times New Roman" w:cs="Times New Roman" w:eastAsia="Times New Roman" w:hAnsi="Times New Roman"/>
                <w:sz w:val="24"/>
                <w:szCs w:val="24"/>
              </w:rPr>
            </w:pPr>
            <w:bookmarkStart w:colFirst="0" w:colLast="0" w:name="_f63g11pira13" w:id="0"/>
            <w:bookmarkEnd w:id="0"/>
            <w:r w:rsidDel="00000000" w:rsidR="00000000" w:rsidRPr="00000000">
              <w:rPr>
                <w:rFonts w:ascii="Times New Roman" w:cs="Times New Roman" w:eastAsia="Times New Roman" w:hAnsi="Times New Roman"/>
                <w:sz w:val="24"/>
                <w:szCs w:val="24"/>
                <w:rtl w:val="0"/>
              </w:rPr>
              <w:t xml:space="preserve">Central venous catheter use within the 3 months preceding the index VTE event</w:t>
            </w:r>
          </w:p>
        </w:tc>
      </w:tr>
    </w:tbl>
    <w:p w:rsidR="00000000" w:rsidDel="00000000" w:rsidP="00000000" w:rsidRDefault="00000000" w:rsidRPr="00000000" w14:paraId="00000035">
      <w:pPr>
        <w:keepNext w:val="1"/>
        <w:spacing w:after="20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VTE: venous thromboembolism; COPD: chronic obstructive pulmonary disease. Sixteen variables reflecting patient clinical characteristics, comorbidities, and recent clinical exposures were included in the clustering procedure. Tumor site and oncologic treatments were intentionally excluded from the clustering process to ensure that the derived groups represented patient-level clinical phenotypes rather than oncologic categories.</w:t>
      </w:r>
      <w:r w:rsidDel="00000000" w:rsidR="00000000" w:rsidRPr="00000000">
        <w:rPr>
          <w:rtl w:val="0"/>
        </w:rPr>
      </w:r>
    </w:p>
    <w:p w:rsidR="00000000" w:rsidDel="00000000" w:rsidP="00000000" w:rsidRDefault="00000000" w:rsidRPr="00000000" w14:paraId="00000036">
      <w:pPr>
        <w:spacing w:after="240" w:before="240" w:line="360" w:lineRule="auto"/>
        <w:jc w:val="both"/>
        <w:rPr>
          <w:rFonts w:ascii="Times New Roman" w:cs="Times New Roman" w:eastAsia="Times New Roman" w:hAnsi="Times New Roman"/>
          <w:b w:val="1"/>
          <w:bCs w:val="1"/>
          <w:sz w:val="24"/>
          <w:szCs w:val="24"/>
        </w:rPr>
      </w:pPr>
      <w:bookmarkStart w:colFirst="0" w:colLast="0" w:name="_owve5lnb5es4" w:id="1"/>
      <w:bookmarkEnd w:id="1"/>
      <w:r w:rsidDel="00000000" w:rsidR="00000000" w:rsidRPr="00000000">
        <w:rPr>
          <w:rtl w:val="0"/>
        </w:rPr>
      </w:r>
    </w:p>
    <w:p w:rsidR="00000000" w:rsidDel="00000000" w:rsidP="00000000" w:rsidRDefault="00000000" w:rsidRPr="00000000" w14:paraId="00000037">
      <w:pPr>
        <w:spacing w:after="240" w:before="24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Impact of censoring and truncated survival analysis</w:t>
      </w:r>
    </w:p>
    <w:p w:rsidR="00000000" w:rsidDel="00000000" w:rsidP="00000000" w:rsidRDefault="00000000" w:rsidRPr="00000000" w14:paraId="0000003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Across all clusters, a high proportion of patients were censored, indicating that most individuals did not experience the event of interest during follow-up. The proportion of deaths was highest in Cluster 3 (5.3%), followed by Cluster 2 (4.3%) and Cluster 1 (3.3%). As follow-up extended beyond 10 years, the number of patients at risk declined substantially across all groups, increasing the instability of survival estimates and limiting interpretability at later time points.</w:t>
      </w:r>
    </w:p>
    <w:p w:rsidR="00000000" w:rsidDel="00000000" w:rsidP="00000000" w:rsidRDefault="00000000" w:rsidRPr="00000000" w14:paraId="00000039">
      <w:pPr>
        <w:keepNext w:val="1"/>
        <w:spacing w:after="20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S2.</w:t>
      </w:r>
      <w:r w:rsidDel="00000000" w:rsidR="00000000" w:rsidRPr="00000000">
        <w:rPr>
          <w:rFonts w:ascii="Times New Roman" w:cs="Times New Roman" w:eastAsia="Times New Roman" w:hAnsi="Times New Roman"/>
          <w:sz w:val="24"/>
          <w:szCs w:val="24"/>
          <w:rtl w:val="0"/>
        </w:rPr>
        <w:t xml:space="preserve"> Distribution of events and censoring by clinical cluster</w:t>
      </w:r>
    </w:p>
    <w:tbl>
      <w:tblPr>
        <w:tblStyle w:val="Table2"/>
        <w:tblW w:w="838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50"/>
        <w:gridCol w:w="1350"/>
        <w:gridCol w:w="1350"/>
        <w:gridCol w:w="1350"/>
        <w:gridCol w:w="1350"/>
        <w:gridCol w:w="1635"/>
        <w:tblGridChange w:id="0">
          <w:tblGrid>
            <w:gridCol w:w="1350"/>
            <w:gridCol w:w="1350"/>
            <w:gridCol w:w="1350"/>
            <w:gridCol w:w="1350"/>
            <w:gridCol w:w="1350"/>
            <w:gridCol w:w="1635"/>
          </w:tblGrid>
        </w:tblGridChange>
      </w:tblGrid>
      <w:tr>
        <w:trPr>
          <w:cantSplit w:val="0"/>
          <w:trHeight w:val="300" w:hRule="atLeast"/>
          <w:tblHeader w:val="1"/>
        </w:trPr>
        <w:tc>
          <w:tcPr>
            <w:tcBorders>
              <w:top w:color="000000" w:space="0" w:sz="5" w:val="single"/>
              <w:left w:color="000000" w:space="0" w:sz="5" w:val="single"/>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3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Cluster</w:t>
            </w:r>
          </w:p>
        </w:tc>
        <w:tc>
          <w:tcPr>
            <w:tcBorders>
              <w:top w:color="000000" w:space="0" w:sz="5" w:val="single"/>
              <w:left w:color="000000" w:space="0" w:sz="0" w:val="nil"/>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3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tcBorders>
              <w:top w:color="000000" w:space="0" w:sz="5" w:val="single"/>
              <w:left w:color="000000" w:space="0" w:sz="0" w:val="nil"/>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3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Deaths</w:t>
            </w:r>
          </w:p>
        </w:tc>
        <w:tc>
          <w:tcPr>
            <w:tcBorders>
              <w:top w:color="000000" w:space="0" w:sz="5" w:val="single"/>
              <w:left w:color="000000" w:space="0" w:sz="0" w:val="nil"/>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3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Censored</w:t>
            </w:r>
          </w:p>
        </w:tc>
        <w:tc>
          <w:tcPr>
            <w:tcBorders>
              <w:top w:color="000000" w:space="0" w:sz="5" w:val="single"/>
              <w:left w:color="000000" w:space="0" w:sz="0" w:val="nil"/>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3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Events, %</w:t>
            </w:r>
          </w:p>
        </w:tc>
        <w:tc>
          <w:tcPr>
            <w:tcBorders>
              <w:top w:color="000000" w:space="0" w:sz="5" w:val="single"/>
              <w:left w:color="000000" w:space="0" w:sz="0" w:val="nil"/>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3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Censoring, %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4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4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367</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4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4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355</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4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4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96,7%</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4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4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211</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4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4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4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4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95,7%</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4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4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4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4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5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w:t>
            </w:r>
          </w:p>
        </w:tc>
        <w:tc>
          <w:tcPr>
            <w:tcBorders>
              <w:top w:color="000000" w:space="0" w:sz="0" w:val="nil"/>
              <w:left w:color="000000" w:space="0" w:sz="0" w:val="nil"/>
              <w:bottom w:color="000000" w:space="0" w:sz="5" w:val="single"/>
              <w:right w:color="000000" w:space="0" w:sz="5" w:val="single"/>
            </w:tcBorders>
            <w:tcMar>
              <w:top w:w="0.0" w:type="dxa"/>
              <w:left w:w="80.0" w:type="dxa"/>
              <w:bottom w:w="0.0" w:type="dxa"/>
              <w:right w:w="80.0" w:type="dxa"/>
            </w:tcMar>
            <w:vAlign w:val="top"/>
          </w:tcPr>
          <w:p w:rsidR="00000000" w:rsidDel="00000000" w:rsidP="00000000" w:rsidRDefault="00000000" w:rsidRPr="00000000" w14:paraId="0000005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94,7%</w:t>
            </w:r>
          </w:p>
        </w:tc>
      </w:tr>
    </w:tbl>
    <w:p w:rsidR="00000000" w:rsidDel="00000000" w:rsidP="00000000" w:rsidRDefault="00000000" w:rsidRPr="00000000" w14:paraId="00000052">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minimize instability related to sparse numbers at risk during late follow-up, survival analyses were administratively truncated at 10 years. Within this time frame, survival estimates were considered more stable and clinically interpretable.</w:t>
      </w:r>
    </w:p>
    <w:p w:rsidR="00000000" w:rsidDel="00000000" w:rsidP="00000000" w:rsidRDefault="00000000" w:rsidRPr="00000000" w14:paraId="00000053">
      <w:pPr>
        <w:spacing w:after="240" w:before="24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after="240" w:before="240" w:line="240" w:lineRule="auto"/>
        <w:ind w:left="384.0000000000000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after="240" w:before="240" w:line="240" w:lineRule="auto"/>
        <w:ind w:left="384.0000000000000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after="240" w:before="240" w:line="240" w:lineRule="auto"/>
        <w:ind w:left="384.0000000000000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after="240" w:before="240" w:line="240" w:lineRule="auto"/>
        <w:ind w:left="384.0000000000000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after="240" w:before="240" w:line="240" w:lineRule="auto"/>
        <w:ind w:left="384.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870200"/>
            <wp:effectExtent b="0" l="0" r="0" t="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731200" cy="2870200"/>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spacing w:after="240" w:before="24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Figure S1. </w:t>
      </w:r>
      <w:r w:rsidDel="00000000" w:rsidR="00000000" w:rsidRPr="00000000">
        <w:rPr>
          <w:rFonts w:ascii="Times New Roman" w:cs="Times New Roman" w:eastAsia="Times New Roman" w:hAnsi="Times New Roman"/>
          <w:sz w:val="24"/>
          <w:szCs w:val="24"/>
          <w:rtl w:val="0"/>
        </w:rPr>
        <w:t xml:space="preserve">Average silhouette scores across candidate cluster solutions. </w:t>
      </w:r>
    </w:p>
    <w:p w:rsidR="00000000" w:rsidDel="00000000" w:rsidP="00000000" w:rsidRDefault="00000000" w:rsidRPr="00000000" w14:paraId="0000005B">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Average silhouette scores were calculated for cluster solutions ranging from k = 2 to k = 7 following multiple correspondence analysis and hierarchical clustering. The two-cluster solution showed the highest silhouette score; however, a three-cluster solution was selected for the final analysis because it provided greater clinical interpretability and allowed identification of clinically distinct phenotypes.</w:t>
      </w:r>
    </w:p>
    <w:p w:rsidR="00000000" w:rsidDel="00000000" w:rsidP="00000000" w:rsidRDefault="00000000" w:rsidRPr="00000000" w14:paraId="0000005C">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36068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3606800"/>
                    </a:xfrm>
                    <a:prstGeom prst="rect"/>
                    <a:ln/>
                  </pic:spPr>
                </pic:pic>
              </a:graphicData>
            </a:graphic>
          </wp:inline>
        </w:drawing>
      </w:r>
      <w:r w:rsidDel="00000000" w:rsidR="00000000" w:rsidRPr="00000000">
        <w:rPr>
          <w:rFonts w:ascii="Times New Roman" w:cs="Times New Roman" w:eastAsia="Times New Roman" w:hAnsi="Times New Roman"/>
          <w:b w:val="1"/>
          <w:bCs w:val="1"/>
          <w:sz w:val="24"/>
          <w:szCs w:val="24"/>
          <w:rtl w:val="0"/>
        </w:rPr>
        <w:t xml:space="preserve">Figure S2.</w:t>
      </w:r>
      <w:r w:rsidDel="00000000" w:rsidR="00000000" w:rsidRPr="00000000">
        <w:rPr>
          <w:rFonts w:ascii="Times New Roman" w:cs="Times New Roman" w:eastAsia="Times New Roman" w:hAnsi="Times New Roman"/>
          <w:sz w:val="24"/>
          <w:szCs w:val="24"/>
          <w:rtl w:val="0"/>
        </w:rPr>
        <w:t xml:space="preserve"> Kaplan–Meier curves comparing survival between Clusters 1 and 2</w:t>
        <w:br w:type="textWrapping"/>
        <w:t xml:space="preserve">Follow-up extended to 16 years, with a vertical reference line at 10 years indicating the time point beyond which the number of patients at risk declined markedly (Cluster 1: n = 16; Cluster 2: n = 18). Beyond this point, survival estimates should be interpreted with caution.</w:t>
      </w:r>
    </w:p>
    <w:p w:rsidR="00000000" w:rsidDel="00000000" w:rsidP="00000000" w:rsidRDefault="00000000" w:rsidRPr="00000000" w14:paraId="0000005D">
      <w:pPr>
        <w:spacing w:after="240" w:before="24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after="240" w:before="24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after="240" w:before="24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after="240" w:before="24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03500"/>
            <wp:effectExtent b="0" l="0" r="0" t="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Figure S3.</w:t>
      </w:r>
      <w:r w:rsidDel="00000000" w:rsidR="00000000" w:rsidRPr="00000000">
        <w:rPr>
          <w:rFonts w:ascii="Times New Roman" w:cs="Times New Roman" w:eastAsia="Times New Roman" w:hAnsi="Times New Roman"/>
          <w:sz w:val="24"/>
          <w:szCs w:val="24"/>
          <w:rtl w:val="0"/>
        </w:rPr>
        <w:t xml:space="preserve"> Hierarchical clustering dendrogram of clinical phenotypes. </w:t>
      </w:r>
    </w:p>
    <w:p w:rsidR="00000000" w:rsidDel="00000000" w:rsidP="00000000" w:rsidRDefault="00000000" w:rsidRPr="00000000" w14:paraId="0000006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Dendrogram derived from hierarchical clustering following multiple correspondence analysis, illustrating patient-level interrelationships and supporting the identification of three distinct clinical phenotypes.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