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STROBE Statement—Checklist of items that should be included in reports of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cohort studies</w:t>
      </w:r>
      <w:bookmarkStart w:colFirst="0" w:colLast="0" w:name="bookmark=id.iz0ufzfmips9"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tbl>
      <w:tblPr>
        <w:tblStyle w:val="Table1"/>
        <w:tblW w:w="9857.0" w:type="dxa"/>
        <w:jc w:val="left"/>
        <w:tblInd w:w="-108.0" w:type="dxa"/>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000"/>
      </w:tblPr>
      <w:tblGrid>
        <w:gridCol w:w="2113"/>
        <w:gridCol w:w="719"/>
        <w:gridCol w:w="7025"/>
        <w:tblGridChange w:id="0">
          <w:tblGrid>
            <w:gridCol w:w="2113"/>
            <w:gridCol w:w="719"/>
            <w:gridCol w:w="7025"/>
          </w:tblGrid>
        </w:tblGridChange>
      </w:tblGrid>
      <w:tr>
        <w:trPr>
          <w:cantSplit w:val="0"/>
          <w:tblHeader w:val="0"/>
        </w:trPr>
        <w:tc>
          <w:tcPr>
            <w:vAlign w:val="top"/>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Item No</w:t>
            </w:r>
          </w:p>
        </w:tc>
        <w:tc>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Recommendation</w:t>
            </w:r>
          </w:p>
        </w:tc>
      </w:tr>
      <w:tr>
        <w:trPr>
          <w:cantSplit w:val="1"/>
          <w:tblHeader w:val="0"/>
        </w:trPr>
        <w:tc>
          <w:tcPr>
            <w:vMerge w:val="restart"/>
            <w:vAlign w:val="top"/>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Title and abstract</w:t>
            </w:r>
            <w:r w:rsidDel="00000000" w:rsidR="00000000" w:rsidRPr="00000000">
              <w:rPr>
                <w:rtl w:val="0"/>
              </w:rPr>
            </w:r>
          </w:p>
        </w:tc>
        <w:tc>
          <w:tcPr>
            <w:vMerge w:val="restart"/>
            <w:vAlign w:val="top"/>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w:t>
            </w:r>
          </w:p>
        </w:tc>
        <w:tc>
          <w:tcPr>
            <w:vAlign w:val="top"/>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Indicate the study’s design with a commonly used term in the title or the abstract</w:t>
              <w:br w:type="textWrapping"/>
            </w:r>
            <w:r w:rsidDel="00000000" w:rsidR="00000000" w:rsidRPr="00000000">
              <w:rPr>
                <w:b w:val="1"/>
                <w:bCs w:val="1"/>
                <w:i w:val="0"/>
                <w:iCs w:val="0"/>
                <w:smallCaps w:val="0"/>
                <w:strike w:val="0"/>
                <w:color w:val="000000"/>
                <w:sz w:val="20"/>
                <w:szCs w:val="20"/>
                <w:u w:val="none"/>
                <w:shd w:fill="auto" w:val="clear"/>
                <w:vertAlign w:val="baseline"/>
                <w:rtl w:val="0"/>
              </w:rPr>
              <w:t xml:space="preserve">Abstract, Methods: “retrospective cohort study”.</w:t>
            </w:r>
          </w:p>
        </w:tc>
      </w:tr>
      <w:tr>
        <w:trPr>
          <w:cantSplit w:val="1"/>
          <w:tblHeader w:val="0"/>
        </w:trPr>
        <w:tc>
          <w:tcPr>
            <w:vMerge w:val="continue"/>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Provide in the abstract an informative and balanced summary of what was done and what was found</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Abstract: Background, Methods, Results, and Conclusions.</w:t>
            </w:r>
          </w:p>
        </w:tc>
      </w:tr>
      <w:tr>
        <w:trPr>
          <w:cantSplit w:val="0"/>
          <w:tblHeader w:val="0"/>
        </w:trPr>
        <w:tc>
          <w:tcPr>
            <w:gridSpan w:val="3"/>
            <w:vAlign w:val="top"/>
          </w:tcPr>
          <w:bookmarkStart w:colFirst="0" w:colLast="0" w:name="bookmark=id.uu6mecdcy1sg" w:id="1"/>
          <w:bookmarkEnd w:id="1"/>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Introduction</w:t>
            </w:r>
          </w:p>
        </w:tc>
      </w:tr>
      <w:tr>
        <w:trPr>
          <w:cantSplit w:val="0"/>
          <w:tblHeader w:val="0"/>
        </w:trPr>
        <w:tc>
          <w:tcPr>
            <w:vAlign w:val="top"/>
          </w:tcPr>
          <w:bookmarkStart w:colFirst="0" w:colLast="0" w:name="bookmark=id.tm96fz7c6jfj" w:id="2"/>
          <w:bookmarkEnd w:id="2"/>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Background/rationale</w:t>
            </w:r>
          </w:p>
        </w:tc>
        <w:tc>
          <w:tcP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w:t>
            </w:r>
          </w:p>
        </w:tc>
        <w:tc>
          <w:tcP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Explain the scientific background and rationale for the investigation being reported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Introduction, paragraphs 1–5: rationale for VTE in patients with cancer, limitations of tumor-centered risk stratification, and need for phenotype-based assessment.</w:t>
            </w:r>
          </w:p>
        </w:tc>
      </w:tr>
      <w:tr>
        <w:trPr>
          <w:cantSplit w:val="0"/>
          <w:tblHeader w:val="0"/>
        </w:trPr>
        <w:tc>
          <w:tcPr>
            <w:vAlign w:val="top"/>
          </w:tcPr>
          <w:bookmarkStart w:colFirst="0" w:colLast="0" w:name="bookmark=id.lx6mdimwu8hu" w:id="3"/>
          <w:bookmarkEnd w:id="3"/>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Objectives</w:t>
            </w:r>
          </w:p>
        </w:tc>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w:t>
            </w:r>
          </w:p>
        </w:tc>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State specific objectives, including any prespecified hypotheses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Introduction, final paragraph: study aim to identify non-oncologic clinical phenotypes and evaluate their association with survival beyond tumor-related thrombotic risk.</w:t>
            </w:r>
          </w:p>
        </w:tc>
      </w:tr>
      <w:tr>
        <w:trPr>
          <w:cantSplit w:val="0"/>
          <w:tblHeader w:val="0"/>
        </w:trPr>
        <w:tc>
          <w:tcPr>
            <w:gridSpan w:val="3"/>
            <w:vAlign w:val="top"/>
          </w:tcPr>
          <w:bookmarkStart w:colFirst="0" w:colLast="0" w:name="bookmark=id.17f2rjmhcywb" w:id="4"/>
          <w:bookmarkEnd w:id="4"/>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Methods</w:t>
            </w:r>
          </w:p>
        </w:tc>
      </w:tr>
      <w:tr>
        <w:trPr>
          <w:cantSplit w:val="0"/>
          <w:tblHeader w:val="0"/>
        </w:trPr>
        <w:tc>
          <w:tcPr>
            <w:vAlign w:val="top"/>
          </w:tcPr>
          <w:bookmarkStart w:colFirst="0" w:colLast="0" w:name="bookmark=id.5hyrbu7r88ox" w:id="5"/>
          <w:bookmarkEnd w:id="5"/>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Study design</w:t>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w:t>
            </w:r>
          </w:p>
        </w:tc>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Present key elements of study design early in the paper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Study design and population: retrospective observational cohort study.</w:t>
            </w:r>
          </w:p>
        </w:tc>
      </w:tr>
      <w:tr>
        <w:trPr>
          <w:cantSplit w:val="0"/>
          <w:tblHeader w:val="0"/>
        </w:trPr>
        <w:tc>
          <w:tcPr>
            <w:vAlign w:val="top"/>
          </w:tcPr>
          <w:bookmarkStart w:colFirst="0" w:colLast="0" w:name="bookmark=id.x5d1efwnbtbc" w:id="6"/>
          <w:bookmarkEnd w:id="6"/>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Setting</w:t>
            </w:r>
          </w:p>
        </w:tc>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w:t>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Describe the setting, locations, and relevant dates, including periods of recruitment, exposure, follow-up, and data collection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Study design and population: tertiary referral center in Cali, Colombia; outpatient Anticoagulation Clinic; January 2011 to January 2025.</w:t>
            </w:r>
          </w:p>
        </w:tc>
      </w:tr>
      <w:tr>
        <w:trPr>
          <w:cantSplit w:val="1"/>
          <w:tblHeader w:val="0"/>
        </w:trPr>
        <w:tc>
          <w:tcPr>
            <w:vMerge w:val="restart"/>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Participants</w:t>
            </w:r>
          </w:p>
        </w:tc>
        <w:tc>
          <w:tcPr>
            <w:vMerge w:val="restart"/>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w:t>
            </w:r>
          </w:p>
        </w:tc>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Give the eligibility criteria, and the sources and methods of selection of participants. Describe methods of follow-up</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Study design and population: eligibility criteria; objectively confirmed VTE; active or prior malignancy; exclusion of basal/squamous skin cancer and incomplete records. Results, Figure 1: patient selection flowchart.</w:t>
            </w:r>
          </w:p>
        </w:tc>
      </w:tr>
      <w:tr>
        <w:trPr>
          <w:cantSplit w:val="1"/>
          <w:tblHeader w:val="0"/>
        </w:trPr>
        <w:tc>
          <w:tcPr>
            <w:vMerge w:val="continue"/>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For matched studies, give matching criteria and number of exposed and unexposed</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Not applicable: this was not a matched cohort study.</w:t>
            </w:r>
          </w:p>
        </w:tc>
      </w:tr>
      <w:tr>
        <w:trPr>
          <w:cantSplit w:val="0"/>
          <w:tblHeader w:val="0"/>
        </w:trPr>
        <w:tc>
          <w:tcPr>
            <w:vAlign w:val="top"/>
          </w:tcPr>
          <w:bookmarkStart w:colFirst="0" w:colLast="0" w:name="bookmark=id.9zrmo36l1xxi" w:id="7"/>
          <w:bookmarkEnd w:id="7"/>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Variables</w:t>
            </w:r>
          </w:p>
        </w:tc>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w:t>
            </w:r>
          </w:p>
        </w:tc>
        <w:tc>
          <w:tcP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Clearly define all outcomes, exposures, predictors, potential confounders, and effect modifiers. Give diagnostic criteria, if applicable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Clinical variables and outcomes: OS, bleeding, recurrent VTE, active cancer, VTE characteristics, anticoagulation, comorbidities. Methods, Identification of clinical phenotypes and Supplementary Table S1: variables included in clustering.</w:t>
            </w:r>
          </w:p>
        </w:tc>
      </w:tr>
      <w:tr>
        <w:trPr>
          <w:cantSplit w:val="0"/>
          <w:trHeight w:val="294" w:hRule="atLeast"/>
          <w:tblHeader w:val="0"/>
        </w:trPr>
        <w:tc>
          <w:tcPr>
            <w:vAlign w:val="top"/>
          </w:tcPr>
          <w:bookmarkStart w:colFirst="0" w:colLast="0" w:name="bookmark=id.qeez34cozbrq" w:id="8"/>
          <w:bookmarkEnd w:id="8"/>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Data sources/</w:t>
            </w:r>
            <w:bookmarkStart w:colFirst="0" w:colLast="0" w:name="bookmark=id.9jgkci879w8" w:id="9"/>
            <w:bookmarkEnd w:id="9"/>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measurement</w:t>
            </w:r>
          </w:p>
        </w:tc>
        <w:tc>
          <w:tcPr>
            <w:vAlign w:val="top"/>
          </w:tcPr>
          <w:bookmarkStart w:colFirst="0" w:colLast="0" w:name="bookmark=id.rpquszeoeqvc" w:id="10"/>
          <w:bookmarkEnd w:id="10"/>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w:t>
            </w:r>
          </w:p>
        </w:tc>
        <w:tc>
          <w:tcP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For each variable of interest, give sources of data and details of methods of assessment (measurement). Describe comparability of assessment methods if there is more than one group</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Clinical variables and outcomes: electronic medical records, standardized digital questionnaire, medical records, and ADRES for vital status. Bleeding classified according to ISTH criteria.</w:t>
            </w:r>
          </w:p>
        </w:tc>
      </w:tr>
      <w:tr>
        <w:trPr>
          <w:cantSplit w:val="0"/>
          <w:tblHeader w:val="0"/>
        </w:trPr>
        <w:tc>
          <w:tcPr>
            <w:vAlign w:val="top"/>
          </w:tcPr>
          <w:bookmarkStart w:colFirst="0" w:colLast="0" w:name="bookmark=id.kg8tjwmtlhrv" w:id="11"/>
          <w:bookmarkEnd w:id="11"/>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Bias</w:t>
            </w:r>
          </w:p>
        </w:tc>
        <w:tc>
          <w:tcPr>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w:t>
            </w:r>
          </w:p>
        </w:tc>
        <w:tc>
          <w:tcPr>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Describe any efforts to address potential sources of bias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Study design and population; Clinical variables and outcomes; Statistical analysis: objective VTE diagnosis, standardized data extraction, exclusion of insufficient records, exclusion of tumor site and oncologic treatments from clustering, adjustment for tumor-related thrombotic risk, and 10-year truncation of survival estimates.</w:t>
            </w:r>
          </w:p>
        </w:tc>
      </w:tr>
      <w:tr>
        <w:trPr>
          <w:cantSplit w:val="0"/>
          <w:tblHeader w:val="0"/>
        </w:trPr>
        <w:tc>
          <w:tcPr>
            <w:vAlign w:val="top"/>
          </w:tcPr>
          <w:bookmarkStart w:colFirst="0" w:colLast="0" w:name="bookmark=id.o6h8jk761j3n" w:id="12"/>
          <w:bookmarkEnd w:id="12"/>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Study size</w:t>
            </w:r>
          </w:p>
        </w:tc>
        <w:tc>
          <w:tcP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w:t>
            </w:r>
          </w:p>
        </w:tc>
        <w:tc>
          <w:tcP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Explain how the study size was arrived at</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Study design and population: all eligible patients from January 2011 to January 2025 were included. Results, General population characteristics: final sample of 654 patients.</w:t>
            </w:r>
          </w:p>
        </w:tc>
      </w:tr>
      <w:tr>
        <w:trPr>
          <w:cantSplit w:val="0"/>
          <w:tblHeader w:val="0"/>
        </w:trPr>
        <w:tc>
          <w:tcPr>
            <w:vAlign w:val="top"/>
          </w:tcPr>
          <w:bookmarkStart w:colFirst="0" w:colLast="0" w:name="bookmark=id.b2nigwxgsq7i" w:id="13"/>
          <w:bookmarkEnd w:id="13"/>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Quantitative variables</w:t>
            </w:r>
          </w:p>
        </w:tc>
        <w:tc>
          <w:tcP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w:t>
            </w:r>
          </w:p>
        </w:tc>
        <w:tc>
          <w:tcPr>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Explain how quantitative variables were handled in the analyses. If applicable, describe which groupings were chosen and why</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sdt>
              <w:sdtPr>
                <w:id w:val="-156408274"/>
                <w:tag w:val="goog_rdk_0"/>
              </w:sdtPr>
              <w:sdtContent>
                <w:r w:rsidDel="00000000" w:rsidR="00000000" w:rsidRPr="00000000">
                  <w:rPr>
                    <w:rFonts w:ascii="Gungsuh" w:cs="Gungsuh" w:eastAsia="Gungsuh" w:hAnsi="Gungsuh"/>
                    <w:b w:val="1"/>
                    <w:bCs w:val="1"/>
                    <w:rtl w:val="0"/>
                  </w:rPr>
                  <w:t xml:space="preserve">Methods, Statistical analysis: continuous variables summarized as mean/SD or median/IQR; age groups; HAS-BLED ≥3; extended anticoagulation &gt;6 months; tumor-related thrombotic risk categories.</w:t>
                </w:r>
              </w:sdtContent>
            </w:sdt>
          </w:p>
        </w:tc>
      </w:tr>
      <w:tr>
        <w:trPr>
          <w:cantSplit w:val="1"/>
          <w:tblHeader w:val="0"/>
        </w:trPr>
        <w:tc>
          <w:tcPr>
            <w:vMerge w:val="restart"/>
            <w:vAlign w:val="top"/>
          </w:tcPr>
          <w:bookmarkStart w:colFirst="0" w:colLast="0" w:name="bookmark=id.l4v9lpdk5o5" w:id="14"/>
          <w:bookmarkEnd w:id="14"/>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Statistical methods</w:t>
            </w:r>
          </w:p>
        </w:tc>
        <w:tc>
          <w:tcPr>
            <w:vMerge w:val="restart"/>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12</w:t>
            </w:r>
          </w:p>
        </w:tc>
        <w:tc>
          <w:tcP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Describe all statistical methods, including those used to control for confounding</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Statistical analysis; Identification of clinical phenotypes; Survival analysis; Multivariable analysis: descriptive statistics, Kruskal–Wallis, chi-square/Fisher, MCA, Ward hierarchical clustering, silhouette analysis, Kaplan–Meier, log-rank test, Cox regression, Schoenfeld residuals.</w:t>
            </w:r>
          </w:p>
        </w:tc>
      </w:tr>
      <w:tr>
        <w:trPr>
          <w:cantSplit w:val="1"/>
          <w:tblHeader w:val="0"/>
        </w:trPr>
        <w:tc>
          <w:tcPr>
            <w:vMerge w:val="continue"/>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Describe any methods used to examine subgroups and interactions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Identification of clinical phenotypes; Survival analysis: analyses stratified by clinical cluster. No formal interaction analysis was performed.</w:t>
            </w:r>
          </w:p>
        </w:tc>
      </w:tr>
      <w:tr>
        <w:trPr>
          <w:cantSplit w:val="1"/>
          <w:tblHeader w:val="0"/>
        </w:trPr>
        <w:tc>
          <w:tcPr>
            <w:vMerge w:val="continue"/>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Explain how missing data were addressed</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Study design and population: patients with incomplete or insufficient clinical records were excluded. Tables: denominators and available cases specified where applicable.</w:t>
            </w:r>
          </w:p>
        </w:tc>
      </w:tr>
      <w:tr>
        <w:trPr>
          <w:cantSplit w:val="1"/>
          <w:tblHeader w:val="0"/>
        </w:trPr>
        <w:tc>
          <w:tcPr>
            <w:vMerge w:val="continue"/>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If applicable, explain how loss to follow-up was addressed</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Clinical variables and outcomes; Survival analysis; Supplementary Table S2: vital status from medical records and ADRES; OS censored at last follow-up; survival truncated at 10 years due to declining number at risk.</w:t>
            </w:r>
          </w:p>
        </w:tc>
      </w:tr>
      <w:tr>
        <w:trPr>
          <w:cantSplit w:val="1"/>
          <w:tblHeader w:val="0"/>
        </w:trPr>
        <w:tc>
          <w:tcPr>
            <w:vMerge w:val="continue"/>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singl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Describe any sensitivity analyses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Survival analysis: restricted survival analysis including only Clusters 1 and 2 because Cluster 3 was smaller and had higher censoring. Supplementary Figure/Table: restricted survival analysis.</w:t>
            </w:r>
          </w:p>
        </w:tc>
      </w:tr>
      <w:tr>
        <w:trPr>
          <w:cantSplit w:val="0"/>
          <w:tblHeader w:val="0"/>
        </w:trPr>
        <w:tc>
          <w:tcPr>
            <w:gridSpan w:val="3"/>
            <w:vAlign w:val="top"/>
          </w:tcPr>
          <w:bookmarkStart w:colFirst="0" w:colLast="0" w:name="bookmark=id.qnrvlbf6czwb" w:id="15"/>
          <w:bookmarkEnd w:id="15"/>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Results</w:t>
            </w:r>
          </w:p>
        </w:tc>
      </w:tr>
      <w:tr>
        <w:trPr>
          <w:cantSplit w:val="1"/>
          <w:tblHeader w:val="0"/>
        </w:trPr>
        <w:tc>
          <w:tcPr>
            <w:vMerge w:val="restart"/>
            <w:vAlign w:val="top"/>
          </w:tcPr>
          <w:bookmarkStart w:colFirst="0" w:colLast="0" w:name="bookmark=id.hlkn5ly68i3l" w:id="16"/>
          <w:bookmarkEnd w:id="16"/>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Participants</w:t>
            </w:r>
          </w:p>
        </w:tc>
        <w:tc>
          <w:tcPr>
            <w:vMerge w:val="restart"/>
            <w:vAlign w:val="top"/>
          </w:tcPr>
          <w:bookmarkStart w:colFirst="0" w:colLast="0" w:name="bookmark=id.gi2g4scsa1p8" w:id="17"/>
          <w:bookmarkEnd w:id="17"/>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13*</w:t>
            </w:r>
          </w:p>
        </w:tc>
        <w:tc>
          <w:tcPr>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Report numbers of individuals at each stage of study—eg numbers potentially eligible, examined for eligibility, confirmed eligible, included in the study, completing follow-up, and analysed</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Results, General population characteristics; Figure 1: number of patients assessed/excluded/included; final cohort n = 654.</w:t>
            </w:r>
          </w:p>
        </w:tc>
      </w:tr>
      <w:tr>
        <w:trPr>
          <w:cantSplit w:val="1"/>
          <w:tblHeader w:val="0"/>
        </w:trPr>
        <w:tc>
          <w:tcPr>
            <w:vMerge w:val="continue"/>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 Give reasons for non-participation at each stage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Methods, Study design and population; Figure 1: exclusion criteria and reasons for exclusion, including incomplete or insufficient clinical records and excluded cancer types.</w:t>
            </w:r>
          </w:p>
        </w:tc>
      </w:tr>
      <w:tr>
        <w:trPr>
          <w:cantSplit w:val="1"/>
          <w:tblHeader w:val="0"/>
        </w:trPr>
        <w:tc>
          <w:tcPr>
            <w:vMerge w:val="continue"/>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bookmarkStart w:colFirst="0" w:colLast="0" w:name="bookmark=id.szl4lvoss5fm" w:id="18"/>
          <w:bookmarkEnd w:id="18"/>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 Consider use of a flow diagram</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Figure 1. Flowchart of patient selection.</w:t>
            </w:r>
          </w:p>
        </w:tc>
      </w:tr>
      <w:tr>
        <w:trPr>
          <w:cantSplit w:val="1"/>
          <w:tblHeader w:val="0"/>
        </w:trPr>
        <w:tc>
          <w:tcPr>
            <w:vMerge w:val="restart"/>
            <w:vAlign w:val="top"/>
          </w:tcPr>
          <w:bookmarkStart w:colFirst="0" w:colLast="0" w:name="bookmark=id.sbhbr4jns8qe" w:id="19"/>
          <w:bookmarkEnd w:id="19"/>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Descriptive</w:t>
            </w:r>
            <w:bookmarkStart w:colFirst="0" w:colLast="0" w:name="bookmark=id.4nwhm830hzyk" w:id="20"/>
            <w:bookmarkEnd w:id="20"/>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data</w:t>
            </w:r>
          </w:p>
        </w:tc>
        <w:tc>
          <w:tcPr>
            <w:vMerge w:val="restart"/>
            <w:vAlign w:val="top"/>
          </w:tcPr>
          <w:bookmarkStart w:colFirst="0" w:colLast="0" w:name="bookmark=id.goi2jvsoam3q" w:id="21"/>
          <w:bookmarkEnd w:id="21"/>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14*</w:t>
            </w:r>
          </w:p>
        </w:tc>
        <w:tc>
          <w:tcP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Give characteristics of study participants (eg demographic, clinical, social) and information on exposures and potential confounders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Results, General population characteristics; Tables 1–3: demographic, oncologic, comorbidity, VTE, and anticoagulant characteristics by cluster.</w:t>
            </w:r>
          </w:p>
        </w:tc>
      </w:tr>
      <w:tr>
        <w:trPr>
          <w:cantSplit w:val="1"/>
          <w:tblHeader w:val="0"/>
        </w:trPr>
        <w:tc>
          <w:tcPr>
            <w:vMerge w:val="continue"/>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 Indicate number of participants with missing data for each variable of interest</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Tables 1–4 footnotes where applicable: available cases and denominators specified. If not currently shown, add: “Missing data are reported in table footnotes where applicable.”</w:t>
            </w:r>
          </w:p>
        </w:tc>
      </w:tr>
      <w:tr>
        <w:trPr>
          <w:cantSplit w:val="1"/>
          <w:tblHeader w:val="0"/>
        </w:trPr>
        <w:tc>
          <w:tcPr>
            <w:vMerge w:val="continue"/>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 Summarise follow-up time (eg, average and total amount)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Results, Survival analysis: median OS and follow-up interpretation; survival truncated at 10 years. Supplementary Table S2: censoring/event distribution.</w:t>
            </w:r>
          </w:p>
        </w:tc>
      </w:tr>
      <w:tr>
        <w:trPr>
          <w:cantSplit w:val="0"/>
          <w:trHeight w:val="295" w:hRule="atLeast"/>
          <w:tblHeader w:val="0"/>
        </w:trPr>
        <w:tc>
          <w:tcPr>
            <w:tcBorders>
              <w:bottom w:color="000000" w:space="0" w:sz="4" w:val="single"/>
            </w:tcBorders>
            <w:vAlign w:val="top"/>
          </w:tcPr>
          <w:bookmarkStart w:colFirst="0" w:colLast="0" w:name="bookmark=id.guqmsaeyu2cx" w:id="22"/>
          <w:bookmarkEnd w:id="22"/>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Outcome data</w:t>
            </w:r>
          </w:p>
        </w:tc>
        <w:tc>
          <w:tcPr>
            <w:tcBorders>
              <w:bottom w:color="000000" w:space="0" w:sz="4" w:val="single"/>
            </w:tcBorders>
            <w:vAlign w:val="top"/>
          </w:tcPr>
          <w:bookmarkStart w:colFirst="0" w:colLast="0" w:name="bookmark=id.2xf9yj4jxxsk" w:id="23"/>
          <w:bookmarkEnd w:id="23"/>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w:t>
            </w:r>
          </w:p>
        </w:tc>
        <w:tc>
          <w:tcPr>
            <w:tcBorders>
              <w:bottom w:color="000000" w:space="0" w:sz="4" w:val="single"/>
            </w:tcBorders>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Report numbers of outcome events or summary measures over time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Results, Survival analysis; Secondary outcomes; Table 4; Figures 3–6: deaths/OS, bleeding, recurrent VTE, Kaplan–Meier curves, Cox model.</w:t>
            </w:r>
          </w:p>
        </w:tc>
      </w:tr>
      <w:tr>
        <w:trPr>
          <w:cantSplit w:val="1"/>
          <w:tblHeader w:val="0"/>
        </w:trPr>
        <w:tc>
          <w:tcPr>
            <w:vMerge w:val="restart"/>
            <w:tcBorders>
              <w:top w:color="000000" w:space="0" w:sz="4" w:val="single"/>
              <w:bottom w:color="000000" w:space="0" w:sz="4" w:val="single"/>
            </w:tcBorders>
            <w:vAlign w:val="top"/>
          </w:tcPr>
          <w:bookmarkStart w:colFirst="0" w:colLast="0" w:name="bookmark=id.78q4vmfrl1hi" w:id="24"/>
          <w:bookmarkEnd w:id="24"/>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Main results</w:t>
            </w:r>
          </w:p>
        </w:tc>
        <w:tc>
          <w:tcPr>
            <w:vMerge w:val="restart"/>
            <w:tcBorders>
              <w:top w:color="000000" w:space="0" w:sz="4" w:val="single"/>
              <w:bottom w:color="000000" w:space="0" w:sz="4" w:val="single"/>
            </w:tcBorders>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16</w:t>
            </w:r>
          </w:p>
        </w:tc>
        <w:tc>
          <w:tcPr>
            <w:tcBorders>
              <w:top w:color="000000" w:space="0" w:sz="4" w:val="single"/>
              <w:bottom w:color="000000" w:space="0" w:sz="4" w:val="single"/>
            </w:tcBorders>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Give unadjusted estimates and, if applicable, confounder-adjusted estimates and their precision (eg, 95% confidence interval). Make clear which confounders were adjusted for and why they were included</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Results, Multivariable Cox regression; Figure 5: adjusted HRs with 95% CIs; model adjusted for tumor-related thrombotic risk categories.</w:t>
            </w:r>
          </w:p>
        </w:tc>
      </w:tr>
      <w:tr>
        <w:trPr>
          <w:cantSplit w:val="1"/>
          <w:tblHeader w:val="0"/>
        </w:trPr>
        <w:tc>
          <w:tcPr>
            <w:vMerge w:val="continue"/>
            <w:tcBorders>
              <w:top w:color="000000" w:space="0" w:sz="4" w:val="single"/>
              <w:bottom w:color="000000" w:space="0" w:sz="4" w:val="single"/>
            </w:tcBorders>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bottom w:color="000000" w:space="0" w:sz="4" w:val="single"/>
            </w:tcBorders>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Report category boundaries when continuous variables were categorized</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sdt>
              <w:sdtPr>
                <w:id w:val="-1186344526"/>
                <w:tag w:val="goog_rdk_1"/>
              </w:sdtPr>
              <w:sdtContent>
                <w:r w:rsidDel="00000000" w:rsidR="00000000" w:rsidRPr="00000000">
                  <w:rPr>
                    <w:rFonts w:ascii="Gungsuh" w:cs="Gungsuh" w:eastAsia="Gungsuh" w:hAnsi="Gungsuh"/>
                    <w:b w:val="1"/>
                    <w:bCs w:val="1"/>
                    <w:rtl w:val="0"/>
                  </w:rPr>
                  <w:t xml:space="preserve">Methods, Multivariable analysis: tumor-related thrombotic risk categories. Methods/Results/Tables: age categories, HAS-BLED ≥3, extended anticoagulation &gt;6 months.</w:t>
                </w:r>
              </w:sdtContent>
            </w:sdt>
          </w:p>
        </w:tc>
      </w:tr>
      <w:tr>
        <w:trPr>
          <w:cantSplit w:val="1"/>
          <w:tblHeader w:val="0"/>
        </w:trPr>
        <w:tc>
          <w:tcPr>
            <w:vMerge w:val="continue"/>
            <w:tcBorders>
              <w:top w:color="000000" w:space="0" w:sz="4" w:val="single"/>
              <w:bottom w:color="000000" w:space="0" w:sz="4" w:val="single"/>
            </w:tcBorders>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bottom w:color="000000" w:space="0" w:sz="4" w:val="single"/>
            </w:tcBorders>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If relevant, consider translating estimates of relative risk into absolute risk for a meaningful time period</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Results, Survival analysis; Table 4: median OS by cluster and absolute frequencies/percentages of bleeding and recurrent VTE.</w:t>
            </w:r>
          </w:p>
        </w:tc>
      </w:tr>
      <w:tr>
        <w:trPr>
          <w:cantSplit w:val="0"/>
          <w:tblHeader w:val="0"/>
        </w:trPr>
        <w:tc>
          <w:tcPr>
            <w:tcBorders>
              <w:top w:color="000000" w:space="0" w:sz="4" w:val="single"/>
              <w:bottom w:color="000000" w:space="0" w:sz="4" w:val="single"/>
            </w:tcBorders>
            <w:vAlign w:val="top"/>
          </w:tcPr>
          <w:bookmarkStart w:colFirst="0" w:colLast="0" w:name="bookmark=id.5qy580zfxj9r" w:id="25"/>
          <w:bookmarkEnd w:id="25"/>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Other analyses</w:t>
            </w:r>
          </w:p>
        </w:tc>
        <w:tc>
          <w:tcPr>
            <w:tcBorders>
              <w:top w:color="000000" w:space="0" w:sz="4" w:val="single"/>
              <w:bottom w:color="000000" w:space="0" w:sz="4" w:val="single"/>
            </w:tcBorders>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17</w:t>
            </w:r>
          </w:p>
        </w:tc>
        <w:tc>
          <w:tcPr>
            <w:tcBorders>
              <w:top w:color="000000" w:space="0" w:sz="4" w:val="single"/>
              <w:bottom w:color="000000" w:space="0" w:sz="4" w:val="single"/>
            </w:tcBorders>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Report other analyses done—eg analyses of subgroups and interactions, and sensitivity analyses</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Results, Adjusted survival analysis; Supplementary restricted survival analysis: adjusted survival curves and restricted Cluster 1 vs Cluster 2 analysis.</w:t>
            </w:r>
          </w:p>
        </w:tc>
      </w:tr>
      <w:tr>
        <w:trPr>
          <w:cantSplit w:val="0"/>
          <w:tblHeader w:val="0"/>
        </w:trPr>
        <w:tc>
          <w:tcPr>
            <w:gridSpan w:val="3"/>
            <w:tcBorders>
              <w:top w:color="000000" w:space="0" w:sz="4" w:val="single"/>
            </w:tcBorders>
            <w:vAlign w:val="top"/>
          </w:tcPr>
          <w:bookmarkStart w:colFirst="0" w:colLast="0" w:name="bookmark=id.uotlxkd94zb" w:id="26"/>
          <w:bookmarkEnd w:id="26"/>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Discussion</w:t>
            </w:r>
          </w:p>
        </w:tc>
      </w:tr>
      <w:tr>
        <w:trPr>
          <w:cantSplit w:val="0"/>
          <w:tblHeader w:val="0"/>
        </w:trPr>
        <w:tc>
          <w:tcPr>
            <w:vAlign w:val="top"/>
          </w:tcPr>
          <w:bookmarkStart w:colFirst="0" w:colLast="0" w:name="bookmark=id.6b547hwiux5u" w:id="27"/>
          <w:bookmarkEnd w:id="27"/>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Key results</w:t>
            </w:r>
          </w:p>
        </w:tc>
        <w:tc>
          <w:tcPr>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18</w:t>
            </w:r>
          </w:p>
        </w:tc>
        <w:tc>
          <w:tcP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Summarise key results with reference to study objectives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Discussion, first paragraph: three clinical phenotypes identified; associated with OS; association persisted after adjustment for tumor-related thrombotic risk.</w:t>
            </w:r>
          </w:p>
        </w:tc>
      </w:tr>
      <w:tr>
        <w:trPr>
          <w:cantSplit w:val="0"/>
          <w:tblHeader w:val="0"/>
        </w:trPr>
        <w:tc>
          <w:tcPr>
            <w:vAlign w:val="top"/>
          </w:tcPr>
          <w:bookmarkStart w:colFirst="0" w:colLast="0" w:name="bookmark=id.vont88d3j6rh" w:id="28"/>
          <w:bookmarkEnd w:id="28"/>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Limitations</w:t>
            </w:r>
          </w:p>
        </w:tc>
        <w:tc>
          <w:tcPr>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19</w:t>
            </w:r>
          </w:p>
        </w:tc>
        <w:tc>
          <w:tcPr>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Discuss limitations of the study, taking into account sources of potential bias or imprecision. Discuss both direction and magnitude of any potential bias</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Discussion, Limitations and strengths: retrospective design, single-center setting, lack of detailed oncologic variables, smaller Cluster 3, no cause-specific mortality.</w:t>
            </w:r>
          </w:p>
        </w:tc>
      </w:tr>
      <w:tr>
        <w:trPr>
          <w:cantSplit w:val="0"/>
          <w:tblHeader w:val="0"/>
        </w:trPr>
        <w:tc>
          <w:tcPr>
            <w:vAlign w:val="top"/>
          </w:tcPr>
          <w:bookmarkStart w:colFirst="0" w:colLast="0" w:name="bookmark=id.ndph9t8bn1dj" w:id="29"/>
          <w:bookmarkEnd w:id="29"/>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Interpretation</w:t>
            </w:r>
          </w:p>
        </w:tc>
        <w:tc>
          <w:tcPr>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w:t>
            </w:r>
          </w:p>
        </w:tc>
        <w:tc>
          <w:tcPr>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Give a cautious overall interpretation of results considering objectives, limitations, multiplicity of analyses, results from similar studies, and other relevant evidence</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Discussion, Potential clinical implication; Conclusion: cautious interpretation that clinical phenotype complements tumor-related risk but requires prospective validation.</w:t>
            </w:r>
          </w:p>
        </w:tc>
      </w:tr>
      <w:tr>
        <w:trPr>
          <w:cantSplit w:val="0"/>
          <w:tblHeader w:val="0"/>
        </w:trPr>
        <w:tc>
          <w:tcPr>
            <w:vAlign w:val="top"/>
          </w:tcPr>
          <w:bookmarkStart w:colFirst="0" w:colLast="0" w:name="bookmark=id.1z74x0yrg67c" w:id="30"/>
          <w:bookmarkEnd w:id="30"/>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Generalisability</w:t>
            </w:r>
          </w:p>
        </w:tc>
        <w:tc>
          <w:tcPr>
            <w:vAlign w:val="top"/>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21</w:t>
            </w:r>
          </w:p>
        </w:tc>
        <w:tc>
          <w:tcPr>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Discuss the generalisability (external validity) of the study results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Discussion, Limitations and strengths: single-center setting limits external generalizability; real-world tertiary-care population and broad malignancy spectrum support clinical relevance.</w:t>
            </w:r>
          </w:p>
        </w:tc>
      </w:tr>
      <w:tr>
        <w:trPr>
          <w:cantSplit w:val="0"/>
          <w:tblHeader w:val="0"/>
        </w:trPr>
        <w:tc>
          <w:tcPr>
            <w:gridSpan w:val="3"/>
            <w:tcBorders>
              <w:bottom w:color="000000" w:space="0" w:sz="4" w:val="single"/>
            </w:tcBorders>
            <w:vAlign w:val="top"/>
          </w:tcPr>
          <w:bookmarkStart w:colFirst="0" w:colLast="0" w:name="bookmark=id.4frgloy1tv5r" w:id="31"/>
          <w:bookmarkEnd w:id="31"/>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12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Other information</w:t>
            </w:r>
          </w:p>
        </w:tc>
      </w:tr>
      <w:tr>
        <w:trPr>
          <w:cantSplit w:val="0"/>
          <w:tblHeader w:val="0"/>
        </w:trPr>
        <w:tc>
          <w:tcPr>
            <w:tcBorders>
              <w:top w:color="000000" w:space="0" w:sz="4" w:val="single"/>
              <w:bottom w:color="000000" w:space="0" w:sz="4" w:val="single"/>
            </w:tcBorders>
            <w:vAlign w:val="top"/>
          </w:tcPr>
          <w:bookmarkStart w:colFirst="0" w:colLast="0" w:name="bookmark=id.dzi3z2l1o9y6" w:id="32"/>
          <w:bookmarkEnd w:id="32"/>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Funding</w:t>
            </w:r>
          </w:p>
        </w:tc>
        <w:tc>
          <w:tcPr>
            <w:tcBorders>
              <w:top w:color="000000" w:space="0" w:sz="4" w:val="single"/>
              <w:bottom w:color="000000" w:space="0" w:sz="4" w:val="single"/>
            </w:tcBorders>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22</w:t>
            </w:r>
          </w:p>
        </w:tc>
        <w:tc>
          <w:tcPr>
            <w:tcBorders>
              <w:top w:color="000000" w:space="0" w:sz="4" w:val="single"/>
              <w:bottom w:color="000000" w:space="0" w:sz="4" w:val="single"/>
            </w:tcBorders>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Give the source of funding and the role of the funders for the present study and, if applicable, for the original study on which the present article is based</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b w:val="1"/>
                <w:bCs w:val="1"/>
              </w:rPr>
            </w:pPr>
            <w:r w:rsidDel="00000000" w:rsidR="00000000" w:rsidRPr="00000000">
              <w:rPr>
                <w:b w:val="1"/>
                <w:bCs w:val="1"/>
                <w:rtl w:val="0"/>
              </w:rPr>
              <w:t xml:space="preserve">Funding section / Declarations</w:t>
            </w:r>
          </w:p>
        </w:tc>
      </w:tr>
    </w:tb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*Give information separately for exposed and unexposed groups.</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Note: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http://www.strobe-statement.org.</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sectPr>
      <w:footerReference r:id="rId7" w:type="default"/>
      <w:footerReference r:id="rId8" w:type="even"/>
      <w:pgSz w:h="16834" w:w="11909" w:orient="portrait"/>
      <w:pgMar w:bottom="899" w:top="899"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Gungsuh"/>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T2vhB1irHskM0v2WpukZYOKH5g==">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512315745</vt:lpwstr>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_ReviewingToolsShownOnce</vt:lpwstr>
  </property>
</Properties>
</file>