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D8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hint="default" w:ascii="Times New Roman" w:hAnsi="Times New Roman" w:cs="Times New Roman"/>
          <w:sz w:val="24"/>
          <w:szCs w:val="24"/>
        </w:rPr>
        <w:t>. Baseline characteristics of postmenopausal women by group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6376BE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69A83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724BF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Control (n=180)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 w14:paraId="587E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Case (n=218)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top"/>
          </w:tcPr>
          <w:p w14:paraId="305A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top"/>
          </w:tcPr>
          <w:p w14:paraId="53D5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14:paraId="2D5C2A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nil"/>
            </w:tcBorders>
            <w:vAlign w:val="top"/>
          </w:tcPr>
          <w:p w14:paraId="76D69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704" w:type="dxa"/>
            <w:tcBorders>
              <w:bottom w:val="nil"/>
            </w:tcBorders>
            <w:vAlign w:val="top"/>
          </w:tcPr>
          <w:p w14:paraId="256D9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69.6 ± 1.9</w:t>
            </w:r>
          </w:p>
        </w:tc>
        <w:tc>
          <w:tcPr>
            <w:tcW w:w="1704" w:type="dxa"/>
            <w:tcBorders>
              <w:bottom w:val="nil"/>
            </w:tcBorders>
            <w:vAlign w:val="top"/>
          </w:tcPr>
          <w:p w14:paraId="5825D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68.8 ± 1.3</w:t>
            </w:r>
          </w:p>
        </w:tc>
        <w:tc>
          <w:tcPr>
            <w:tcW w:w="1705" w:type="dxa"/>
            <w:tcBorders>
              <w:bottom w:val="nil"/>
            </w:tcBorders>
            <w:vAlign w:val="top"/>
          </w:tcPr>
          <w:p w14:paraId="43106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705" w:type="dxa"/>
            <w:tcBorders>
              <w:bottom w:val="nil"/>
            </w:tcBorders>
            <w:vAlign w:val="top"/>
          </w:tcPr>
          <w:p w14:paraId="6B501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14:paraId="6975F4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2786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Years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since menopause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66337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 ± 2.3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2911F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 ± 1.2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0DF0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7A6DD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14:paraId="32F638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12E4C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BMI (kg/m²)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69182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22.5 ± 2.5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2D02E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23.1 ± 2.8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77F40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20EB7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14:paraId="728DC8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012B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Systolic BP (mmHg)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19EC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122.3 ± 10.8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6D0D4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148.6 ± 12.4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0B88F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5.28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4A75D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14:paraId="4106EB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654E8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Diastolic BP (mmHg)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509AE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76.2 ± 7.5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24701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92.5 ± 8.7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31687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5.95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3BF85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14:paraId="093679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6190E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Triglycerides (mmol/L)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6ABA2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1.82 ± 0.39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53160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2.15 ± 0.43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4A9B3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2A4AD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14:paraId="387CD7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4800E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LDL-C (mmol/L)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39E88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 ± 0.8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 w14:paraId="4BD0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 ± 0.6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24444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top"/>
          </w:tcPr>
          <w:p w14:paraId="03FB4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14:paraId="30A976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</w:tcBorders>
            <w:vAlign w:val="top"/>
          </w:tcPr>
          <w:p w14:paraId="51DFC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HDL-C (mmol/L)</w:t>
            </w:r>
          </w:p>
        </w:tc>
        <w:tc>
          <w:tcPr>
            <w:tcW w:w="1704" w:type="dxa"/>
            <w:tcBorders>
              <w:top w:val="nil"/>
            </w:tcBorders>
            <w:vAlign w:val="top"/>
          </w:tcPr>
          <w:p w14:paraId="7A4F1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 ± 0.6</w:t>
            </w:r>
          </w:p>
        </w:tc>
        <w:tc>
          <w:tcPr>
            <w:tcW w:w="1704" w:type="dxa"/>
            <w:tcBorders>
              <w:top w:val="nil"/>
            </w:tcBorders>
            <w:vAlign w:val="top"/>
          </w:tcPr>
          <w:p w14:paraId="05BC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 ± 0.3</w:t>
            </w:r>
          </w:p>
        </w:tc>
        <w:tc>
          <w:tcPr>
            <w:tcW w:w="1705" w:type="dxa"/>
            <w:tcBorders>
              <w:top w:val="nil"/>
            </w:tcBorders>
            <w:vAlign w:val="top"/>
          </w:tcPr>
          <w:p w14:paraId="75E45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705" w:type="dxa"/>
            <w:tcBorders>
              <w:top w:val="nil"/>
            </w:tcBorders>
            <w:vAlign w:val="top"/>
          </w:tcPr>
          <w:p w14:paraId="4D4BF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0.82</w:t>
            </w:r>
          </w:p>
        </w:tc>
      </w:tr>
    </w:tbl>
    <w:p w14:paraId="4BB84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BMI, body mass index; BP, blood pressure; LDL-C, low-density lipoprotein cholesterol; HDL-C, high-density lipoprotein cholesterol.</w:t>
      </w:r>
    </w:p>
    <w:p w14:paraId="10143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2</w:t>
      </w:r>
      <w:r>
        <w:rPr>
          <w:rFonts w:hint="default" w:ascii="Times New Roman" w:hAnsi="Times New Roman" w:cs="Times New Roman"/>
          <w:sz w:val="24"/>
          <w:szCs w:val="24"/>
        </w:rPr>
        <w:t>. Genotype and allele frequencies of ER-α gene polymorphisms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803"/>
        <w:gridCol w:w="1322"/>
        <w:gridCol w:w="1323"/>
        <w:gridCol w:w="1270"/>
        <w:gridCol w:w="1314"/>
      </w:tblGrid>
      <w:tr w14:paraId="4D0F75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bottom w:val="single" w:color="auto" w:sz="6" w:space="0"/>
            </w:tcBorders>
            <w:vAlign w:val="top"/>
          </w:tcPr>
          <w:p w14:paraId="62C0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Locus</w:t>
            </w:r>
          </w:p>
        </w:tc>
        <w:tc>
          <w:tcPr>
            <w:tcW w:w="1803" w:type="dxa"/>
            <w:tcBorders>
              <w:bottom w:val="single" w:color="auto" w:sz="6" w:space="0"/>
            </w:tcBorders>
            <w:vAlign w:val="top"/>
          </w:tcPr>
          <w:p w14:paraId="433FD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Genotype/Allele</w:t>
            </w:r>
          </w:p>
        </w:tc>
        <w:tc>
          <w:tcPr>
            <w:tcW w:w="1322" w:type="dxa"/>
            <w:tcBorders>
              <w:bottom w:val="single" w:color="auto" w:sz="6" w:space="0"/>
            </w:tcBorders>
            <w:vAlign w:val="top"/>
          </w:tcPr>
          <w:p w14:paraId="42E97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Control (n=180) n (%)</w:t>
            </w:r>
          </w:p>
        </w:tc>
        <w:tc>
          <w:tcPr>
            <w:tcW w:w="1323" w:type="dxa"/>
            <w:tcBorders>
              <w:bottom w:val="single" w:color="auto" w:sz="6" w:space="0"/>
            </w:tcBorders>
            <w:vAlign w:val="top"/>
          </w:tcPr>
          <w:p w14:paraId="3772D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Case (n=218) n (%)</w:t>
            </w:r>
          </w:p>
        </w:tc>
        <w:tc>
          <w:tcPr>
            <w:tcW w:w="1270" w:type="dxa"/>
            <w:tcBorders>
              <w:bottom w:val="single" w:color="auto" w:sz="6" w:space="0"/>
            </w:tcBorders>
            <w:vAlign w:val="top"/>
          </w:tcPr>
          <w:p w14:paraId="37225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1314" w:type="dxa"/>
            <w:tcBorders>
              <w:bottom w:val="single" w:color="auto" w:sz="6" w:space="0"/>
            </w:tcBorders>
            <w:vAlign w:val="top"/>
          </w:tcPr>
          <w:p w14:paraId="19D46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14:paraId="6BADB9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single" w:color="auto" w:sz="6" w:space="0"/>
              <w:bottom w:val="nil"/>
            </w:tcBorders>
            <w:vAlign w:val="top"/>
          </w:tcPr>
          <w:p w14:paraId="6488E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PvuⅡ</w:t>
            </w:r>
          </w:p>
        </w:tc>
        <w:tc>
          <w:tcPr>
            <w:tcW w:w="1803" w:type="dxa"/>
            <w:tcBorders>
              <w:top w:val="single" w:color="auto" w:sz="6" w:space="0"/>
              <w:bottom w:val="nil"/>
            </w:tcBorders>
            <w:vAlign w:val="top"/>
          </w:tcPr>
          <w:p w14:paraId="1DF3F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1322" w:type="dxa"/>
            <w:tcBorders>
              <w:top w:val="single" w:color="auto" w:sz="6" w:space="0"/>
              <w:bottom w:val="nil"/>
            </w:tcBorders>
            <w:vAlign w:val="top"/>
          </w:tcPr>
          <w:p w14:paraId="207E9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 (17.1)</w:t>
            </w:r>
          </w:p>
        </w:tc>
        <w:tc>
          <w:tcPr>
            <w:tcW w:w="1323" w:type="dxa"/>
            <w:tcBorders>
              <w:top w:val="single" w:color="auto" w:sz="6" w:space="0"/>
              <w:bottom w:val="nil"/>
            </w:tcBorders>
            <w:vAlign w:val="top"/>
          </w:tcPr>
          <w:p w14:paraId="0058C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48 (22.0)</w:t>
            </w:r>
          </w:p>
        </w:tc>
        <w:tc>
          <w:tcPr>
            <w:tcW w:w="1270" w:type="dxa"/>
            <w:tcBorders>
              <w:top w:val="single" w:color="auto" w:sz="6" w:space="0"/>
              <w:bottom w:val="nil"/>
            </w:tcBorders>
            <w:vAlign w:val="top"/>
          </w:tcPr>
          <w:p w14:paraId="69E07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14" w:type="dxa"/>
            <w:tcBorders>
              <w:top w:val="single" w:color="auto" w:sz="6" w:space="0"/>
              <w:bottom w:val="nil"/>
            </w:tcBorders>
            <w:vAlign w:val="top"/>
          </w:tcPr>
          <w:p w14:paraId="48D3F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21E0DD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369FD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4BF7A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83 (46.3)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4C697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 (45.2)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10EA1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21F10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12009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6E6536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0A26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2C49C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66 (36.6)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1F6C2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71 (32.8)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35C5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5C724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4F3DC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617556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7CD5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Allele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5DC7D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578C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145 (40.3)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23E2A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194 (44.5)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762EF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37280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0.353</w:t>
            </w:r>
          </w:p>
        </w:tc>
      </w:tr>
      <w:tr w14:paraId="72CF24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4A10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3A2C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215 (59.7)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3C33F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242 (55.5)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162A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6D942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36945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4E0FD5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394AD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XbaⅠ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58857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6B7B6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 (5.0)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1BE9C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 (4.6)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40322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55B2C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571CB0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3F5FF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28233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 (41.7)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5C0E0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 (26.1)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3A48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6.113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58EEF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03BFF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0D0A4C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79824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50E2B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96 (53.3)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4BAD5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151 (69.3)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132C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161C4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064BC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  <w:tr w14:paraId="64D1A4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  <w:bottom w:val="nil"/>
            </w:tcBorders>
            <w:vAlign w:val="top"/>
          </w:tcPr>
          <w:p w14:paraId="028EF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Allele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top"/>
          </w:tcPr>
          <w:p w14:paraId="41DB8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top"/>
          </w:tcPr>
          <w:p w14:paraId="07291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93 (25.8)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top"/>
          </w:tcPr>
          <w:p w14:paraId="5749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77 (17.7)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top"/>
          </w:tcPr>
          <w:p w14:paraId="6CA8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5.021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top"/>
          </w:tcPr>
          <w:p w14:paraId="46ECD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14:paraId="3AC2FB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nil"/>
            </w:tcBorders>
            <w:vAlign w:val="top"/>
          </w:tcPr>
          <w:p w14:paraId="16356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803" w:type="dxa"/>
            <w:tcBorders>
              <w:top w:val="nil"/>
            </w:tcBorders>
            <w:vAlign w:val="top"/>
          </w:tcPr>
          <w:p w14:paraId="1EA82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267 (74.2)</w:t>
            </w:r>
          </w:p>
        </w:tc>
        <w:tc>
          <w:tcPr>
            <w:tcW w:w="1322" w:type="dxa"/>
            <w:tcBorders>
              <w:top w:val="nil"/>
            </w:tcBorders>
            <w:vAlign w:val="top"/>
          </w:tcPr>
          <w:p w14:paraId="63AA5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 (82.3)</w:t>
            </w:r>
          </w:p>
        </w:tc>
        <w:tc>
          <w:tcPr>
            <w:tcW w:w="1323" w:type="dxa"/>
            <w:tcBorders>
              <w:top w:val="nil"/>
            </w:tcBorders>
            <w:vAlign w:val="top"/>
          </w:tcPr>
          <w:p w14:paraId="47D8B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270" w:type="dxa"/>
            <w:tcBorders>
              <w:top w:val="nil"/>
            </w:tcBorders>
            <w:vAlign w:val="top"/>
          </w:tcPr>
          <w:p w14:paraId="1B3F8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  <w:tc>
          <w:tcPr>
            <w:tcW w:w="1314" w:type="dxa"/>
            <w:tcBorders>
              <w:top w:val="nil"/>
            </w:tcBorders>
            <w:vAlign w:val="top"/>
          </w:tcPr>
          <w:p w14:paraId="301FF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</w:p>
        </w:tc>
      </w:tr>
    </w:tbl>
    <w:p w14:paraId="41257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Note: χ² tests with 1 degree of freedom for allele comparisons.</w:t>
      </w:r>
    </w:p>
    <w:p w14:paraId="51DD0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3</w:t>
      </w:r>
      <w:r>
        <w:rPr>
          <w:rFonts w:hint="default" w:ascii="Times New Roman" w:hAnsi="Times New Roman" w:cs="Times New Roman"/>
          <w:sz w:val="24"/>
          <w:szCs w:val="24"/>
        </w:rPr>
        <w:t>. Multivariable logistic regression for XbaⅠ polymorphism and hypertension risk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399"/>
        <w:gridCol w:w="1399"/>
        <w:gridCol w:w="1401"/>
        <w:gridCol w:w="1409"/>
        <w:gridCol w:w="1418"/>
      </w:tblGrid>
      <w:tr w14:paraId="0BED99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" w:type="dxa"/>
            <w:tcBorders>
              <w:tl2br w:val="nil"/>
              <w:tr2bl w:val="nil"/>
            </w:tcBorders>
            <w:vAlign w:val="top"/>
          </w:tcPr>
          <w:p w14:paraId="1B18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vAlign w:val="top"/>
          </w:tcPr>
          <w:p w14:paraId="6290A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vAlign w:val="top"/>
          </w:tcPr>
          <w:p w14:paraId="3B58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1401" w:type="dxa"/>
            <w:tcBorders>
              <w:tl2br w:val="nil"/>
              <w:tr2bl w:val="nil"/>
            </w:tcBorders>
            <w:vAlign w:val="top"/>
          </w:tcPr>
          <w:p w14:paraId="2E64A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Wald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top"/>
          </w:tcPr>
          <w:p w14:paraId="0720A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top"/>
          </w:tcPr>
          <w:p w14:paraId="26361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OR (95% CI)</w:t>
            </w:r>
          </w:p>
        </w:tc>
      </w:tr>
      <w:tr w14:paraId="255780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" w:type="dxa"/>
            <w:tcBorders>
              <w:bottom w:val="nil"/>
            </w:tcBorders>
            <w:vAlign w:val="top"/>
          </w:tcPr>
          <w:p w14:paraId="2C010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399" w:type="dxa"/>
            <w:tcBorders>
              <w:bottom w:val="nil"/>
            </w:tcBorders>
            <w:vAlign w:val="top"/>
          </w:tcPr>
          <w:p w14:paraId="1BF4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9" w:type="dxa"/>
            <w:tcBorders>
              <w:bottom w:val="nil"/>
            </w:tcBorders>
            <w:vAlign w:val="top"/>
          </w:tcPr>
          <w:p w14:paraId="20853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01" w:type="dxa"/>
            <w:tcBorders>
              <w:bottom w:val="nil"/>
            </w:tcBorders>
            <w:vAlign w:val="top"/>
          </w:tcPr>
          <w:p w14:paraId="41207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09" w:type="dxa"/>
            <w:tcBorders>
              <w:bottom w:val="nil"/>
            </w:tcBorders>
            <w:vAlign w:val="top"/>
          </w:tcPr>
          <w:p w14:paraId="01DD2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8" w:type="dxa"/>
            <w:tcBorders>
              <w:bottom w:val="nil"/>
            </w:tcBorders>
            <w:vAlign w:val="top"/>
          </w:tcPr>
          <w:p w14:paraId="0B7B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1.00 (reference)</w:t>
            </w:r>
          </w:p>
        </w:tc>
      </w:tr>
      <w:tr w14:paraId="19F68E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" w:type="dxa"/>
            <w:tcBorders>
              <w:top w:val="nil"/>
              <w:bottom w:val="nil"/>
            </w:tcBorders>
            <w:vAlign w:val="top"/>
          </w:tcPr>
          <w:p w14:paraId="09292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1399" w:type="dxa"/>
            <w:tcBorders>
              <w:top w:val="nil"/>
              <w:bottom w:val="nil"/>
            </w:tcBorders>
            <w:vAlign w:val="top"/>
          </w:tcPr>
          <w:p w14:paraId="024B1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vAlign w:val="top"/>
          </w:tcPr>
          <w:p w14:paraId="6513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401" w:type="dxa"/>
            <w:tcBorders>
              <w:top w:val="nil"/>
              <w:bottom w:val="nil"/>
            </w:tcBorders>
            <w:vAlign w:val="top"/>
          </w:tcPr>
          <w:p w14:paraId="068E6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top"/>
          </w:tcPr>
          <w:p w14:paraId="37E87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top"/>
          </w:tcPr>
          <w:p w14:paraId="35D0E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2.50 (0.93-6.72)</w:t>
            </w:r>
          </w:p>
        </w:tc>
      </w:tr>
      <w:tr w14:paraId="1E3D8F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" w:type="dxa"/>
            <w:tcBorders>
              <w:top w:val="nil"/>
            </w:tcBorders>
            <w:vAlign w:val="top"/>
          </w:tcPr>
          <w:p w14:paraId="6DF92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</w:t>
            </w:r>
          </w:p>
        </w:tc>
        <w:tc>
          <w:tcPr>
            <w:tcW w:w="1399" w:type="dxa"/>
            <w:tcBorders>
              <w:top w:val="nil"/>
            </w:tcBorders>
            <w:vAlign w:val="top"/>
          </w:tcPr>
          <w:p w14:paraId="0727C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399" w:type="dxa"/>
            <w:tcBorders>
              <w:top w:val="nil"/>
            </w:tcBorders>
            <w:vAlign w:val="top"/>
          </w:tcPr>
          <w:p w14:paraId="05794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401" w:type="dxa"/>
            <w:tcBorders>
              <w:top w:val="nil"/>
            </w:tcBorders>
            <w:vAlign w:val="top"/>
          </w:tcPr>
          <w:p w14:paraId="5EAD1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409" w:type="dxa"/>
            <w:tcBorders>
              <w:top w:val="nil"/>
            </w:tcBorders>
            <w:vAlign w:val="top"/>
          </w:tcPr>
          <w:p w14:paraId="029C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418" w:type="dxa"/>
            <w:tcBorders>
              <w:top w:val="nil"/>
            </w:tcBorders>
            <w:vAlign w:val="top"/>
          </w:tcPr>
          <w:p w14:paraId="092A5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2.05 (1.01-4.21)</w:t>
            </w:r>
          </w:p>
        </w:tc>
      </w:tr>
      <w:tr w14:paraId="06C0D9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  <w:vAlign w:val="top"/>
          </w:tcPr>
          <w:p w14:paraId="3C95B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Adjusted for age, BMI, and triglycerides. The recessive model (AA+AG vs. GG) was identified as the best-fitting model based on AIC (521.3), with OR=2.05 (95% CI: 1.01</w:t>
            </w:r>
            <w:r>
              <w:rPr>
                <w:rFonts w:ascii="宋体" w:hAnsi="宋体" w:eastAsia="宋体" w:cs="宋体"/>
                <w:sz w:val="24"/>
                <w:szCs w:val="24"/>
              </w:rPr>
              <w:t>–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4.21, P=0.021). No adjustment was made for multiple comparisons; results should be interpreted with caution.</w:t>
            </w:r>
          </w:p>
        </w:tc>
      </w:tr>
    </w:tbl>
    <w:p w14:paraId="06D9A0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71575"/>
    <w:rsid w:val="6FE93B2A"/>
    <w:rsid w:val="71E7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2026-07-18T02:48:00Z</dcterms:created>
  <dc:creator>杜来义</dc:creator>
  <cp:lastModifiedBy>杜来义</cp:lastModifiedBy>
  <dcterms:modified xsi:type="dcterms:W3CDTF">2026-07-18T02:49:52Z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6A6C5026C20549D09C865BA9BCDD00EA_11</vt:lpwstr>
  </property>
  <property fmtid="{D5CDD505-2E9C-101B-9397-08002B2CF9AE}" pid="4" name="KSOTemplateDocerSaveRecord">
    <vt:lpwstr>eyJoZGlkIjoiOTI0NTNjM2M3MmQ2ODhlNmUyNDM1NGFmYzViMzgzMzEiLCJ1c2VySWQiOiIxNTc3NTI2NDcxIn0=</vt:lpwstr>
  </property>
</Properties>
</file>