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CDDBC" w14:textId="77777777" w:rsidR="00D35F49" w:rsidRPr="00251BA9" w:rsidRDefault="00D35F49" w:rsidP="00D35F49">
      <w:pPr>
        <w:spacing w:before="240" w:after="100" w:line="48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1BA9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Supplementary material (Appendix)</w:t>
      </w:r>
    </w:p>
    <w:p w14:paraId="76635E32" w14:textId="77777777" w:rsidR="00D35F49" w:rsidRPr="00251BA9" w:rsidRDefault="00D35F49" w:rsidP="00D35F49">
      <w:pPr>
        <w:spacing w:before="200" w:after="60" w:line="48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1B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Appendix Figure S1.</w:t>
      </w:r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Outcomes by </w:t>
      </w:r>
      <w:proofErr w:type="spellStart"/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mobilisation</w:t>
      </w:r>
      <w:proofErr w:type="spellEnd"/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level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</w:t>
      </w:r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on the first postoperative day (patients independently mobile before fracture). (A) Median length of stay. (B) Non-home discharge and independent walking at discharge.</w:t>
      </w:r>
    </w:p>
    <w:p w14:paraId="5D218964" w14:textId="77777777" w:rsidR="00D35F49" w:rsidRPr="00251BA9" w:rsidRDefault="00D35F49" w:rsidP="00D35F49">
      <w:pPr>
        <w:spacing w:before="100" w:after="6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1BA9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2F6EDA13" wp14:editId="4AB0C712">
            <wp:extent cx="5715000" cy="2343150"/>
            <wp:effectExtent l="0" t="0" r="0" b="0"/>
            <wp:docPr id="313779457" name="Picture 313779457" descr="The diagram presents a comparison of postoperative day-1 mobilization levels, depicting the distribution of patients' ability to perform various activities such as sitting, walking, and transferring to a bed, and their corresponding discharge outcome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79457" name="Picture 313779457" descr="The diagram presents a comparison of postoperative day-1 mobilization levels, depicting the distribution of patients' ability to perform various activities such as sitting, walking, and transferring to a bed, and their corresponding discharge outcomes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AA73" w14:textId="77777777" w:rsidR="00D35F49" w:rsidRPr="00251BA9" w:rsidRDefault="00D35F49" w:rsidP="00D35F49">
      <w:pPr>
        <w:spacing w:before="200" w:after="60" w:line="48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1B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Appendix Figure S2.</w:t>
      </w:r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Recovery of ambulation among patients independently mobile before fracture. (A) Proportion walking before fracture, at postoperative day 3 and at discharge. (B) Discharge ambulation status by whether the patient was walking at postoperative day 3.</w:t>
      </w:r>
    </w:p>
    <w:p w14:paraId="30B7F7E9" w14:textId="77777777" w:rsidR="00D35F49" w:rsidRPr="00251BA9" w:rsidRDefault="00D35F49" w:rsidP="00D35F49">
      <w:pPr>
        <w:spacing w:before="100" w:after="6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1BA9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drawing>
          <wp:inline distT="0" distB="0" distL="0" distR="0" wp14:anchorId="7AD1D1E8" wp14:editId="5E6E9F59">
            <wp:extent cx="5715000" cy="2400300"/>
            <wp:effectExtent l="0" t="0" r="0" b="0"/>
            <wp:docPr id="1744873916" name="Picture 1744873916" descr="The image displays a bar chart depicting the percentage of patients who were able to walk independently or with assistance by the third day after discharge, showing a majority achieved independent walking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873916" name="Picture 1744873916" descr="The image displays a bar chart depicting the percentage of patients who were able to walk independently or with assistance by the third day after discharge, showing a majority achieved independent walking.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E8255" w14:textId="77777777" w:rsidR="00D35F49" w:rsidRPr="00251BA9" w:rsidRDefault="00D35F49" w:rsidP="00D35F49">
      <w:pPr>
        <w:spacing w:before="200" w:after="6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6DCAC4CD" w14:textId="77777777" w:rsidR="00D35F49" w:rsidRPr="00251BA9" w:rsidRDefault="00D35F49" w:rsidP="00D35F49">
      <w:pPr>
        <w:spacing w:before="200" w:after="60" w:line="240" w:lineRule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</w:pPr>
    </w:p>
    <w:p w14:paraId="16ECE915" w14:textId="77777777" w:rsidR="00D35F49" w:rsidRPr="00251BA9" w:rsidRDefault="00D35F49" w:rsidP="00D35F49">
      <w:pPr>
        <w:spacing w:before="200" w:after="6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1B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lastRenderedPageBreak/>
        <w:t>Appendix Table S1.</w:t>
      </w:r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Day-3 milestone (not </w:t>
      </w:r>
      <w:proofErr w:type="spellStart"/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mobilised</w:t>
      </w:r>
      <w:proofErr w:type="spellEnd"/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by day 3) by number of risk factors present.</w:t>
      </w:r>
    </w:p>
    <w:p w14:paraId="19B680CE" w14:textId="77777777" w:rsidR="00D35F49" w:rsidRPr="00251BA9" w:rsidRDefault="00D35F49" w:rsidP="00D35F49">
      <w:pPr>
        <w:spacing w:before="200" w:after="6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tbl>
      <w:tblPr>
        <w:tblW w:w="8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0"/>
        <w:gridCol w:w="2000"/>
        <w:gridCol w:w="2800"/>
      </w:tblGrid>
      <w:tr w:rsidR="00D35F49" w:rsidRPr="00251BA9" w14:paraId="528C6906" w14:textId="77777777" w:rsidTr="00534134">
        <w:trPr>
          <w:tblHeader/>
          <w:jc w:val="center"/>
        </w:trPr>
        <w:tc>
          <w:tcPr>
            <w:tcW w:w="3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9781ED4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Number of risk factors</w:t>
            </w:r>
          </w:p>
        </w:tc>
        <w:tc>
          <w:tcPr>
            <w:tcW w:w="2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0436323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Patients, n</w:t>
            </w:r>
          </w:p>
        </w:tc>
        <w:tc>
          <w:tcPr>
            <w:tcW w:w="28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43F116E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Not </w:t>
            </w:r>
            <w:proofErr w:type="spellStart"/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mobilised</w:t>
            </w:r>
            <w:proofErr w:type="spellEnd"/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 by day 3, n (%)</w:t>
            </w:r>
          </w:p>
        </w:tc>
      </w:tr>
      <w:tr w:rsidR="00D35F49" w:rsidRPr="00251BA9" w14:paraId="1DAD0C00" w14:textId="77777777" w:rsidTr="00534134">
        <w:trPr>
          <w:jc w:val="center"/>
        </w:trPr>
        <w:tc>
          <w:tcPr>
            <w:tcW w:w="3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FA5F0A1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0</w:t>
            </w:r>
          </w:p>
        </w:tc>
        <w:tc>
          <w:tcPr>
            <w:tcW w:w="2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C0D4E71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104</w:t>
            </w:r>
          </w:p>
        </w:tc>
        <w:tc>
          <w:tcPr>
            <w:tcW w:w="28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5872BEE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8 (8)</w:t>
            </w:r>
          </w:p>
        </w:tc>
      </w:tr>
      <w:tr w:rsidR="00D35F49" w:rsidRPr="00251BA9" w14:paraId="3E9C77CE" w14:textId="77777777" w:rsidTr="00534134">
        <w:trPr>
          <w:jc w:val="center"/>
        </w:trPr>
        <w:tc>
          <w:tcPr>
            <w:tcW w:w="3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2B21ADE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</w:t>
            </w:r>
          </w:p>
        </w:tc>
        <w:tc>
          <w:tcPr>
            <w:tcW w:w="2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5BD7955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152</w:t>
            </w:r>
          </w:p>
        </w:tc>
        <w:tc>
          <w:tcPr>
            <w:tcW w:w="28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0E4A50B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28 (18)</w:t>
            </w:r>
          </w:p>
        </w:tc>
      </w:tr>
      <w:tr w:rsidR="00D35F49" w:rsidRPr="00251BA9" w14:paraId="2DA0C4CD" w14:textId="77777777" w:rsidTr="00534134">
        <w:trPr>
          <w:jc w:val="center"/>
        </w:trPr>
        <w:tc>
          <w:tcPr>
            <w:tcW w:w="3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3ACE764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2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B359ABA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149</w:t>
            </w:r>
          </w:p>
        </w:tc>
        <w:tc>
          <w:tcPr>
            <w:tcW w:w="28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27DC2A4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40 (27)</w:t>
            </w:r>
          </w:p>
        </w:tc>
      </w:tr>
      <w:tr w:rsidR="00D35F49" w:rsidRPr="00251BA9" w14:paraId="10D99A04" w14:textId="77777777" w:rsidTr="00534134">
        <w:trPr>
          <w:jc w:val="center"/>
        </w:trPr>
        <w:tc>
          <w:tcPr>
            <w:tcW w:w="3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BAAC14C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3</w:t>
            </w:r>
          </w:p>
        </w:tc>
        <w:tc>
          <w:tcPr>
            <w:tcW w:w="2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0C63C67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94</w:t>
            </w:r>
          </w:p>
        </w:tc>
        <w:tc>
          <w:tcPr>
            <w:tcW w:w="28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008134F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44 (47)</w:t>
            </w:r>
          </w:p>
        </w:tc>
      </w:tr>
      <w:tr w:rsidR="00D35F49" w:rsidRPr="00251BA9" w14:paraId="6EED4F89" w14:textId="77777777" w:rsidTr="00534134">
        <w:trPr>
          <w:jc w:val="center"/>
        </w:trPr>
        <w:tc>
          <w:tcPr>
            <w:tcW w:w="3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6F6368A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4</w:t>
            </w:r>
          </w:p>
        </w:tc>
        <w:tc>
          <w:tcPr>
            <w:tcW w:w="2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E97109E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37</w:t>
            </w:r>
          </w:p>
        </w:tc>
        <w:tc>
          <w:tcPr>
            <w:tcW w:w="28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46557FC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18 (49)</w:t>
            </w:r>
          </w:p>
        </w:tc>
      </w:tr>
      <w:tr w:rsidR="00D35F49" w:rsidRPr="00251BA9" w14:paraId="15F98B6F" w14:textId="77777777" w:rsidTr="00534134">
        <w:trPr>
          <w:jc w:val="center"/>
        </w:trPr>
        <w:tc>
          <w:tcPr>
            <w:tcW w:w="3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11137AD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5</w:t>
            </w:r>
          </w:p>
        </w:tc>
        <w:tc>
          <w:tcPr>
            <w:tcW w:w="2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C91B9E5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11</w:t>
            </w:r>
          </w:p>
        </w:tc>
        <w:tc>
          <w:tcPr>
            <w:tcW w:w="28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D955C0F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6 (55)</w:t>
            </w:r>
          </w:p>
        </w:tc>
      </w:tr>
    </w:tbl>
    <w:p w14:paraId="2166EF07" w14:textId="77777777" w:rsidR="00D35F49" w:rsidRPr="00251BA9" w:rsidRDefault="00D35F49" w:rsidP="00D35F49">
      <w:pPr>
        <w:spacing w:before="50" w:after="140" w:line="240" w:lineRule="auto"/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</w:pPr>
      <w:r w:rsidRPr="00251BA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  <w:t xml:space="preserve">Risk factors: CFS ≥5, GNRI ≤98, </w:t>
      </w:r>
      <w:proofErr w:type="spellStart"/>
      <w:r w:rsidRPr="00251BA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  <w:t>haemoglobin</w:t>
      </w:r>
      <w:proofErr w:type="spellEnd"/>
      <w:r w:rsidRPr="00251BA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  <w:t xml:space="preserve"> &lt;10 g/dL, postoperative delirium, polypharmacy (≥8 medications). Area under the ROC curve for </w:t>
      </w:r>
      <w:proofErr w:type="gramStart"/>
      <w:r w:rsidRPr="00251BA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  <w:t>the count</w:t>
      </w:r>
      <w:proofErr w:type="gramEnd"/>
      <w:r w:rsidRPr="00251BA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  <w:t xml:space="preserve"> 0.70. Offered as a bedside checklist, not a formal prediction instrument.</w:t>
      </w:r>
    </w:p>
    <w:p w14:paraId="04ECA0E2" w14:textId="77777777" w:rsidR="00D35F49" w:rsidRPr="00251BA9" w:rsidRDefault="00D35F49" w:rsidP="00D35F49">
      <w:pPr>
        <w:spacing w:before="50" w:after="14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4E4C091" w14:textId="77777777" w:rsidR="00D35F49" w:rsidRPr="00251BA9" w:rsidRDefault="00D35F49" w:rsidP="00D35F49">
      <w:pPr>
        <w:spacing w:before="200" w:after="60" w:line="48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1B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Appendix Table S2.</w:t>
      </w:r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Candidate predictors tested against time to functional </w:t>
      </w:r>
      <w:proofErr w:type="spellStart"/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mobilisation</w:t>
      </w:r>
      <w:proofErr w:type="spellEnd"/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(Cox regression, n=547).</w:t>
      </w:r>
    </w:p>
    <w:tbl>
      <w:tblPr>
        <w:tblW w:w="8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200"/>
        <w:gridCol w:w="2400"/>
        <w:gridCol w:w="1000"/>
      </w:tblGrid>
      <w:tr w:rsidR="00D35F49" w:rsidRPr="00251BA9" w14:paraId="508D9E76" w14:textId="77777777" w:rsidTr="00534134">
        <w:trPr>
          <w:tblHeader/>
          <w:jc w:val="center"/>
        </w:trPr>
        <w:tc>
          <w:tcPr>
            <w:tcW w:w="2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6BC3292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Candidate</w:t>
            </w:r>
          </w:p>
        </w:tc>
        <w:tc>
          <w:tcPr>
            <w:tcW w:w="22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CECF837" w14:textId="77777777" w:rsidR="00D35F4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Univariable HR </w:t>
            </w:r>
          </w:p>
          <w:p w14:paraId="79FAFC0A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(95% CI)</w:t>
            </w:r>
          </w:p>
        </w:tc>
        <w:tc>
          <w:tcPr>
            <w:tcW w:w="2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CA41654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Added to 5-factor model</w:t>
            </w:r>
          </w:p>
        </w:tc>
        <w:tc>
          <w:tcPr>
            <w:tcW w:w="1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DF95062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Retained</w:t>
            </w:r>
          </w:p>
        </w:tc>
      </w:tr>
      <w:tr w:rsidR="00D35F49" w:rsidRPr="00251BA9" w14:paraId="5BB38159" w14:textId="77777777" w:rsidTr="00534134">
        <w:trPr>
          <w:jc w:val="center"/>
        </w:trPr>
        <w:tc>
          <w:tcPr>
            <w:tcW w:w="2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404ED0E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GNRI ≤98</w:t>
            </w:r>
          </w:p>
        </w:tc>
        <w:tc>
          <w:tcPr>
            <w:tcW w:w="22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C072A46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0.67 (0.56–0.80)</w:t>
            </w:r>
          </w:p>
        </w:tc>
        <w:tc>
          <w:tcPr>
            <w:tcW w:w="2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9ED8065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p=0.003</w:t>
            </w:r>
          </w:p>
        </w:tc>
        <w:tc>
          <w:tcPr>
            <w:tcW w:w="1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76368AD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Yes</w:t>
            </w:r>
          </w:p>
        </w:tc>
      </w:tr>
      <w:tr w:rsidR="00D35F49" w:rsidRPr="00251BA9" w14:paraId="73E5C8AB" w14:textId="77777777" w:rsidTr="00534134">
        <w:trPr>
          <w:jc w:val="center"/>
        </w:trPr>
        <w:tc>
          <w:tcPr>
            <w:tcW w:w="2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0761EA2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Albumin &lt;3.5 g/dL</w:t>
            </w:r>
          </w:p>
        </w:tc>
        <w:tc>
          <w:tcPr>
            <w:tcW w:w="22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E81E487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0.66 (0.53–0.83)</w:t>
            </w:r>
          </w:p>
        </w:tc>
        <w:tc>
          <w:tcPr>
            <w:tcW w:w="2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828C0F1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collinear with GNRI (r=0.90)</w:t>
            </w:r>
          </w:p>
        </w:tc>
        <w:tc>
          <w:tcPr>
            <w:tcW w:w="1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E7EDCB4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</w:t>
            </w:r>
          </w:p>
        </w:tc>
      </w:tr>
      <w:tr w:rsidR="00D35F49" w:rsidRPr="00251BA9" w14:paraId="78EC40D6" w14:textId="77777777" w:rsidTr="00534134">
        <w:trPr>
          <w:jc w:val="center"/>
        </w:trPr>
        <w:tc>
          <w:tcPr>
            <w:tcW w:w="2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1503BCF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Sodium &lt;135 mmol/L</w:t>
            </w:r>
          </w:p>
        </w:tc>
        <w:tc>
          <w:tcPr>
            <w:tcW w:w="22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E135F6D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0.79 (0.62–1.02)</w:t>
            </w:r>
          </w:p>
        </w:tc>
        <w:tc>
          <w:tcPr>
            <w:tcW w:w="2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840894E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p=0.42</w:t>
            </w:r>
          </w:p>
        </w:tc>
        <w:tc>
          <w:tcPr>
            <w:tcW w:w="1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EE02B5B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</w:t>
            </w:r>
          </w:p>
        </w:tc>
      </w:tr>
      <w:tr w:rsidR="00D35F49" w:rsidRPr="00251BA9" w14:paraId="00FDDA04" w14:textId="77777777" w:rsidTr="00534134">
        <w:trPr>
          <w:jc w:val="center"/>
        </w:trPr>
        <w:tc>
          <w:tcPr>
            <w:tcW w:w="2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A803879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Neutrophil-to-lymphocyte ratio</w:t>
            </w:r>
          </w:p>
        </w:tc>
        <w:tc>
          <w:tcPr>
            <w:tcW w:w="22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4032EA2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0.99 (0.98–1.01)</w:t>
            </w:r>
          </w:p>
        </w:tc>
        <w:tc>
          <w:tcPr>
            <w:tcW w:w="2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920CAED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p=0.96</w:t>
            </w:r>
          </w:p>
        </w:tc>
        <w:tc>
          <w:tcPr>
            <w:tcW w:w="1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A15CA48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</w:t>
            </w:r>
          </w:p>
        </w:tc>
      </w:tr>
      <w:tr w:rsidR="00D35F49" w:rsidRPr="00251BA9" w14:paraId="43FF4A26" w14:textId="77777777" w:rsidTr="00534134">
        <w:trPr>
          <w:jc w:val="center"/>
        </w:trPr>
        <w:tc>
          <w:tcPr>
            <w:tcW w:w="2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5A1853A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Lymphocyte-to-monocyte ratio</w:t>
            </w:r>
          </w:p>
        </w:tc>
        <w:tc>
          <w:tcPr>
            <w:tcW w:w="22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080B745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1.13 (1.06–1.21)</w:t>
            </w:r>
          </w:p>
        </w:tc>
        <w:tc>
          <w:tcPr>
            <w:tcW w:w="24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503B60F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p=0.12</w:t>
            </w:r>
          </w:p>
        </w:tc>
        <w:tc>
          <w:tcPr>
            <w:tcW w:w="1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A6C3378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</w:t>
            </w:r>
          </w:p>
        </w:tc>
      </w:tr>
    </w:tbl>
    <w:p w14:paraId="33CC7F8D" w14:textId="77777777" w:rsidR="00D35F49" w:rsidRPr="00251BA9" w:rsidRDefault="00D35F49" w:rsidP="00D35F49">
      <w:pPr>
        <w:spacing w:before="50" w:after="140" w:line="240" w:lineRule="auto"/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</w:pPr>
      <w:r w:rsidRPr="00251BA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  <w:t>Hazard ratio below 1 indicates slower recovery. GNRI is derived from albumin and weight-for-height and was preferred as a validated composite nutritional index. Inflammatory ratios were computed from the white-cell differential. None of the additional candidates improved model discrimination (c-index 0.67).</w:t>
      </w:r>
    </w:p>
    <w:p w14:paraId="474625B4" w14:textId="77777777" w:rsidR="00D35F49" w:rsidRPr="00251BA9" w:rsidRDefault="00D35F49" w:rsidP="00D35F49">
      <w:pPr>
        <w:spacing w:before="50" w:after="14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921504A" w14:textId="77777777" w:rsidR="00D35F49" w:rsidRPr="00251BA9" w:rsidRDefault="00D35F49" w:rsidP="00D35F49">
      <w:pPr>
        <w:spacing w:before="200" w:after="60" w:line="48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51BA9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>Appendix Table S3.</w:t>
      </w:r>
      <w:r w:rsidRPr="00251BA9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Care-process levers and early ambulation (patients independently mobile before fracture, n=547).</w:t>
      </w:r>
    </w:p>
    <w:tbl>
      <w:tblPr>
        <w:tblW w:w="8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1600"/>
        <w:gridCol w:w="1900"/>
        <w:gridCol w:w="1700"/>
      </w:tblGrid>
      <w:tr w:rsidR="00D35F49" w:rsidRPr="00251BA9" w14:paraId="0314BBDF" w14:textId="77777777" w:rsidTr="00534134">
        <w:trPr>
          <w:tblHeader/>
          <w:jc w:val="center"/>
        </w:trPr>
        <w:tc>
          <w:tcPr>
            <w:tcW w:w="3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E122849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Care-process factor</w:t>
            </w:r>
          </w:p>
        </w:tc>
        <w:tc>
          <w:tcPr>
            <w:tcW w:w="1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9A04698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Day-1 walking</w:t>
            </w:r>
          </w:p>
        </w:tc>
        <w:tc>
          <w:tcPr>
            <w:tcW w:w="19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4C11965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Median days </w:t>
            </w:r>
          </w:p>
          <w:p w14:paraId="2EF83247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to </w:t>
            </w:r>
            <w:proofErr w:type="spellStart"/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mobilisation</w:t>
            </w:r>
            <w:proofErr w:type="spellEnd"/>
          </w:p>
        </w:tc>
        <w:tc>
          <w:tcPr>
            <w:tcW w:w="17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DCE6F1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02AD8791" w14:textId="77777777" w:rsidR="00D35F4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 xml:space="preserve">Cox HR </w:t>
            </w:r>
          </w:p>
          <w:p w14:paraId="56367AE0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(95% CI)</w:t>
            </w:r>
          </w:p>
        </w:tc>
      </w:tr>
      <w:tr w:rsidR="00D35F49" w:rsidRPr="00251BA9" w14:paraId="1F081353" w14:textId="77777777" w:rsidTr="00534134">
        <w:trPr>
          <w:jc w:val="center"/>
        </w:trPr>
        <w:tc>
          <w:tcPr>
            <w:tcW w:w="3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4D7811FC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Surgery ≤48 h of admission (n=456)</w:t>
            </w:r>
          </w:p>
        </w:tc>
        <w:tc>
          <w:tcPr>
            <w:tcW w:w="1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256BE54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25%</w:t>
            </w:r>
          </w:p>
        </w:tc>
        <w:tc>
          <w:tcPr>
            <w:tcW w:w="19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4D05577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76B6B81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1.37 (1.06–1.76)</w:t>
            </w:r>
          </w:p>
        </w:tc>
      </w:tr>
      <w:tr w:rsidR="00D35F49" w:rsidRPr="00251BA9" w14:paraId="3C2E6EC7" w14:textId="77777777" w:rsidTr="00534134">
        <w:trPr>
          <w:jc w:val="center"/>
        </w:trPr>
        <w:tc>
          <w:tcPr>
            <w:tcW w:w="3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3DA1A5E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Surgery &gt;48 h (n=91)</w:t>
            </w:r>
          </w:p>
        </w:tc>
        <w:tc>
          <w:tcPr>
            <w:tcW w:w="1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1323901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16%</w:t>
            </w:r>
          </w:p>
        </w:tc>
        <w:tc>
          <w:tcPr>
            <w:tcW w:w="19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EC19F52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50A0354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reference</w:t>
            </w:r>
          </w:p>
        </w:tc>
      </w:tr>
      <w:tr w:rsidR="00D35F49" w:rsidRPr="00251BA9" w14:paraId="17AA5F04" w14:textId="77777777" w:rsidTr="00534134">
        <w:trPr>
          <w:jc w:val="center"/>
        </w:trPr>
        <w:tc>
          <w:tcPr>
            <w:tcW w:w="3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C5CAA26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Regional (spinal) </w:t>
            </w:r>
            <w:proofErr w:type="spellStart"/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anaesthesia</w:t>
            </w:r>
            <w:proofErr w:type="spellEnd"/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 (n=432)</w:t>
            </w:r>
          </w:p>
        </w:tc>
        <w:tc>
          <w:tcPr>
            <w:tcW w:w="1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9F8562F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26%</w:t>
            </w:r>
          </w:p>
        </w:tc>
        <w:tc>
          <w:tcPr>
            <w:tcW w:w="19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70F35DE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2</w:t>
            </w:r>
          </w:p>
        </w:tc>
        <w:tc>
          <w:tcPr>
            <w:tcW w:w="17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1D927BF6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1.42 (1.13–1.79)</w:t>
            </w:r>
          </w:p>
        </w:tc>
      </w:tr>
      <w:tr w:rsidR="00D35F49" w:rsidRPr="00251BA9" w14:paraId="1E1ED2F2" w14:textId="77777777" w:rsidTr="00534134">
        <w:trPr>
          <w:jc w:val="center"/>
        </w:trPr>
        <w:tc>
          <w:tcPr>
            <w:tcW w:w="30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7E0BDD56" w14:textId="77777777" w:rsidR="00D35F49" w:rsidRPr="00251BA9" w:rsidRDefault="00D35F49" w:rsidP="005341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General </w:t>
            </w:r>
            <w:proofErr w:type="spellStart"/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anaesthesia</w:t>
            </w:r>
            <w:proofErr w:type="spellEnd"/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 (n=115)</w:t>
            </w:r>
          </w:p>
        </w:tc>
        <w:tc>
          <w:tcPr>
            <w:tcW w:w="16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283737FC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13%</w:t>
            </w:r>
          </w:p>
        </w:tc>
        <w:tc>
          <w:tcPr>
            <w:tcW w:w="19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696B8F3E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3</w:t>
            </w:r>
          </w:p>
        </w:tc>
        <w:tc>
          <w:tcPr>
            <w:tcW w:w="1700" w:type="dxa"/>
            <w:tcBorders>
              <w:top w:val="single" w:sz="1" w:space="0" w:color="808080"/>
              <w:left w:val="single" w:sz="1" w:space="0" w:color="808080"/>
              <w:bottom w:val="single" w:sz="1" w:space="0" w:color="808080"/>
              <w:right w:val="single" w:sz="1" w:space="0" w:color="808080"/>
            </w:tcBorders>
            <w:shd w:val="clear" w:color="auto" w:fill="FFFFFF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5E632F6A" w14:textId="77777777" w:rsidR="00D35F49" w:rsidRPr="00251BA9" w:rsidRDefault="00D35F49" w:rsidP="00534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14:ligatures w14:val="none"/>
              </w:rPr>
            </w:pPr>
            <w:r w:rsidRPr="00251BA9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reference</w:t>
            </w:r>
          </w:p>
        </w:tc>
      </w:tr>
    </w:tbl>
    <w:p w14:paraId="1F8F54CC" w14:textId="77777777" w:rsidR="00D35F49" w:rsidRPr="00251BA9" w:rsidRDefault="00D35F49" w:rsidP="00D35F49">
      <w:pPr>
        <w:spacing w:before="50" w:after="140" w:line="240" w:lineRule="auto"/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</w:pPr>
      <w:r w:rsidRPr="00251BA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  <w:t xml:space="preserve">Hazard ratio above 1 indicates faster recovery of </w:t>
      </w:r>
      <w:proofErr w:type="spellStart"/>
      <w:r w:rsidRPr="00251BA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  <w:t>mobilisation</w:t>
      </w:r>
      <w:proofErr w:type="spellEnd"/>
      <w:r w:rsidRPr="00251BA9"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  <w:t>. Associations are unadjusted and susceptible to confounding by indication; presented as hypothesis-generating and consistent with ERAS principles.</w:t>
      </w:r>
    </w:p>
    <w:p w14:paraId="58B4E981" w14:textId="77777777" w:rsidR="00D35F49" w:rsidRPr="00251BA9" w:rsidRDefault="00D35F49" w:rsidP="00D35F49">
      <w:pPr>
        <w:spacing w:before="50" w:after="140" w:line="240" w:lineRule="auto"/>
        <w:rPr>
          <w:rFonts w:ascii="Times New Roman" w:eastAsia="Times New Roman" w:hAnsi="Times New Roman" w:cs="Times New Roman"/>
          <w:i/>
          <w:iCs/>
          <w:kern w:val="0"/>
          <w:sz w:val="17"/>
          <w:szCs w:val="17"/>
          <w14:ligatures w14:val="none"/>
        </w:rPr>
      </w:pPr>
    </w:p>
    <w:p w14:paraId="6544B1B3" w14:textId="77777777" w:rsidR="0076746A" w:rsidRDefault="0076746A"/>
    <w:sectPr w:rsidR="007674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49"/>
    <w:rsid w:val="006378FA"/>
    <w:rsid w:val="007014E3"/>
    <w:rsid w:val="0076746A"/>
    <w:rsid w:val="00D35F49"/>
    <w:rsid w:val="00D6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A1377"/>
  <w15:chartTrackingRefBased/>
  <w15:docId w15:val="{B4D965E9-7A16-43D2-AA90-A56DCED60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F49"/>
  </w:style>
  <w:style w:type="paragraph" w:styleId="Heading1">
    <w:name w:val="heading 1"/>
    <w:basedOn w:val="Normal"/>
    <w:next w:val="Normal"/>
    <w:link w:val="Heading1Char"/>
    <w:uiPriority w:val="9"/>
    <w:qFormat/>
    <w:rsid w:val="00D35F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F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F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F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F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F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F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F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F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F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F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F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F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F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F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F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F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F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F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35F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F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35F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35F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F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F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F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F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F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F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Unchana Sura-amonrattana</dc:creator>
  <cp:keywords/>
  <dc:description/>
  <cp:lastModifiedBy>Unchana Sura-amonrattana</cp:lastModifiedBy>
  <cp:revision>1</cp:revision>
  <dcterms:created xsi:type="dcterms:W3CDTF">2026-07-23T02:31:00Z</dcterms:created>
  <dcterms:modified xsi:type="dcterms:W3CDTF">2026-07-23T02:32:00Z</dcterms:modified>
</cp:coreProperties>
</file>