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6D235" w14:textId="77777777" w:rsidR="00276658" w:rsidRPr="00BE5D45" w:rsidRDefault="00276658" w:rsidP="00276658">
      <w:pPr>
        <w:rPr>
          <w:rFonts w:ascii="Times New Roman" w:hAnsi="Times New Roman" w:cs="Times New Roman"/>
          <w:sz w:val="22"/>
          <w:szCs w:val="22"/>
        </w:rPr>
      </w:pPr>
      <w:r w:rsidRPr="00BE5D45">
        <w:rPr>
          <w:rFonts w:ascii="Times New Roman" w:hAnsi="Times New Roman" w:cs="Times New Roman"/>
          <w:b/>
          <w:bCs/>
          <w:sz w:val="22"/>
          <w:szCs w:val="22"/>
        </w:rPr>
        <w:t>Table 1.</w:t>
      </w:r>
      <w:r w:rsidRPr="00BE5D45">
        <w:rPr>
          <w:rFonts w:ascii="Times New Roman" w:hAnsi="Times New Roman" w:cs="Times New Roman"/>
          <w:sz w:val="22"/>
          <w:szCs w:val="22"/>
        </w:rPr>
        <w:t xml:space="preserve"> Stakeholder interactions </w:t>
      </w:r>
      <w:r>
        <w:rPr>
          <w:rFonts w:ascii="Times New Roman" w:hAnsi="Times New Roman" w:cs="Times New Roman"/>
          <w:sz w:val="22"/>
          <w:szCs w:val="22"/>
        </w:rPr>
        <w:t>with Health Canada by stakeholder type, 2016-2019 and 2019-2025</w:t>
      </w:r>
      <w:r w:rsidRPr="00BE5D45">
        <w:rPr>
          <w:rFonts w:ascii="Times New Roman" w:hAnsi="Times New Roman" w:cs="Times New Roman"/>
          <w:sz w:val="22"/>
          <w:szCs w:val="22"/>
        </w:rPr>
        <w:t>.</w:t>
      </w:r>
      <w:r w:rsidRPr="008635BE">
        <w:rPr>
          <w:rFonts w:ascii="Times New Roman" w:hAnsi="Times New Roman" w:cs="Times New Roman"/>
          <w:sz w:val="22"/>
          <w:szCs w:val="22"/>
          <w:vertAlign w:val="superscript"/>
        </w:rPr>
        <w:t>a</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253"/>
        <w:gridCol w:w="2968"/>
        <w:gridCol w:w="2805"/>
      </w:tblGrid>
      <w:tr w:rsidR="00276658" w:rsidRPr="00BE5D45" w14:paraId="27C2FFB7" w14:textId="77777777" w:rsidTr="0094247D">
        <w:tc>
          <w:tcPr>
            <w:tcW w:w="1802" w:type="pct"/>
            <w:vMerge w:val="restart"/>
            <w:vAlign w:val="center"/>
          </w:tcPr>
          <w:p w14:paraId="295B279A" w14:textId="77777777" w:rsidR="00276658" w:rsidRPr="00BE5D45" w:rsidRDefault="00276658" w:rsidP="0094247D">
            <w:pPr>
              <w:rPr>
                <w:rFonts w:ascii="Times New Roman" w:hAnsi="Times New Roman" w:cs="Times New Roman"/>
                <w:b/>
                <w:bCs/>
                <w:sz w:val="22"/>
                <w:szCs w:val="22"/>
              </w:rPr>
            </w:pPr>
            <w:r w:rsidRPr="00BE5D45">
              <w:rPr>
                <w:rFonts w:ascii="Times New Roman" w:hAnsi="Times New Roman" w:cs="Times New Roman"/>
                <w:b/>
                <w:bCs/>
                <w:sz w:val="22"/>
                <w:szCs w:val="22"/>
              </w:rPr>
              <w:t>Stakeholder type</w:t>
            </w:r>
          </w:p>
        </w:tc>
        <w:tc>
          <w:tcPr>
            <w:tcW w:w="3198" w:type="pct"/>
            <w:gridSpan w:val="2"/>
            <w:tcBorders>
              <w:bottom w:val="single" w:sz="4" w:space="0" w:color="auto"/>
            </w:tcBorders>
          </w:tcPr>
          <w:p w14:paraId="290B0B73" w14:textId="77777777" w:rsidR="00276658" w:rsidRPr="00BE5D45" w:rsidRDefault="00276658" w:rsidP="0094247D">
            <w:pPr>
              <w:jc w:val="center"/>
              <w:rPr>
                <w:rFonts w:ascii="Times New Roman" w:hAnsi="Times New Roman" w:cs="Times New Roman"/>
                <w:b/>
                <w:bCs/>
                <w:sz w:val="22"/>
                <w:szCs w:val="22"/>
              </w:rPr>
            </w:pPr>
            <w:r w:rsidRPr="00BE5D45">
              <w:rPr>
                <w:rFonts w:ascii="Times New Roman" w:hAnsi="Times New Roman" w:cs="Times New Roman"/>
                <w:b/>
                <w:bCs/>
                <w:sz w:val="22"/>
                <w:szCs w:val="22"/>
              </w:rPr>
              <w:t>Total number of interactions</w:t>
            </w:r>
          </w:p>
        </w:tc>
      </w:tr>
      <w:tr w:rsidR="00276658" w:rsidRPr="00BE5D45" w14:paraId="0D5EBD7C" w14:textId="77777777" w:rsidTr="0094247D">
        <w:tc>
          <w:tcPr>
            <w:tcW w:w="1802" w:type="pct"/>
            <w:vMerge/>
            <w:vAlign w:val="center"/>
          </w:tcPr>
          <w:p w14:paraId="7ED8C726" w14:textId="77777777" w:rsidR="00276658" w:rsidRPr="00BE5D45" w:rsidRDefault="00276658" w:rsidP="0094247D">
            <w:pPr>
              <w:rPr>
                <w:rFonts w:ascii="Times New Roman" w:hAnsi="Times New Roman" w:cs="Times New Roman"/>
                <w:b/>
                <w:bCs/>
                <w:sz w:val="22"/>
                <w:szCs w:val="22"/>
              </w:rPr>
            </w:pPr>
          </w:p>
        </w:tc>
        <w:tc>
          <w:tcPr>
            <w:tcW w:w="1644" w:type="pct"/>
            <w:tcBorders>
              <w:bottom w:val="single" w:sz="4" w:space="0" w:color="auto"/>
            </w:tcBorders>
          </w:tcPr>
          <w:p w14:paraId="5D5CFB6F" w14:textId="77777777" w:rsidR="00276658" w:rsidRPr="00BE5D45" w:rsidRDefault="00276658" w:rsidP="0094247D">
            <w:pPr>
              <w:jc w:val="center"/>
              <w:rPr>
                <w:rFonts w:ascii="Times New Roman" w:hAnsi="Times New Roman" w:cs="Times New Roman"/>
                <w:b/>
                <w:bCs/>
                <w:sz w:val="22"/>
                <w:szCs w:val="22"/>
                <w:vertAlign w:val="superscript"/>
              </w:rPr>
            </w:pPr>
            <w:r w:rsidRPr="00BE5D45">
              <w:rPr>
                <w:rFonts w:ascii="Times New Roman" w:hAnsi="Times New Roman" w:cs="Times New Roman"/>
                <w:b/>
                <w:bCs/>
                <w:sz w:val="22"/>
                <w:szCs w:val="22"/>
              </w:rPr>
              <w:t>2016-2019</w:t>
            </w:r>
          </w:p>
        </w:tc>
        <w:tc>
          <w:tcPr>
            <w:tcW w:w="1554" w:type="pct"/>
            <w:tcBorders>
              <w:bottom w:val="single" w:sz="4" w:space="0" w:color="auto"/>
            </w:tcBorders>
          </w:tcPr>
          <w:p w14:paraId="5326AA43" w14:textId="77777777" w:rsidR="00276658" w:rsidRPr="00BE5D45" w:rsidRDefault="00276658" w:rsidP="0094247D">
            <w:pPr>
              <w:jc w:val="center"/>
              <w:rPr>
                <w:rFonts w:ascii="Times New Roman" w:hAnsi="Times New Roman" w:cs="Times New Roman"/>
                <w:b/>
                <w:bCs/>
                <w:sz w:val="22"/>
                <w:szCs w:val="22"/>
              </w:rPr>
            </w:pPr>
            <w:r w:rsidRPr="00BE5D45">
              <w:rPr>
                <w:rFonts w:ascii="Times New Roman" w:hAnsi="Times New Roman" w:cs="Times New Roman"/>
                <w:b/>
                <w:bCs/>
                <w:sz w:val="22"/>
                <w:szCs w:val="22"/>
              </w:rPr>
              <w:t>2019-2025</w:t>
            </w:r>
          </w:p>
        </w:tc>
      </w:tr>
      <w:tr w:rsidR="00276658" w:rsidRPr="00BE5D45" w14:paraId="599C2002" w14:textId="77777777" w:rsidTr="0094247D">
        <w:tc>
          <w:tcPr>
            <w:tcW w:w="1802" w:type="pct"/>
            <w:vMerge/>
            <w:tcBorders>
              <w:bottom w:val="single" w:sz="4" w:space="0" w:color="auto"/>
            </w:tcBorders>
          </w:tcPr>
          <w:p w14:paraId="0697FC2B" w14:textId="77777777" w:rsidR="00276658" w:rsidRPr="00BE5D45" w:rsidRDefault="00276658" w:rsidP="0094247D">
            <w:pPr>
              <w:rPr>
                <w:rFonts w:ascii="Times New Roman" w:hAnsi="Times New Roman" w:cs="Times New Roman"/>
                <w:sz w:val="22"/>
                <w:szCs w:val="22"/>
              </w:rPr>
            </w:pPr>
          </w:p>
        </w:tc>
        <w:tc>
          <w:tcPr>
            <w:tcW w:w="1644" w:type="pct"/>
            <w:tcBorders>
              <w:top w:val="single" w:sz="4" w:space="0" w:color="auto"/>
              <w:bottom w:val="single" w:sz="4" w:space="0" w:color="auto"/>
            </w:tcBorders>
          </w:tcPr>
          <w:p w14:paraId="0FB1A0FE" w14:textId="77777777" w:rsidR="00276658" w:rsidRPr="00BE5D45" w:rsidRDefault="00276658" w:rsidP="0094247D">
            <w:pPr>
              <w:jc w:val="center"/>
              <w:rPr>
                <w:rFonts w:ascii="Times New Roman" w:hAnsi="Times New Roman" w:cs="Times New Roman"/>
                <w:b/>
                <w:bCs/>
                <w:sz w:val="22"/>
                <w:szCs w:val="22"/>
              </w:rPr>
            </w:pPr>
            <w:r w:rsidRPr="00BE5D45">
              <w:rPr>
                <w:rFonts w:ascii="Times New Roman" w:hAnsi="Times New Roman" w:cs="Times New Roman"/>
                <w:b/>
                <w:bCs/>
                <w:sz w:val="22"/>
                <w:szCs w:val="22"/>
              </w:rPr>
              <w:t>n (%)</w:t>
            </w:r>
          </w:p>
        </w:tc>
        <w:tc>
          <w:tcPr>
            <w:tcW w:w="1554" w:type="pct"/>
            <w:tcBorders>
              <w:top w:val="single" w:sz="4" w:space="0" w:color="auto"/>
              <w:bottom w:val="single" w:sz="4" w:space="0" w:color="auto"/>
            </w:tcBorders>
          </w:tcPr>
          <w:p w14:paraId="2C79D98F" w14:textId="77777777" w:rsidR="00276658" w:rsidRPr="00BE5D45" w:rsidRDefault="00276658" w:rsidP="0094247D">
            <w:pPr>
              <w:jc w:val="center"/>
              <w:rPr>
                <w:rFonts w:ascii="Times New Roman" w:hAnsi="Times New Roman" w:cs="Times New Roman"/>
                <w:b/>
                <w:bCs/>
                <w:sz w:val="22"/>
                <w:szCs w:val="22"/>
              </w:rPr>
            </w:pPr>
            <w:r w:rsidRPr="00BE5D45">
              <w:rPr>
                <w:rFonts w:ascii="Times New Roman" w:hAnsi="Times New Roman" w:cs="Times New Roman"/>
                <w:b/>
                <w:bCs/>
                <w:sz w:val="22"/>
                <w:szCs w:val="22"/>
              </w:rPr>
              <w:t>n (%)</w:t>
            </w:r>
          </w:p>
        </w:tc>
      </w:tr>
      <w:tr w:rsidR="00276658" w:rsidRPr="00BE5D45" w14:paraId="23A1427B" w14:textId="77777777" w:rsidTr="0094247D">
        <w:tc>
          <w:tcPr>
            <w:tcW w:w="1802" w:type="pct"/>
            <w:tcBorders>
              <w:bottom w:val="nil"/>
            </w:tcBorders>
          </w:tcPr>
          <w:p w14:paraId="5584DD7E"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Total</w:t>
            </w:r>
          </w:p>
        </w:tc>
        <w:tc>
          <w:tcPr>
            <w:tcW w:w="1644" w:type="pct"/>
            <w:tcBorders>
              <w:top w:val="single" w:sz="4" w:space="0" w:color="auto"/>
              <w:bottom w:val="nil"/>
            </w:tcBorders>
          </w:tcPr>
          <w:p w14:paraId="653212C6" w14:textId="77777777" w:rsidR="00276658" w:rsidRPr="00BE5D45" w:rsidRDefault="00276658" w:rsidP="0094247D">
            <w:pPr>
              <w:jc w:val="center"/>
              <w:rPr>
                <w:rFonts w:ascii="Times New Roman" w:hAnsi="Times New Roman" w:cs="Times New Roman"/>
                <w:sz w:val="22"/>
                <w:szCs w:val="22"/>
              </w:rPr>
            </w:pPr>
            <w:r w:rsidRPr="00BE5D45">
              <w:rPr>
                <w:rFonts w:ascii="Times New Roman" w:hAnsi="Times New Roman" w:cs="Times New Roman"/>
                <w:sz w:val="22"/>
                <w:szCs w:val="22"/>
              </w:rPr>
              <w:t>139 (100.0)</w:t>
            </w:r>
          </w:p>
        </w:tc>
        <w:tc>
          <w:tcPr>
            <w:tcW w:w="1554" w:type="pct"/>
            <w:tcBorders>
              <w:top w:val="single" w:sz="4" w:space="0" w:color="auto"/>
              <w:bottom w:val="nil"/>
            </w:tcBorders>
          </w:tcPr>
          <w:p w14:paraId="4D071444" w14:textId="77777777" w:rsidR="00276658" w:rsidRPr="00BE5D45" w:rsidRDefault="00276658" w:rsidP="0094247D">
            <w:pPr>
              <w:jc w:val="center"/>
              <w:rPr>
                <w:rFonts w:ascii="Times New Roman" w:hAnsi="Times New Roman" w:cs="Times New Roman"/>
                <w:sz w:val="22"/>
                <w:szCs w:val="22"/>
              </w:rPr>
            </w:pPr>
            <w:r w:rsidRPr="00BE5D45">
              <w:rPr>
                <w:rFonts w:ascii="Times New Roman" w:hAnsi="Times New Roman" w:cs="Times New Roman"/>
                <w:sz w:val="22"/>
                <w:szCs w:val="22"/>
              </w:rPr>
              <w:t>91 (100.0)</w:t>
            </w:r>
          </w:p>
        </w:tc>
      </w:tr>
      <w:tr w:rsidR="00276658" w:rsidRPr="00BE5D45" w14:paraId="1157E8C6" w14:textId="77777777" w:rsidTr="0094247D">
        <w:tc>
          <w:tcPr>
            <w:tcW w:w="1802" w:type="pct"/>
            <w:tcBorders>
              <w:top w:val="nil"/>
              <w:bottom w:val="nil"/>
            </w:tcBorders>
          </w:tcPr>
          <w:p w14:paraId="7C8030FC" w14:textId="77777777" w:rsidR="00276658" w:rsidRPr="00BE5D45" w:rsidRDefault="00276658" w:rsidP="0094247D">
            <w:pPr>
              <w:ind w:left="720"/>
              <w:rPr>
                <w:rFonts w:ascii="Times New Roman" w:hAnsi="Times New Roman" w:cs="Times New Roman"/>
                <w:sz w:val="22"/>
                <w:szCs w:val="22"/>
              </w:rPr>
            </w:pPr>
            <w:r w:rsidRPr="00BE5D45">
              <w:rPr>
                <w:rFonts w:ascii="Times New Roman" w:hAnsi="Times New Roman" w:cs="Times New Roman"/>
                <w:sz w:val="22"/>
                <w:szCs w:val="22"/>
              </w:rPr>
              <w:t>Industry</w:t>
            </w:r>
          </w:p>
        </w:tc>
        <w:tc>
          <w:tcPr>
            <w:tcW w:w="1644" w:type="pct"/>
            <w:tcBorders>
              <w:top w:val="nil"/>
              <w:bottom w:val="nil"/>
            </w:tcBorders>
          </w:tcPr>
          <w:p w14:paraId="5CE43E9D" w14:textId="77777777" w:rsidR="00276658" w:rsidRPr="00BE5D45" w:rsidRDefault="00276658" w:rsidP="0094247D">
            <w:pPr>
              <w:jc w:val="center"/>
              <w:rPr>
                <w:rFonts w:ascii="Times New Roman" w:hAnsi="Times New Roman" w:cs="Times New Roman"/>
                <w:sz w:val="22"/>
                <w:szCs w:val="22"/>
              </w:rPr>
            </w:pPr>
            <w:r w:rsidRPr="00BE5D45">
              <w:rPr>
                <w:rFonts w:ascii="Times New Roman" w:hAnsi="Times New Roman" w:cs="Times New Roman"/>
                <w:sz w:val="22"/>
                <w:szCs w:val="22"/>
              </w:rPr>
              <w:t>117 (84.2)</w:t>
            </w:r>
          </w:p>
        </w:tc>
        <w:tc>
          <w:tcPr>
            <w:tcW w:w="1554" w:type="pct"/>
            <w:tcBorders>
              <w:top w:val="nil"/>
              <w:bottom w:val="nil"/>
            </w:tcBorders>
          </w:tcPr>
          <w:p w14:paraId="3B42EBAC" w14:textId="77777777" w:rsidR="00276658" w:rsidRPr="00BE5D45" w:rsidRDefault="00276658" w:rsidP="0094247D">
            <w:pPr>
              <w:jc w:val="center"/>
              <w:rPr>
                <w:rFonts w:ascii="Times New Roman" w:hAnsi="Times New Roman" w:cs="Times New Roman"/>
                <w:sz w:val="22"/>
                <w:szCs w:val="22"/>
              </w:rPr>
            </w:pPr>
            <w:r w:rsidRPr="00BE5D45">
              <w:rPr>
                <w:rFonts w:ascii="Times New Roman" w:hAnsi="Times New Roman" w:cs="Times New Roman"/>
                <w:sz w:val="22"/>
                <w:szCs w:val="22"/>
              </w:rPr>
              <w:t>37 (40.7)</w:t>
            </w:r>
          </w:p>
        </w:tc>
      </w:tr>
      <w:tr w:rsidR="00276658" w:rsidRPr="00BE5D45" w14:paraId="41A8EC64" w14:textId="77777777" w:rsidTr="0094247D">
        <w:tc>
          <w:tcPr>
            <w:tcW w:w="1802" w:type="pct"/>
            <w:tcBorders>
              <w:top w:val="nil"/>
              <w:bottom w:val="nil"/>
            </w:tcBorders>
          </w:tcPr>
          <w:p w14:paraId="7489ABC0" w14:textId="77777777" w:rsidR="00276658" w:rsidRPr="00BE5D45" w:rsidRDefault="00276658" w:rsidP="0094247D">
            <w:pPr>
              <w:ind w:left="720"/>
              <w:rPr>
                <w:rFonts w:ascii="Times New Roman" w:hAnsi="Times New Roman" w:cs="Times New Roman"/>
                <w:sz w:val="22"/>
                <w:szCs w:val="22"/>
              </w:rPr>
            </w:pPr>
            <w:r w:rsidRPr="00BE5D45">
              <w:rPr>
                <w:rFonts w:ascii="Times New Roman" w:hAnsi="Times New Roman" w:cs="Times New Roman"/>
                <w:sz w:val="22"/>
                <w:szCs w:val="22"/>
              </w:rPr>
              <w:t>Non-industry</w:t>
            </w:r>
          </w:p>
        </w:tc>
        <w:tc>
          <w:tcPr>
            <w:tcW w:w="1644" w:type="pct"/>
            <w:tcBorders>
              <w:top w:val="nil"/>
              <w:bottom w:val="nil"/>
            </w:tcBorders>
          </w:tcPr>
          <w:p w14:paraId="608ECAF3" w14:textId="77777777" w:rsidR="00276658" w:rsidRPr="00BE5D45" w:rsidRDefault="00276658" w:rsidP="0094247D">
            <w:pPr>
              <w:jc w:val="center"/>
              <w:rPr>
                <w:rFonts w:ascii="Times New Roman" w:hAnsi="Times New Roman" w:cs="Times New Roman"/>
                <w:sz w:val="22"/>
                <w:szCs w:val="22"/>
              </w:rPr>
            </w:pPr>
            <w:r w:rsidRPr="00BE5D45">
              <w:rPr>
                <w:rFonts w:ascii="Times New Roman" w:hAnsi="Times New Roman" w:cs="Times New Roman"/>
                <w:sz w:val="22"/>
                <w:szCs w:val="22"/>
              </w:rPr>
              <w:t>19 (13.7)</w:t>
            </w:r>
          </w:p>
        </w:tc>
        <w:tc>
          <w:tcPr>
            <w:tcW w:w="1554" w:type="pct"/>
            <w:tcBorders>
              <w:top w:val="nil"/>
              <w:bottom w:val="nil"/>
            </w:tcBorders>
          </w:tcPr>
          <w:p w14:paraId="610CC330" w14:textId="77777777" w:rsidR="00276658" w:rsidRPr="00BE5D45" w:rsidRDefault="00276658" w:rsidP="0094247D">
            <w:pPr>
              <w:jc w:val="center"/>
              <w:rPr>
                <w:rFonts w:ascii="Times New Roman" w:hAnsi="Times New Roman" w:cs="Times New Roman"/>
                <w:sz w:val="22"/>
                <w:szCs w:val="22"/>
              </w:rPr>
            </w:pPr>
            <w:r w:rsidRPr="00BE5D45">
              <w:rPr>
                <w:rFonts w:ascii="Times New Roman" w:hAnsi="Times New Roman" w:cs="Times New Roman"/>
                <w:sz w:val="22"/>
                <w:szCs w:val="22"/>
              </w:rPr>
              <w:t>50 (54.9)</w:t>
            </w:r>
          </w:p>
        </w:tc>
      </w:tr>
      <w:tr w:rsidR="00276658" w:rsidRPr="00BE5D45" w14:paraId="41712E8D" w14:textId="77777777" w:rsidTr="0094247D">
        <w:tc>
          <w:tcPr>
            <w:tcW w:w="1802" w:type="pct"/>
            <w:tcBorders>
              <w:top w:val="nil"/>
            </w:tcBorders>
          </w:tcPr>
          <w:p w14:paraId="08819E02" w14:textId="77777777" w:rsidR="00276658" w:rsidRPr="00BE5D45" w:rsidRDefault="00276658" w:rsidP="0094247D">
            <w:pPr>
              <w:ind w:left="720"/>
              <w:rPr>
                <w:rFonts w:ascii="Times New Roman" w:hAnsi="Times New Roman" w:cs="Times New Roman"/>
                <w:sz w:val="22"/>
                <w:szCs w:val="22"/>
              </w:rPr>
            </w:pPr>
            <w:r w:rsidRPr="00BE5D45">
              <w:rPr>
                <w:rFonts w:ascii="Times New Roman" w:hAnsi="Times New Roman" w:cs="Times New Roman"/>
                <w:sz w:val="22"/>
                <w:szCs w:val="22"/>
              </w:rPr>
              <w:t>Mixed</w:t>
            </w:r>
          </w:p>
        </w:tc>
        <w:tc>
          <w:tcPr>
            <w:tcW w:w="1644" w:type="pct"/>
            <w:tcBorders>
              <w:top w:val="nil"/>
            </w:tcBorders>
          </w:tcPr>
          <w:p w14:paraId="6F9778DB" w14:textId="77777777" w:rsidR="00276658" w:rsidRPr="00BE5D45" w:rsidRDefault="00276658" w:rsidP="0094247D">
            <w:pPr>
              <w:jc w:val="center"/>
              <w:rPr>
                <w:rFonts w:ascii="Times New Roman" w:hAnsi="Times New Roman" w:cs="Times New Roman"/>
                <w:sz w:val="22"/>
                <w:szCs w:val="22"/>
              </w:rPr>
            </w:pPr>
            <w:r w:rsidRPr="00BE5D45">
              <w:rPr>
                <w:rFonts w:ascii="Times New Roman" w:hAnsi="Times New Roman" w:cs="Times New Roman"/>
                <w:sz w:val="22"/>
                <w:szCs w:val="22"/>
              </w:rPr>
              <w:t>2 (1.4)</w:t>
            </w:r>
          </w:p>
        </w:tc>
        <w:tc>
          <w:tcPr>
            <w:tcW w:w="1554" w:type="pct"/>
            <w:tcBorders>
              <w:top w:val="nil"/>
            </w:tcBorders>
          </w:tcPr>
          <w:p w14:paraId="21046A5D" w14:textId="77777777" w:rsidR="00276658" w:rsidRPr="00BE5D45" w:rsidRDefault="00276658" w:rsidP="0094247D">
            <w:pPr>
              <w:jc w:val="center"/>
              <w:rPr>
                <w:rFonts w:ascii="Times New Roman" w:hAnsi="Times New Roman" w:cs="Times New Roman"/>
                <w:sz w:val="22"/>
                <w:szCs w:val="22"/>
              </w:rPr>
            </w:pPr>
            <w:r w:rsidRPr="00BE5D45">
              <w:rPr>
                <w:rFonts w:ascii="Times New Roman" w:hAnsi="Times New Roman" w:cs="Times New Roman"/>
                <w:sz w:val="22"/>
                <w:szCs w:val="22"/>
              </w:rPr>
              <w:t>4 (4.4)</w:t>
            </w:r>
          </w:p>
        </w:tc>
      </w:tr>
    </w:tbl>
    <w:p w14:paraId="2E13BCFA" w14:textId="77777777" w:rsidR="00276658" w:rsidRDefault="00276658" w:rsidP="00276658">
      <w:pPr>
        <w:rPr>
          <w:rFonts w:ascii="Times New Roman" w:hAnsi="Times New Roman" w:cs="Times New Roman"/>
          <w:sz w:val="22"/>
          <w:szCs w:val="22"/>
        </w:rPr>
      </w:pPr>
      <w:r w:rsidRPr="00BE5D45">
        <w:rPr>
          <w:rFonts w:ascii="Times New Roman" w:hAnsi="Times New Roman" w:cs="Times New Roman"/>
          <w:sz w:val="22"/>
          <w:szCs w:val="22"/>
          <w:vertAlign w:val="superscript"/>
        </w:rPr>
        <w:t>a</w:t>
      </w:r>
      <w:r>
        <w:rPr>
          <w:rFonts w:ascii="Times New Roman" w:hAnsi="Times New Roman" w:cs="Times New Roman"/>
          <w:sz w:val="22"/>
          <w:szCs w:val="22"/>
        </w:rPr>
        <w:t>Data from b</w:t>
      </w:r>
      <w:r w:rsidRPr="00BE5D45">
        <w:rPr>
          <w:rFonts w:ascii="Times New Roman" w:hAnsi="Times New Roman" w:cs="Times New Roman"/>
          <w:sz w:val="22"/>
          <w:szCs w:val="22"/>
        </w:rPr>
        <w:t xml:space="preserve">oth study periods were derived using comparable methods. Data for 2016–2019 were reported by Mulligan et al.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{"citationID":"29zlYoyB","properties":{"unsorted":false,"formattedCitation":"[32]","plainCitation":"[32]","noteIndex":0},"citationItems":[{"id":5,"uris":["http://zotero.org/users/8635781/items/7X9ZNYIX"],"itemData":{"id":5,"type":"article-journal","abstract":"Background: Canadian federal restrictions on food marketing to children (children’s marketing) were proposed in 2016 as Bill S-228, the Child Health Protection Act, which subsequently died on the parliamentary table. This study quantified the interactions (meetings, correspondence and lobbying) related to Bill S-228 and children’s marketing by different stakeholders with the federal government.\nMethods: Interactions between all stakeholders and government related to children’s marketing and Bill S-228 (Sept. 1, 2016–Sept. 30, 2019) were analyzed. These included the “Meetings and correspondence on healthy eating” database, detailing interactions between stakeholders and Health Canada related to nutrition policies; and Canada’s Registry of Lobbyists, reporting activities of paid lobbyists. We categorized the interactions by stakeholder type (industry, nonindustry and mixed), and analyzed the number and type of interactions with different government offices.\nResults: We analyzed 139 meetings, 65 lobbying registrants, 215 lobbying registrations and 3418 communications related to children’s marketing and Bill S-228. Most interactions were from industry stakeholders, including 84.2% of meetings (117/139), 81.5% of lobbying registrants (53/65), 83.3% of lobbying registrations (179/215) and 83.9% of communications (2866/3418). Most interactions (&gt; 80%) in the highest-ranking government offices were by industry.\nInterpretation: Industry stakeholders interacted with government more often, more broadly and with higher ranking offices than nonindustry stakeholders on subjects related to children’s marketing and Bill S-228. Although further research is needed to analyze the nature of the discourse around children’s marketing, it is apparent that industry viewpoints were more prominent than those of nonindustry stakeholders.","container-title":"Canadian Medical Association Open Access Journal","DOI":"10.9778/cmajo.20200086","ISSN":"2291-0026","issue":"1","language":"en","license":"© 2021 Joule Inc. or its licensors. This is an Open Access article distributed in accordance with the terms of the Creative Commons Attribution (CC BY-NC-ND 4.0) licence, which permits use, distribution and reproduction in any medium, provided that the original publication is properly cited, the use is noncommercial (i.e., research or educational use), and no modifications or adaptations are made. See: https://creativecommons.org/licenses/by-nc-nd/4.0/","page":"E280-E287","PMID":"33757965","publisher":"Canadian Medical Association Open Access Journal","section":"Research","source":"www.cmajopen.ca","title":"Stakeholder interactions with the federal government related to Bill S-228 and marketing to kids in Canada: A quantitative descriptive study","title-short":"Stakeholder interactions with the federal government related to Bill S-228 and marketing to kids in Canada","volume":"9","author":[{"family":"Mulligan","given":"Christine"},{"family":"Jawad","given":"Aalaa"},{"family":"Potvin Kent","given":"Monique"},{"family":"Vanderlee","given":"Lana"},{"family":"L’Abbé","given":"Mary R."}],"issued":{"date-parts":[["2021",1,1]]}}}],"schema":"https://github.com/citation-style-language/schema/raw/master/csl-citation.json"} </w:instrText>
      </w:r>
      <w:r>
        <w:rPr>
          <w:rFonts w:ascii="Times New Roman" w:hAnsi="Times New Roman" w:cs="Times New Roman"/>
          <w:sz w:val="22"/>
          <w:szCs w:val="22"/>
        </w:rPr>
        <w:fldChar w:fldCharType="separate"/>
      </w:r>
      <w:r w:rsidRPr="008635BE">
        <w:rPr>
          <w:rFonts w:ascii="Times New Roman" w:hAnsi="Times New Roman" w:cs="Times New Roman"/>
          <w:sz w:val="22"/>
        </w:rPr>
        <w:t>[32]</w:t>
      </w:r>
      <w:r>
        <w:rPr>
          <w:rFonts w:ascii="Times New Roman" w:hAnsi="Times New Roman" w:cs="Times New Roman"/>
          <w:sz w:val="22"/>
          <w:szCs w:val="22"/>
        </w:rPr>
        <w:fldChar w:fldCharType="end"/>
      </w:r>
      <w:r w:rsidRPr="00BE5D45">
        <w:rPr>
          <w:rFonts w:ascii="Times New Roman" w:hAnsi="Times New Roman" w:cs="Times New Roman"/>
          <w:sz w:val="22"/>
          <w:szCs w:val="22"/>
        </w:rPr>
        <w:t>, whereas data for 2019–2025 were collected and analyzed in the current study.</w:t>
      </w:r>
    </w:p>
    <w:p w14:paraId="5EDE1069" w14:textId="77777777" w:rsidR="00E023F9" w:rsidRDefault="00E023F9"/>
    <w:p w14:paraId="0943047F" w14:textId="77777777" w:rsidR="00276658" w:rsidRDefault="00276658"/>
    <w:p w14:paraId="6686B123" w14:textId="77777777" w:rsidR="00276658" w:rsidRDefault="00276658"/>
    <w:p w14:paraId="2E648866" w14:textId="77777777" w:rsidR="00276658" w:rsidRPr="00BE5D45" w:rsidRDefault="00276658" w:rsidP="00276658">
      <w:pPr>
        <w:rPr>
          <w:rFonts w:ascii="Times New Roman" w:hAnsi="Times New Roman" w:cs="Times New Roman"/>
          <w:sz w:val="22"/>
          <w:szCs w:val="22"/>
          <w:vertAlign w:val="superscript"/>
        </w:rPr>
      </w:pPr>
      <w:r w:rsidRPr="00BE5D45">
        <w:rPr>
          <w:rFonts w:ascii="Times New Roman" w:hAnsi="Times New Roman" w:cs="Times New Roman"/>
          <w:b/>
          <w:bCs/>
          <w:sz w:val="22"/>
          <w:szCs w:val="22"/>
        </w:rPr>
        <w:t>Table 4.</w:t>
      </w:r>
      <w:r w:rsidRPr="00BE5D45">
        <w:rPr>
          <w:rFonts w:ascii="Times New Roman" w:hAnsi="Times New Roman" w:cs="Times New Roman"/>
          <w:sz w:val="22"/>
          <w:szCs w:val="22"/>
        </w:rPr>
        <w:t xml:space="preserve"> Lobbying </w:t>
      </w:r>
      <w:r>
        <w:rPr>
          <w:rFonts w:ascii="Times New Roman" w:hAnsi="Times New Roman" w:cs="Times New Roman"/>
          <w:sz w:val="22"/>
          <w:szCs w:val="22"/>
        </w:rPr>
        <w:t>activity from</w:t>
      </w:r>
      <w:r w:rsidRPr="00BE5D45">
        <w:rPr>
          <w:rFonts w:ascii="Times New Roman" w:hAnsi="Times New Roman" w:cs="Times New Roman"/>
          <w:sz w:val="22"/>
          <w:szCs w:val="22"/>
        </w:rPr>
        <w:t xml:space="preserve"> </w:t>
      </w:r>
      <w:r>
        <w:rPr>
          <w:rFonts w:ascii="Times New Roman" w:hAnsi="Times New Roman" w:cs="Times New Roman"/>
          <w:sz w:val="22"/>
          <w:szCs w:val="22"/>
        </w:rPr>
        <w:t xml:space="preserve">the </w:t>
      </w:r>
      <w:r w:rsidRPr="00BE5D45">
        <w:rPr>
          <w:rFonts w:ascii="Times New Roman" w:hAnsi="Times New Roman" w:cs="Times New Roman"/>
          <w:sz w:val="22"/>
          <w:szCs w:val="22"/>
        </w:rPr>
        <w:t>Registry of Lobbyists, summarized by stakeholder type and study period.</w:t>
      </w:r>
      <w:r w:rsidRPr="00BE5D45">
        <w:rPr>
          <w:rFonts w:ascii="Times New Roman" w:hAnsi="Times New Roman" w:cs="Times New Roman"/>
          <w:sz w:val="22"/>
          <w:szCs w:val="22"/>
          <w:vertAlign w:val="superscript"/>
        </w:rPr>
        <w: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05"/>
        <w:gridCol w:w="904"/>
        <w:gridCol w:w="915"/>
        <w:gridCol w:w="915"/>
        <w:gridCol w:w="986"/>
        <w:gridCol w:w="964"/>
        <w:gridCol w:w="1048"/>
        <w:gridCol w:w="971"/>
      </w:tblGrid>
      <w:tr w:rsidR="00276658" w:rsidRPr="00BE5D45" w14:paraId="643816F8" w14:textId="77777777" w:rsidTr="0094247D">
        <w:tc>
          <w:tcPr>
            <w:tcW w:w="0" w:type="auto"/>
            <w:vMerge w:val="restart"/>
            <w:tcBorders>
              <w:top w:val="single" w:sz="4" w:space="0" w:color="auto"/>
            </w:tcBorders>
            <w:vAlign w:val="center"/>
          </w:tcPr>
          <w:p w14:paraId="61D1881F" w14:textId="77777777" w:rsidR="00276658" w:rsidRPr="00BE5D45" w:rsidRDefault="00276658" w:rsidP="0094247D">
            <w:pPr>
              <w:rPr>
                <w:rFonts w:ascii="Times New Roman" w:hAnsi="Times New Roman" w:cs="Times New Roman"/>
                <w:b/>
                <w:bCs/>
                <w:sz w:val="22"/>
                <w:szCs w:val="22"/>
              </w:rPr>
            </w:pPr>
            <w:r w:rsidRPr="00BE5D45">
              <w:rPr>
                <w:rFonts w:ascii="Times New Roman" w:hAnsi="Times New Roman" w:cs="Times New Roman"/>
                <w:b/>
                <w:bCs/>
                <w:sz w:val="22"/>
                <w:szCs w:val="22"/>
              </w:rPr>
              <w:t>Stakeholder type</w:t>
            </w:r>
          </w:p>
        </w:tc>
        <w:tc>
          <w:tcPr>
            <w:tcW w:w="0" w:type="auto"/>
            <w:gridSpan w:val="2"/>
            <w:tcBorders>
              <w:top w:val="single" w:sz="4" w:space="0" w:color="auto"/>
              <w:bottom w:val="single" w:sz="4" w:space="0" w:color="auto"/>
              <w:right w:val="single" w:sz="4" w:space="0" w:color="auto"/>
            </w:tcBorders>
          </w:tcPr>
          <w:p w14:paraId="3E5FE9A6" w14:textId="77777777" w:rsidR="00276658" w:rsidRPr="00BE5D45" w:rsidRDefault="00276658" w:rsidP="0094247D">
            <w:pPr>
              <w:rPr>
                <w:rFonts w:ascii="Times New Roman" w:hAnsi="Times New Roman" w:cs="Times New Roman"/>
                <w:b/>
                <w:bCs/>
                <w:sz w:val="22"/>
                <w:szCs w:val="22"/>
              </w:rPr>
            </w:pPr>
            <w:r w:rsidRPr="00BE5D45">
              <w:rPr>
                <w:rFonts w:ascii="Times New Roman" w:hAnsi="Times New Roman" w:cs="Times New Roman"/>
                <w:b/>
                <w:bCs/>
                <w:sz w:val="22"/>
                <w:szCs w:val="22"/>
              </w:rPr>
              <w:t xml:space="preserve">Lobbying registrants </w:t>
            </w:r>
          </w:p>
        </w:tc>
        <w:tc>
          <w:tcPr>
            <w:tcW w:w="0" w:type="auto"/>
            <w:gridSpan w:val="2"/>
            <w:tcBorders>
              <w:top w:val="single" w:sz="4" w:space="0" w:color="auto"/>
              <w:left w:val="single" w:sz="4" w:space="0" w:color="auto"/>
              <w:bottom w:val="single" w:sz="4" w:space="0" w:color="auto"/>
              <w:right w:val="single" w:sz="4" w:space="0" w:color="auto"/>
            </w:tcBorders>
          </w:tcPr>
          <w:p w14:paraId="00935DB9" w14:textId="77777777" w:rsidR="00276658" w:rsidRPr="00BE5D45" w:rsidRDefault="00276658" w:rsidP="0094247D">
            <w:pPr>
              <w:rPr>
                <w:rFonts w:ascii="Times New Roman" w:hAnsi="Times New Roman" w:cs="Times New Roman"/>
                <w:b/>
                <w:bCs/>
                <w:sz w:val="22"/>
                <w:szCs w:val="22"/>
              </w:rPr>
            </w:pPr>
            <w:r w:rsidRPr="00BE5D45">
              <w:rPr>
                <w:rFonts w:ascii="Times New Roman" w:hAnsi="Times New Roman" w:cs="Times New Roman"/>
                <w:b/>
                <w:bCs/>
                <w:sz w:val="22"/>
                <w:szCs w:val="22"/>
              </w:rPr>
              <w:t>Lobbying registrations</w:t>
            </w:r>
          </w:p>
        </w:tc>
        <w:tc>
          <w:tcPr>
            <w:tcW w:w="0" w:type="auto"/>
            <w:gridSpan w:val="2"/>
            <w:tcBorders>
              <w:top w:val="single" w:sz="4" w:space="0" w:color="auto"/>
              <w:left w:val="single" w:sz="4" w:space="0" w:color="auto"/>
              <w:bottom w:val="single" w:sz="4" w:space="0" w:color="auto"/>
              <w:right w:val="single" w:sz="4" w:space="0" w:color="auto"/>
            </w:tcBorders>
          </w:tcPr>
          <w:p w14:paraId="307F4292" w14:textId="77777777" w:rsidR="00276658" w:rsidRPr="00BE5D45" w:rsidRDefault="00276658" w:rsidP="0094247D">
            <w:pPr>
              <w:rPr>
                <w:rFonts w:ascii="Times New Roman" w:hAnsi="Times New Roman" w:cs="Times New Roman"/>
                <w:b/>
                <w:bCs/>
                <w:sz w:val="22"/>
                <w:szCs w:val="22"/>
              </w:rPr>
            </w:pPr>
            <w:r w:rsidRPr="00BE5D45">
              <w:rPr>
                <w:rFonts w:ascii="Times New Roman" w:hAnsi="Times New Roman" w:cs="Times New Roman"/>
                <w:b/>
                <w:bCs/>
                <w:sz w:val="22"/>
                <w:szCs w:val="22"/>
              </w:rPr>
              <w:t>Communications</w:t>
            </w:r>
          </w:p>
        </w:tc>
        <w:tc>
          <w:tcPr>
            <w:tcW w:w="0" w:type="auto"/>
            <w:gridSpan w:val="2"/>
            <w:tcBorders>
              <w:top w:val="single" w:sz="4" w:space="0" w:color="auto"/>
              <w:left w:val="single" w:sz="4" w:space="0" w:color="auto"/>
              <w:bottom w:val="single" w:sz="4" w:space="0" w:color="auto"/>
            </w:tcBorders>
          </w:tcPr>
          <w:p w14:paraId="1D29B601" w14:textId="77777777" w:rsidR="00276658" w:rsidRPr="00BE5D45" w:rsidRDefault="00276658" w:rsidP="0094247D">
            <w:pPr>
              <w:rPr>
                <w:rFonts w:ascii="Times New Roman" w:hAnsi="Times New Roman" w:cs="Times New Roman"/>
                <w:b/>
                <w:bCs/>
                <w:sz w:val="22"/>
                <w:szCs w:val="22"/>
              </w:rPr>
            </w:pPr>
            <w:r w:rsidRPr="00BE5D45">
              <w:rPr>
                <w:rFonts w:ascii="Times New Roman" w:hAnsi="Times New Roman" w:cs="Times New Roman"/>
                <w:b/>
                <w:bCs/>
                <w:sz w:val="22"/>
                <w:szCs w:val="22"/>
              </w:rPr>
              <w:t>Communications per registrant</w:t>
            </w:r>
          </w:p>
        </w:tc>
      </w:tr>
      <w:tr w:rsidR="00276658" w:rsidRPr="00BE5D45" w14:paraId="47A48D3C" w14:textId="77777777" w:rsidTr="0094247D">
        <w:tc>
          <w:tcPr>
            <w:tcW w:w="0" w:type="auto"/>
            <w:vMerge/>
          </w:tcPr>
          <w:p w14:paraId="56D61F0B" w14:textId="77777777" w:rsidR="00276658" w:rsidRPr="00BE5D45" w:rsidRDefault="00276658" w:rsidP="0094247D">
            <w:pPr>
              <w:rPr>
                <w:rFonts w:ascii="Times New Roman" w:hAnsi="Times New Roman" w:cs="Times New Roman"/>
                <w:b/>
                <w:bCs/>
                <w:sz w:val="22"/>
                <w:szCs w:val="22"/>
              </w:rPr>
            </w:pPr>
          </w:p>
        </w:tc>
        <w:tc>
          <w:tcPr>
            <w:tcW w:w="0" w:type="auto"/>
            <w:tcBorders>
              <w:top w:val="single" w:sz="4" w:space="0" w:color="auto"/>
              <w:bottom w:val="single" w:sz="4" w:space="0" w:color="auto"/>
            </w:tcBorders>
          </w:tcPr>
          <w:p w14:paraId="6F71BD37" w14:textId="77777777" w:rsidR="00276658" w:rsidRPr="00BE5D45" w:rsidRDefault="00276658" w:rsidP="0094247D">
            <w:pPr>
              <w:rPr>
                <w:rFonts w:ascii="Times New Roman" w:hAnsi="Times New Roman" w:cs="Times New Roman"/>
                <w:b/>
                <w:bCs/>
                <w:sz w:val="22"/>
                <w:szCs w:val="22"/>
              </w:rPr>
            </w:pPr>
            <w:r w:rsidRPr="00BE5D45">
              <w:rPr>
                <w:rFonts w:ascii="Times New Roman" w:hAnsi="Times New Roman" w:cs="Times New Roman"/>
                <w:b/>
                <w:bCs/>
                <w:sz w:val="22"/>
                <w:szCs w:val="22"/>
              </w:rPr>
              <w:t>2016-2019</w:t>
            </w:r>
          </w:p>
        </w:tc>
        <w:tc>
          <w:tcPr>
            <w:tcW w:w="0" w:type="auto"/>
            <w:tcBorders>
              <w:top w:val="single" w:sz="4" w:space="0" w:color="auto"/>
              <w:bottom w:val="single" w:sz="4" w:space="0" w:color="auto"/>
              <w:right w:val="single" w:sz="4" w:space="0" w:color="auto"/>
            </w:tcBorders>
          </w:tcPr>
          <w:p w14:paraId="7974C71C" w14:textId="77777777" w:rsidR="00276658" w:rsidRPr="00BE5D45" w:rsidRDefault="00276658" w:rsidP="0094247D">
            <w:pPr>
              <w:rPr>
                <w:rFonts w:ascii="Times New Roman" w:hAnsi="Times New Roman" w:cs="Times New Roman"/>
                <w:b/>
                <w:bCs/>
                <w:sz w:val="22"/>
                <w:szCs w:val="22"/>
              </w:rPr>
            </w:pPr>
            <w:r w:rsidRPr="00BE5D45">
              <w:rPr>
                <w:rFonts w:ascii="Times New Roman" w:hAnsi="Times New Roman" w:cs="Times New Roman"/>
                <w:b/>
                <w:bCs/>
                <w:sz w:val="22"/>
                <w:szCs w:val="22"/>
              </w:rPr>
              <w:t>2019-2025</w:t>
            </w:r>
          </w:p>
        </w:tc>
        <w:tc>
          <w:tcPr>
            <w:tcW w:w="0" w:type="auto"/>
            <w:tcBorders>
              <w:top w:val="single" w:sz="4" w:space="0" w:color="auto"/>
              <w:left w:val="single" w:sz="4" w:space="0" w:color="auto"/>
              <w:bottom w:val="single" w:sz="4" w:space="0" w:color="auto"/>
            </w:tcBorders>
          </w:tcPr>
          <w:p w14:paraId="10077F2D" w14:textId="77777777" w:rsidR="00276658" w:rsidRPr="00BE5D45" w:rsidRDefault="00276658" w:rsidP="0094247D">
            <w:pPr>
              <w:rPr>
                <w:rFonts w:ascii="Times New Roman" w:hAnsi="Times New Roman" w:cs="Times New Roman"/>
                <w:b/>
                <w:bCs/>
                <w:sz w:val="22"/>
                <w:szCs w:val="22"/>
              </w:rPr>
            </w:pPr>
            <w:r w:rsidRPr="00BE5D45">
              <w:rPr>
                <w:rFonts w:ascii="Times New Roman" w:hAnsi="Times New Roman" w:cs="Times New Roman"/>
                <w:b/>
                <w:bCs/>
                <w:sz w:val="22"/>
                <w:szCs w:val="22"/>
              </w:rPr>
              <w:t>2016-2019</w:t>
            </w:r>
          </w:p>
        </w:tc>
        <w:tc>
          <w:tcPr>
            <w:tcW w:w="0" w:type="auto"/>
            <w:tcBorders>
              <w:top w:val="single" w:sz="4" w:space="0" w:color="auto"/>
              <w:bottom w:val="single" w:sz="4" w:space="0" w:color="auto"/>
              <w:right w:val="single" w:sz="4" w:space="0" w:color="auto"/>
            </w:tcBorders>
          </w:tcPr>
          <w:p w14:paraId="0AA69A86" w14:textId="77777777" w:rsidR="00276658" w:rsidRPr="00BE5D45" w:rsidRDefault="00276658" w:rsidP="0094247D">
            <w:pPr>
              <w:rPr>
                <w:rFonts w:ascii="Times New Roman" w:hAnsi="Times New Roman" w:cs="Times New Roman"/>
                <w:b/>
                <w:bCs/>
                <w:sz w:val="22"/>
                <w:szCs w:val="22"/>
              </w:rPr>
            </w:pPr>
            <w:r w:rsidRPr="00BE5D45">
              <w:rPr>
                <w:rFonts w:ascii="Times New Roman" w:hAnsi="Times New Roman" w:cs="Times New Roman"/>
                <w:b/>
                <w:bCs/>
                <w:sz w:val="22"/>
                <w:szCs w:val="22"/>
              </w:rPr>
              <w:t>2019-2025</w:t>
            </w:r>
          </w:p>
        </w:tc>
        <w:tc>
          <w:tcPr>
            <w:tcW w:w="0" w:type="auto"/>
            <w:tcBorders>
              <w:top w:val="single" w:sz="4" w:space="0" w:color="auto"/>
              <w:left w:val="single" w:sz="4" w:space="0" w:color="auto"/>
              <w:bottom w:val="single" w:sz="4" w:space="0" w:color="auto"/>
            </w:tcBorders>
          </w:tcPr>
          <w:p w14:paraId="3482AA7F" w14:textId="77777777" w:rsidR="00276658" w:rsidRPr="00BE5D45" w:rsidRDefault="00276658" w:rsidP="0094247D">
            <w:pPr>
              <w:rPr>
                <w:rFonts w:ascii="Times New Roman" w:hAnsi="Times New Roman" w:cs="Times New Roman"/>
                <w:b/>
                <w:bCs/>
                <w:sz w:val="22"/>
                <w:szCs w:val="22"/>
              </w:rPr>
            </w:pPr>
            <w:r w:rsidRPr="00BE5D45">
              <w:rPr>
                <w:rFonts w:ascii="Times New Roman" w:hAnsi="Times New Roman" w:cs="Times New Roman"/>
                <w:b/>
                <w:bCs/>
                <w:sz w:val="22"/>
                <w:szCs w:val="22"/>
              </w:rPr>
              <w:t>2016-2019</w:t>
            </w:r>
          </w:p>
        </w:tc>
        <w:tc>
          <w:tcPr>
            <w:tcW w:w="0" w:type="auto"/>
            <w:tcBorders>
              <w:top w:val="single" w:sz="4" w:space="0" w:color="auto"/>
              <w:bottom w:val="single" w:sz="4" w:space="0" w:color="auto"/>
              <w:right w:val="single" w:sz="4" w:space="0" w:color="auto"/>
            </w:tcBorders>
          </w:tcPr>
          <w:p w14:paraId="13D39D3C" w14:textId="77777777" w:rsidR="00276658" w:rsidRPr="00BE5D45" w:rsidRDefault="00276658" w:rsidP="0094247D">
            <w:pPr>
              <w:rPr>
                <w:rFonts w:ascii="Times New Roman" w:hAnsi="Times New Roman" w:cs="Times New Roman"/>
                <w:b/>
                <w:bCs/>
                <w:sz w:val="22"/>
                <w:szCs w:val="22"/>
              </w:rPr>
            </w:pPr>
            <w:r w:rsidRPr="00BE5D45">
              <w:rPr>
                <w:rFonts w:ascii="Times New Roman" w:hAnsi="Times New Roman" w:cs="Times New Roman"/>
                <w:b/>
                <w:bCs/>
                <w:sz w:val="22"/>
                <w:szCs w:val="22"/>
              </w:rPr>
              <w:t>2019-2025</w:t>
            </w:r>
          </w:p>
        </w:tc>
        <w:tc>
          <w:tcPr>
            <w:tcW w:w="0" w:type="auto"/>
            <w:tcBorders>
              <w:top w:val="single" w:sz="4" w:space="0" w:color="auto"/>
              <w:left w:val="single" w:sz="4" w:space="0" w:color="auto"/>
              <w:bottom w:val="single" w:sz="4" w:space="0" w:color="auto"/>
            </w:tcBorders>
          </w:tcPr>
          <w:p w14:paraId="3843CB22" w14:textId="77777777" w:rsidR="00276658" w:rsidRPr="00BE5D45" w:rsidRDefault="00276658" w:rsidP="0094247D">
            <w:pPr>
              <w:rPr>
                <w:rFonts w:ascii="Times New Roman" w:hAnsi="Times New Roman" w:cs="Times New Roman"/>
                <w:b/>
                <w:bCs/>
                <w:sz w:val="22"/>
                <w:szCs w:val="22"/>
              </w:rPr>
            </w:pPr>
            <w:r w:rsidRPr="00BE5D45">
              <w:rPr>
                <w:rFonts w:ascii="Times New Roman" w:hAnsi="Times New Roman" w:cs="Times New Roman"/>
                <w:b/>
                <w:bCs/>
                <w:sz w:val="22"/>
                <w:szCs w:val="22"/>
              </w:rPr>
              <w:t>2016-2019</w:t>
            </w:r>
          </w:p>
        </w:tc>
        <w:tc>
          <w:tcPr>
            <w:tcW w:w="0" w:type="auto"/>
            <w:tcBorders>
              <w:top w:val="single" w:sz="4" w:space="0" w:color="auto"/>
              <w:bottom w:val="single" w:sz="4" w:space="0" w:color="auto"/>
            </w:tcBorders>
          </w:tcPr>
          <w:p w14:paraId="1BD4A401" w14:textId="77777777" w:rsidR="00276658" w:rsidRPr="00BE5D45" w:rsidRDefault="00276658" w:rsidP="0094247D">
            <w:pPr>
              <w:rPr>
                <w:rFonts w:ascii="Times New Roman" w:hAnsi="Times New Roman" w:cs="Times New Roman"/>
                <w:b/>
                <w:bCs/>
                <w:sz w:val="22"/>
                <w:szCs w:val="22"/>
              </w:rPr>
            </w:pPr>
            <w:r w:rsidRPr="00BE5D45">
              <w:rPr>
                <w:rFonts w:ascii="Times New Roman" w:hAnsi="Times New Roman" w:cs="Times New Roman"/>
                <w:b/>
                <w:bCs/>
                <w:sz w:val="22"/>
                <w:szCs w:val="22"/>
              </w:rPr>
              <w:t>2019-2025</w:t>
            </w:r>
          </w:p>
        </w:tc>
      </w:tr>
      <w:tr w:rsidR="00276658" w:rsidRPr="00BE5D45" w14:paraId="6BAAF1F6" w14:textId="77777777" w:rsidTr="0094247D">
        <w:tc>
          <w:tcPr>
            <w:tcW w:w="0" w:type="auto"/>
            <w:vMerge/>
            <w:tcBorders>
              <w:bottom w:val="single" w:sz="4" w:space="0" w:color="auto"/>
            </w:tcBorders>
          </w:tcPr>
          <w:p w14:paraId="0ECB0C98" w14:textId="77777777" w:rsidR="00276658" w:rsidRPr="00BE5D45" w:rsidRDefault="00276658" w:rsidP="0094247D">
            <w:pPr>
              <w:rPr>
                <w:rFonts w:ascii="Times New Roman" w:hAnsi="Times New Roman" w:cs="Times New Roman"/>
                <w:sz w:val="22"/>
                <w:szCs w:val="22"/>
              </w:rPr>
            </w:pPr>
          </w:p>
        </w:tc>
        <w:tc>
          <w:tcPr>
            <w:tcW w:w="0" w:type="auto"/>
            <w:tcBorders>
              <w:top w:val="single" w:sz="4" w:space="0" w:color="auto"/>
              <w:bottom w:val="single" w:sz="4" w:space="0" w:color="auto"/>
            </w:tcBorders>
          </w:tcPr>
          <w:p w14:paraId="1EAED5DF"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n (%)</w:t>
            </w:r>
          </w:p>
        </w:tc>
        <w:tc>
          <w:tcPr>
            <w:tcW w:w="0" w:type="auto"/>
            <w:tcBorders>
              <w:top w:val="single" w:sz="4" w:space="0" w:color="auto"/>
              <w:bottom w:val="single" w:sz="4" w:space="0" w:color="auto"/>
              <w:right w:val="single" w:sz="4" w:space="0" w:color="auto"/>
            </w:tcBorders>
          </w:tcPr>
          <w:p w14:paraId="344F9DC2"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n (%)</w:t>
            </w:r>
          </w:p>
        </w:tc>
        <w:tc>
          <w:tcPr>
            <w:tcW w:w="0" w:type="auto"/>
            <w:tcBorders>
              <w:top w:val="single" w:sz="4" w:space="0" w:color="auto"/>
              <w:left w:val="single" w:sz="4" w:space="0" w:color="auto"/>
              <w:bottom w:val="single" w:sz="4" w:space="0" w:color="auto"/>
            </w:tcBorders>
          </w:tcPr>
          <w:p w14:paraId="6D63FBD5"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n (%)</w:t>
            </w:r>
          </w:p>
        </w:tc>
        <w:tc>
          <w:tcPr>
            <w:tcW w:w="0" w:type="auto"/>
            <w:tcBorders>
              <w:top w:val="single" w:sz="4" w:space="0" w:color="auto"/>
              <w:bottom w:val="single" w:sz="4" w:space="0" w:color="auto"/>
              <w:right w:val="single" w:sz="4" w:space="0" w:color="auto"/>
            </w:tcBorders>
          </w:tcPr>
          <w:p w14:paraId="2FC10AD9"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n (%)</w:t>
            </w:r>
          </w:p>
        </w:tc>
        <w:tc>
          <w:tcPr>
            <w:tcW w:w="0" w:type="auto"/>
            <w:tcBorders>
              <w:top w:val="single" w:sz="4" w:space="0" w:color="auto"/>
              <w:left w:val="single" w:sz="4" w:space="0" w:color="auto"/>
              <w:bottom w:val="single" w:sz="4" w:space="0" w:color="auto"/>
            </w:tcBorders>
          </w:tcPr>
          <w:p w14:paraId="1BC9F309"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n (%)</w:t>
            </w:r>
          </w:p>
        </w:tc>
        <w:tc>
          <w:tcPr>
            <w:tcW w:w="0" w:type="auto"/>
            <w:tcBorders>
              <w:top w:val="single" w:sz="4" w:space="0" w:color="auto"/>
              <w:bottom w:val="single" w:sz="4" w:space="0" w:color="auto"/>
              <w:right w:val="single" w:sz="4" w:space="0" w:color="auto"/>
            </w:tcBorders>
          </w:tcPr>
          <w:p w14:paraId="2D7D6FB2"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n (%)</w:t>
            </w:r>
          </w:p>
        </w:tc>
        <w:tc>
          <w:tcPr>
            <w:tcW w:w="0" w:type="auto"/>
            <w:tcBorders>
              <w:top w:val="single" w:sz="4" w:space="0" w:color="auto"/>
              <w:left w:val="single" w:sz="4" w:space="0" w:color="auto"/>
              <w:bottom w:val="single" w:sz="4" w:space="0" w:color="auto"/>
            </w:tcBorders>
          </w:tcPr>
          <w:p w14:paraId="4032C7D2"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 xml:space="preserve">Mean </w:t>
            </w:r>
          </w:p>
        </w:tc>
        <w:tc>
          <w:tcPr>
            <w:tcW w:w="0" w:type="auto"/>
            <w:tcBorders>
              <w:top w:val="single" w:sz="4" w:space="0" w:color="auto"/>
              <w:bottom w:val="single" w:sz="4" w:space="0" w:color="auto"/>
            </w:tcBorders>
          </w:tcPr>
          <w:p w14:paraId="77289A0E"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 xml:space="preserve">Mean </w:t>
            </w:r>
          </w:p>
        </w:tc>
      </w:tr>
      <w:tr w:rsidR="00276658" w:rsidRPr="00BE5D45" w14:paraId="3E459B5E" w14:textId="77777777" w:rsidTr="0094247D">
        <w:tc>
          <w:tcPr>
            <w:tcW w:w="0" w:type="auto"/>
            <w:tcBorders>
              <w:top w:val="single" w:sz="4" w:space="0" w:color="auto"/>
            </w:tcBorders>
          </w:tcPr>
          <w:p w14:paraId="18115358"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Industry</w:t>
            </w:r>
          </w:p>
        </w:tc>
        <w:tc>
          <w:tcPr>
            <w:tcW w:w="0" w:type="auto"/>
            <w:tcBorders>
              <w:top w:val="single" w:sz="4" w:space="0" w:color="auto"/>
            </w:tcBorders>
          </w:tcPr>
          <w:p w14:paraId="6BB71CE0"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53 (81.5)</w:t>
            </w:r>
          </w:p>
        </w:tc>
        <w:tc>
          <w:tcPr>
            <w:tcW w:w="0" w:type="auto"/>
            <w:tcBorders>
              <w:top w:val="single" w:sz="4" w:space="0" w:color="auto"/>
              <w:right w:val="single" w:sz="4" w:space="0" w:color="auto"/>
            </w:tcBorders>
          </w:tcPr>
          <w:p w14:paraId="6ADBA945"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62 (68.9)</w:t>
            </w:r>
          </w:p>
        </w:tc>
        <w:tc>
          <w:tcPr>
            <w:tcW w:w="0" w:type="auto"/>
            <w:tcBorders>
              <w:top w:val="single" w:sz="4" w:space="0" w:color="auto"/>
              <w:left w:val="single" w:sz="4" w:space="0" w:color="auto"/>
            </w:tcBorders>
          </w:tcPr>
          <w:p w14:paraId="07F9AB7D"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179 (83.3)</w:t>
            </w:r>
          </w:p>
        </w:tc>
        <w:tc>
          <w:tcPr>
            <w:tcW w:w="0" w:type="auto"/>
            <w:tcBorders>
              <w:top w:val="single" w:sz="4" w:space="0" w:color="auto"/>
              <w:right w:val="single" w:sz="4" w:space="0" w:color="auto"/>
            </w:tcBorders>
          </w:tcPr>
          <w:p w14:paraId="103491C9"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295 (72.7)</w:t>
            </w:r>
          </w:p>
        </w:tc>
        <w:tc>
          <w:tcPr>
            <w:tcW w:w="0" w:type="auto"/>
            <w:tcBorders>
              <w:top w:val="single" w:sz="4" w:space="0" w:color="auto"/>
              <w:left w:val="single" w:sz="4" w:space="0" w:color="auto"/>
            </w:tcBorders>
          </w:tcPr>
          <w:p w14:paraId="4BC98869"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2866 (83.9)</w:t>
            </w:r>
          </w:p>
        </w:tc>
        <w:tc>
          <w:tcPr>
            <w:tcW w:w="0" w:type="auto"/>
            <w:tcBorders>
              <w:top w:val="single" w:sz="4" w:space="0" w:color="auto"/>
              <w:right w:val="single" w:sz="4" w:space="0" w:color="auto"/>
            </w:tcBorders>
          </w:tcPr>
          <w:p w14:paraId="0D830D6C"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2229 (74.0)</w:t>
            </w:r>
          </w:p>
        </w:tc>
        <w:tc>
          <w:tcPr>
            <w:tcW w:w="0" w:type="auto"/>
            <w:tcBorders>
              <w:top w:val="single" w:sz="4" w:space="0" w:color="auto"/>
              <w:left w:val="single" w:sz="4" w:space="0" w:color="auto"/>
            </w:tcBorders>
          </w:tcPr>
          <w:p w14:paraId="77A6A393"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 xml:space="preserve">54.1 </w:t>
            </w:r>
          </w:p>
        </w:tc>
        <w:tc>
          <w:tcPr>
            <w:tcW w:w="0" w:type="auto"/>
            <w:tcBorders>
              <w:top w:val="single" w:sz="4" w:space="0" w:color="auto"/>
            </w:tcBorders>
          </w:tcPr>
          <w:p w14:paraId="4EDE3936"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36.0</w:t>
            </w:r>
          </w:p>
        </w:tc>
      </w:tr>
      <w:tr w:rsidR="00276658" w:rsidRPr="00BE5D45" w14:paraId="52FE2AEA" w14:textId="77777777" w:rsidTr="0094247D">
        <w:tc>
          <w:tcPr>
            <w:tcW w:w="0" w:type="auto"/>
          </w:tcPr>
          <w:p w14:paraId="0F663B52"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 xml:space="preserve">Non-industry </w:t>
            </w:r>
          </w:p>
        </w:tc>
        <w:tc>
          <w:tcPr>
            <w:tcW w:w="0" w:type="auto"/>
          </w:tcPr>
          <w:p w14:paraId="5FFE67EB"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12 (18.5)</w:t>
            </w:r>
          </w:p>
        </w:tc>
        <w:tc>
          <w:tcPr>
            <w:tcW w:w="0" w:type="auto"/>
            <w:tcBorders>
              <w:right w:val="single" w:sz="4" w:space="0" w:color="auto"/>
            </w:tcBorders>
          </w:tcPr>
          <w:p w14:paraId="3DE585E0"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28 (31.1)</w:t>
            </w:r>
          </w:p>
        </w:tc>
        <w:tc>
          <w:tcPr>
            <w:tcW w:w="0" w:type="auto"/>
            <w:tcBorders>
              <w:left w:val="single" w:sz="4" w:space="0" w:color="auto"/>
            </w:tcBorders>
          </w:tcPr>
          <w:p w14:paraId="294DC49C"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36 (16.7)</w:t>
            </w:r>
          </w:p>
        </w:tc>
        <w:tc>
          <w:tcPr>
            <w:tcW w:w="0" w:type="auto"/>
            <w:tcBorders>
              <w:right w:val="single" w:sz="4" w:space="0" w:color="auto"/>
            </w:tcBorders>
          </w:tcPr>
          <w:p w14:paraId="277C4D2B"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111 (27.3)</w:t>
            </w:r>
          </w:p>
        </w:tc>
        <w:tc>
          <w:tcPr>
            <w:tcW w:w="0" w:type="auto"/>
            <w:tcBorders>
              <w:left w:val="single" w:sz="4" w:space="0" w:color="auto"/>
            </w:tcBorders>
          </w:tcPr>
          <w:p w14:paraId="66A942CF"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552 (16.1)</w:t>
            </w:r>
          </w:p>
        </w:tc>
        <w:tc>
          <w:tcPr>
            <w:tcW w:w="0" w:type="auto"/>
            <w:tcBorders>
              <w:right w:val="single" w:sz="4" w:space="0" w:color="auto"/>
            </w:tcBorders>
          </w:tcPr>
          <w:p w14:paraId="0674F763"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784 (26.0)</w:t>
            </w:r>
          </w:p>
        </w:tc>
        <w:tc>
          <w:tcPr>
            <w:tcW w:w="0" w:type="auto"/>
            <w:tcBorders>
              <w:left w:val="single" w:sz="4" w:space="0" w:color="auto"/>
            </w:tcBorders>
          </w:tcPr>
          <w:p w14:paraId="504351ED"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46.0</w:t>
            </w:r>
          </w:p>
        </w:tc>
        <w:tc>
          <w:tcPr>
            <w:tcW w:w="0" w:type="auto"/>
          </w:tcPr>
          <w:p w14:paraId="41AADD72"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28.0</w:t>
            </w:r>
          </w:p>
        </w:tc>
      </w:tr>
      <w:tr w:rsidR="00276658" w:rsidRPr="00BE5D45" w14:paraId="1D479A12" w14:textId="77777777" w:rsidTr="0094247D">
        <w:tc>
          <w:tcPr>
            <w:tcW w:w="0" w:type="auto"/>
            <w:tcBorders>
              <w:bottom w:val="single" w:sz="4" w:space="0" w:color="auto"/>
            </w:tcBorders>
          </w:tcPr>
          <w:p w14:paraId="7BC13E4D"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All stakeholders</w:t>
            </w:r>
          </w:p>
        </w:tc>
        <w:tc>
          <w:tcPr>
            <w:tcW w:w="0" w:type="auto"/>
            <w:tcBorders>
              <w:bottom w:val="single" w:sz="4" w:space="0" w:color="auto"/>
            </w:tcBorders>
          </w:tcPr>
          <w:p w14:paraId="3F80145F"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65 (100.0)</w:t>
            </w:r>
          </w:p>
        </w:tc>
        <w:tc>
          <w:tcPr>
            <w:tcW w:w="0" w:type="auto"/>
            <w:tcBorders>
              <w:bottom w:val="single" w:sz="4" w:space="0" w:color="auto"/>
              <w:right w:val="single" w:sz="4" w:space="0" w:color="auto"/>
            </w:tcBorders>
          </w:tcPr>
          <w:p w14:paraId="2F9A58DA"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90 (100.0)</w:t>
            </w:r>
          </w:p>
        </w:tc>
        <w:tc>
          <w:tcPr>
            <w:tcW w:w="0" w:type="auto"/>
            <w:tcBorders>
              <w:left w:val="single" w:sz="4" w:space="0" w:color="auto"/>
              <w:bottom w:val="single" w:sz="4" w:space="0" w:color="auto"/>
            </w:tcBorders>
          </w:tcPr>
          <w:p w14:paraId="4F4F82F4"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215 (100.0)</w:t>
            </w:r>
          </w:p>
        </w:tc>
        <w:tc>
          <w:tcPr>
            <w:tcW w:w="0" w:type="auto"/>
            <w:tcBorders>
              <w:bottom w:val="single" w:sz="4" w:space="0" w:color="auto"/>
              <w:right w:val="single" w:sz="4" w:space="0" w:color="auto"/>
            </w:tcBorders>
          </w:tcPr>
          <w:p w14:paraId="385FA9BA"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406 (100.0)</w:t>
            </w:r>
          </w:p>
        </w:tc>
        <w:tc>
          <w:tcPr>
            <w:tcW w:w="0" w:type="auto"/>
            <w:tcBorders>
              <w:left w:val="single" w:sz="4" w:space="0" w:color="auto"/>
              <w:bottom w:val="single" w:sz="4" w:space="0" w:color="auto"/>
            </w:tcBorders>
          </w:tcPr>
          <w:p w14:paraId="48FF0B4D"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3418 (100.0)</w:t>
            </w:r>
          </w:p>
        </w:tc>
        <w:tc>
          <w:tcPr>
            <w:tcW w:w="0" w:type="auto"/>
            <w:tcBorders>
              <w:bottom w:val="single" w:sz="4" w:space="0" w:color="auto"/>
              <w:right w:val="single" w:sz="4" w:space="0" w:color="auto"/>
            </w:tcBorders>
          </w:tcPr>
          <w:p w14:paraId="7B6174CB"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3013 (100.0)</w:t>
            </w:r>
          </w:p>
        </w:tc>
        <w:tc>
          <w:tcPr>
            <w:tcW w:w="0" w:type="auto"/>
            <w:tcBorders>
              <w:left w:val="single" w:sz="4" w:space="0" w:color="auto"/>
              <w:bottom w:val="single" w:sz="4" w:space="0" w:color="auto"/>
            </w:tcBorders>
          </w:tcPr>
          <w:p w14:paraId="64CA7832"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56.6</w:t>
            </w:r>
          </w:p>
        </w:tc>
        <w:tc>
          <w:tcPr>
            <w:tcW w:w="0" w:type="auto"/>
            <w:tcBorders>
              <w:bottom w:val="single" w:sz="4" w:space="0" w:color="auto"/>
            </w:tcBorders>
          </w:tcPr>
          <w:p w14:paraId="4671F818" w14:textId="77777777" w:rsidR="00276658" w:rsidRPr="00BE5D45" w:rsidRDefault="00276658" w:rsidP="0094247D">
            <w:pPr>
              <w:rPr>
                <w:rFonts w:ascii="Times New Roman" w:hAnsi="Times New Roman" w:cs="Times New Roman"/>
                <w:sz w:val="22"/>
                <w:szCs w:val="22"/>
              </w:rPr>
            </w:pPr>
            <w:r w:rsidRPr="00BE5D45">
              <w:rPr>
                <w:rFonts w:ascii="Times New Roman" w:hAnsi="Times New Roman" w:cs="Times New Roman"/>
                <w:sz w:val="22"/>
                <w:szCs w:val="22"/>
              </w:rPr>
              <w:t>33.5</w:t>
            </w:r>
          </w:p>
        </w:tc>
      </w:tr>
    </w:tbl>
    <w:p w14:paraId="5EEE66D9" w14:textId="77777777" w:rsidR="00276658" w:rsidRPr="00BE5D45" w:rsidRDefault="00276658" w:rsidP="00276658">
      <w:pPr>
        <w:rPr>
          <w:rFonts w:ascii="Times New Roman" w:hAnsi="Times New Roman" w:cs="Times New Roman"/>
          <w:sz w:val="22"/>
          <w:szCs w:val="22"/>
        </w:rPr>
      </w:pPr>
      <w:r w:rsidRPr="00BE5D45">
        <w:rPr>
          <w:rFonts w:ascii="Times New Roman" w:hAnsi="Times New Roman" w:cs="Times New Roman"/>
          <w:sz w:val="22"/>
          <w:szCs w:val="22"/>
          <w:vertAlign w:val="superscript"/>
        </w:rPr>
        <w:t>a</w:t>
      </w:r>
      <w:r>
        <w:rPr>
          <w:rFonts w:ascii="Times New Roman" w:hAnsi="Times New Roman" w:cs="Times New Roman"/>
          <w:sz w:val="22"/>
          <w:szCs w:val="22"/>
        </w:rPr>
        <w:t>Data from b</w:t>
      </w:r>
      <w:r w:rsidRPr="00BE5D45">
        <w:rPr>
          <w:rFonts w:ascii="Times New Roman" w:hAnsi="Times New Roman" w:cs="Times New Roman"/>
          <w:sz w:val="22"/>
          <w:szCs w:val="22"/>
        </w:rPr>
        <w:t xml:space="preserve">oth study periods were derived using comparable methods. Data for 2016–2019 were reported by Mulligan et al.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ADDIN ZOTERO_ITEM CSL_CITATION {"citationID":"ojBmpviK","properties":{"unsorted":false,"formattedCitation":"[32]","plainCitation":"[32]","noteIndex":0},"citationItems":[{"id":5,"uris":["http://zotero.org/users/8635781/items/7X9ZNYIX"],"itemData":{"id":5,"type":"article-journal","abstract":"Background: Canadian federal restrictions on food marketing to children (children’s marketing) were proposed in 2016 as Bill S-228, the Child Health Protection Act, which subsequently died on the parliamentary table. This study quantified the interactions (meetings, correspondence and lobbying) related to Bill S-228 and children’s marketing by different stakeholders with the federal government.\nMethods: Interactions between all stakeholders and government related to children’s marketing and Bill S-228 (Sept. 1, 2016–Sept. 30, 2019) were analyzed. These included the “Meetings and correspondence on healthy eating” database, detailing interactions between stakeholders and Health Canada related to nutrition policies; and Canada’s Registry of Lobbyists, reporting activities of paid lobbyists. We categorized the interactions by stakeholder type (industry, nonindustry and mixed), and analyzed the number and type of interactions with different government offices.\nResults: We analyzed 139 meetings, 65 lobbying registrants, 215 lobbying registrations and 3418 communications related to children’s marketing and Bill S-228. Most interactions were from industry stakeholders, including 84.2% of meetings (117/139), 81.5% of lobbying registrants (53/65), 83.3% of lobbying registrations (179/215) and 83.9% of communications (2866/3418). Most interactions (&gt; 80%) in the highest-ranking government offices were by industry.\nInterpretation: Industry stakeholders interacted with government more often, more broadly and with higher ranking offices than nonindustry stakeholders on subjects related to children’s marketing and Bill S-228. Although further research is needed to analyze the nature of the discourse around children’s marketing, it is apparent that industry viewpoints were more prominent than those of nonindustry stakeholders.","container-title":"Canadian Medical Association Open Access Journal","DOI":"10.9778/cmajo.20200086","ISSN":"2291-0026","issue":"1","language":"en","license":"© 2021 Joule Inc. or its licensors. This is an Open Access article distributed in accordance with the terms of the Creative Commons Attribution (CC BY-NC-ND 4.0) licence, which permits use, distribution and reproduction in any medium, provided that the original publication is properly cited, the use is noncommercial (i.e., research or educational use), and no modifications or adaptations are made. See: https://creativecommons.org/licenses/by-nc-nd/4.0/","page":"E280-E287","PMID":"33757965","publisher":"Canadian Medical Association Open Access Journal","section":"Research","source":"www.cmajopen.ca","title":"Stakeholder interactions with the federal government related to Bill S-228 and marketing to kids in Canada: A quantitative descriptive study","title-short":"Stakeholder interactions with the federal government related to Bill S-228 and marketing to kids in Canada","volume":"9","author":[{"family":"Mulligan","given":"Christine"},{"family":"Jawad","given":"Aalaa"},{"family":"Potvin Kent","given":"Monique"},{"family":"Vanderlee","given":"Lana"},{"family":"L’Abbé","given":"Mary R."}],"issued":{"date-parts":[["2021",1,1]]}}}],"schema":"https://github.com/citation-style-language/schema/raw/master/csl-citation.json"} </w:instrText>
      </w:r>
      <w:r>
        <w:rPr>
          <w:rFonts w:ascii="Times New Roman" w:hAnsi="Times New Roman" w:cs="Times New Roman"/>
          <w:sz w:val="22"/>
          <w:szCs w:val="22"/>
        </w:rPr>
        <w:fldChar w:fldCharType="separate"/>
      </w:r>
      <w:r w:rsidRPr="008635BE">
        <w:rPr>
          <w:rFonts w:ascii="Times New Roman" w:hAnsi="Times New Roman" w:cs="Times New Roman"/>
          <w:sz w:val="22"/>
        </w:rPr>
        <w:t>[32]</w:t>
      </w:r>
      <w:r>
        <w:rPr>
          <w:rFonts w:ascii="Times New Roman" w:hAnsi="Times New Roman" w:cs="Times New Roman"/>
          <w:sz w:val="22"/>
          <w:szCs w:val="22"/>
        </w:rPr>
        <w:fldChar w:fldCharType="end"/>
      </w:r>
      <w:r w:rsidRPr="00BE5D45">
        <w:rPr>
          <w:rFonts w:ascii="Times New Roman" w:hAnsi="Times New Roman" w:cs="Times New Roman"/>
          <w:sz w:val="22"/>
          <w:szCs w:val="22"/>
        </w:rPr>
        <w:t>, whereas data for 2019–2025 were collected and analyzed in the current study.</w:t>
      </w:r>
    </w:p>
    <w:p w14:paraId="2292A927" w14:textId="77777777" w:rsidR="00276658" w:rsidRDefault="00276658"/>
    <w:sectPr w:rsidR="002766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Body)">
    <w:altName w:val="Calibri"/>
    <w:charset w:val="00"/>
    <w:family w:val="roman"/>
    <w:pitch w:val="default"/>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658"/>
    <w:rsid w:val="000C4033"/>
    <w:rsid w:val="00173ED8"/>
    <w:rsid w:val="00276658"/>
    <w:rsid w:val="002F50B1"/>
    <w:rsid w:val="004B42CB"/>
    <w:rsid w:val="005F2B46"/>
    <w:rsid w:val="006E1731"/>
    <w:rsid w:val="007C2816"/>
    <w:rsid w:val="00866D74"/>
    <w:rsid w:val="00882A73"/>
    <w:rsid w:val="00906905"/>
    <w:rsid w:val="0095305D"/>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38219"/>
  <w15:chartTrackingRefBased/>
  <w15:docId w15:val="{3AB6A89C-84CC-4FB8-B031-67CE808A4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658"/>
    <w:pPr>
      <w:spacing w:after="0" w:line="240" w:lineRule="auto"/>
    </w:pPr>
    <w:rPr>
      <w:rFonts w:eastAsiaTheme="minorEastAsia" w:cs="Calibri (Body)"/>
      <w:lang w:val="en-CA"/>
    </w:rPr>
  </w:style>
  <w:style w:type="paragraph" w:styleId="Heading1">
    <w:name w:val="heading 1"/>
    <w:basedOn w:val="Normal"/>
    <w:next w:val="Normal"/>
    <w:link w:val="Heading1Char"/>
    <w:uiPriority w:val="9"/>
    <w:qFormat/>
    <w:rsid w:val="0027665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semiHidden/>
    <w:unhideWhenUsed/>
    <w:qFormat/>
    <w:rsid w:val="0027665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276658"/>
    <w:pPr>
      <w:keepNext/>
      <w:keepLines/>
      <w:spacing w:before="160" w:after="80" w:line="278" w:lineRule="auto"/>
      <w:outlineLvl w:val="2"/>
    </w:pPr>
    <w:rPr>
      <w:rFonts w:eastAsiaTheme="majorEastAsia"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276658"/>
    <w:pPr>
      <w:keepNext/>
      <w:keepLines/>
      <w:spacing w:before="80" w:after="40" w:line="278" w:lineRule="auto"/>
      <w:outlineLvl w:val="3"/>
    </w:pPr>
    <w:rPr>
      <w:rFonts w:eastAsiaTheme="majorEastAsia" w:cstheme="majorBidi"/>
      <w:i/>
      <w:iCs/>
      <w:color w:val="0F4761" w:themeColor="accent1" w:themeShade="BF"/>
      <w:lang w:val="en-IN"/>
    </w:rPr>
  </w:style>
  <w:style w:type="paragraph" w:styleId="Heading5">
    <w:name w:val="heading 5"/>
    <w:basedOn w:val="Normal"/>
    <w:next w:val="Normal"/>
    <w:link w:val="Heading5Char"/>
    <w:uiPriority w:val="9"/>
    <w:semiHidden/>
    <w:unhideWhenUsed/>
    <w:qFormat/>
    <w:rsid w:val="00276658"/>
    <w:pPr>
      <w:keepNext/>
      <w:keepLines/>
      <w:spacing w:before="80" w:after="40" w:line="278" w:lineRule="auto"/>
      <w:outlineLvl w:val="4"/>
    </w:pPr>
    <w:rPr>
      <w:rFonts w:eastAsiaTheme="majorEastAsia" w:cstheme="majorBidi"/>
      <w:color w:val="0F4761" w:themeColor="accent1" w:themeShade="BF"/>
      <w:lang w:val="en-IN"/>
    </w:rPr>
  </w:style>
  <w:style w:type="paragraph" w:styleId="Heading6">
    <w:name w:val="heading 6"/>
    <w:basedOn w:val="Normal"/>
    <w:next w:val="Normal"/>
    <w:link w:val="Heading6Char"/>
    <w:uiPriority w:val="9"/>
    <w:semiHidden/>
    <w:unhideWhenUsed/>
    <w:qFormat/>
    <w:rsid w:val="00276658"/>
    <w:pPr>
      <w:keepNext/>
      <w:keepLines/>
      <w:spacing w:before="40" w:line="278" w:lineRule="auto"/>
      <w:outlineLvl w:val="5"/>
    </w:pPr>
    <w:rPr>
      <w:rFonts w:eastAsiaTheme="majorEastAsia" w:cstheme="majorBidi"/>
      <w:i/>
      <w:iCs/>
      <w:color w:val="595959" w:themeColor="text1" w:themeTint="A6"/>
      <w:lang w:val="en-IN"/>
    </w:rPr>
  </w:style>
  <w:style w:type="paragraph" w:styleId="Heading7">
    <w:name w:val="heading 7"/>
    <w:basedOn w:val="Normal"/>
    <w:next w:val="Normal"/>
    <w:link w:val="Heading7Char"/>
    <w:uiPriority w:val="9"/>
    <w:semiHidden/>
    <w:unhideWhenUsed/>
    <w:qFormat/>
    <w:rsid w:val="00276658"/>
    <w:pPr>
      <w:keepNext/>
      <w:keepLines/>
      <w:spacing w:before="40" w:line="278" w:lineRule="auto"/>
      <w:outlineLvl w:val="6"/>
    </w:pPr>
    <w:rPr>
      <w:rFonts w:eastAsiaTheme="majorEastAsia" w:cstheme="majorBidi"/>
      <w:color w:val="595959" w:themeColor="text1" w:themeTint="A6"/>
      <w:lang w:val="en-IN"/>
    </w:rPr>
  </w:style>
  <w:style w:type="paragraph" w:styleId="Heading8">
    <w:name w:val="heading 8"/>
    <w:basedOn w:val="Normal"/>
    <w:next w:val="Normal"/>
    <w:link w:val="Heading8Char"/>
    <w:uiPriority w:val="9"/>
    <w:semiHidden/>
    <w:unhideWhenUsed/>
    <w:qFormat/>
    <w:rsid w:val="00276658"/>
    <w:pPr>
      <w:keepNext/>
      <w:keepLines/>
      <w:spacing w:line="278" w:lineRule="auto"/>
      <w:outlineLvl w:val="7"/>
    </w:pPr>
    <w:rPr>
      <w:rFonts w:eastAsiaTheme="majorEastAsia" w:cstheme="majorBidi"/>
      <w:i/>
      <w:iCs/>
      <w:color w:val="272727" w:themeColor="text1" w:themeTint="D8"/>
      <w:lang w:val="en-IN"/>
    </w:rPr>
  </w:style>
  <w:style w:type="paragraph" w:styleId="Heading9">
    <w:name w:val="heading 9"/>
    <w:basedOn w:val="Normal"/>
    <w:next w:val="Normal"/>
    <w:link w:val="Heading9Char"/>
    <w:uiPriority w:val="9"/>
    <w:semiHidden/>
    <w:unhideWhenUsed/>
    <w:qFormat/>
    <w:rsid w:val="00276658"/>
    <w:pPr>
      <w:keepNext/>
      <w:keepLines/>
      <w:spacing w:line="278" w:lineRule="auto"/>
      <w:outlineLvl w:val="8"/>
    </w:pPr>
    <w:rPr>
      <w:rFonts w:eastAsiaTheme="majorEastAsia" w:cstheme="majorBidi"/>
      <w:color w:val="272727" w:themeColor="text1" w:themeTint="D8"/>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6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66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66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66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66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66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6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6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658"/>
    <w:rPr>
      <w:rFonts w:eastAsiaTheme="majorEastAsia" w:cstheme="majorBidi"/>
      <w:color w:val="272727" w:themeColor="text1" w:themeTint="D8"/>
    </w:rPr>
  </w:style>
  <w:style w:type="paragraph" w:styleId="Title">
    <w:name w:val="Title"/>
    <w:basedOn w:val="Normal"/>
    <w:next w:val="Normal"/>
    <w:link w:val="TitleChar"/>
    <w:uiPriority w:val="10"/>
    <w:qFormat/>
    <w:rsid w:val="00276658"/>
    <w:pPr>
      <w:spacing w:after="80"/>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2766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658"/>
    <w:pPr>
      <w:numPr>
        <w:ilvl w:val="1"/>
      </w:numPr>
      <w:spacing w:after="160" w:line="278" w:lineRule="auto"/>
    </w:pPr>
    <w:rPr>
      <w:rFonts w:eastAsiaTheme="majorEastAsia"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2766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658"/>
    <w:pPr>
      <w:spacing w:before="160" w:after="160" w:line="278" w:lineRule="auto"/>
      <w:jc w:val="center"/>
    </w:pPr>
    <w:rPr>
      <w:rFonts w:eastAsiaTheme="minorHAnsi" w:cstheme="minorBidi"/>
      <w:i/>
      <w:iCs/>
      <w:color w:val="404040" w:themeColor="text1" w:themeTint="BF"/>
      <w:lang w:val="en-IN"/>
    </w:rPr>
  </w:style>
  <w:style w:type="character" w:customStyle="1" w:styleId="QuoteChar">
    <w:name w:val="Quote Char"/>
    <w:basedOn w:val="DefaultParagraphFont"/>
    <w:link w:val="Quote"/>
    <w:uiPriority w:val="29"/>
    <w:rsid w:val="00276658"/>
    <w:rPr>
      <w:i/>
      <w:iCs/>
      <w:color w:val="404040" w:themeColor="text1" w:themeTint="BF"/>
    </w:rPr>
  </w:style>
  <w:style w:type="paragraph" w:styleId="ListParagraph">
    <w:name w:val="List Paragraph"/>
    <w:basedOn w:val="Normal"/>
    <w:uiPriority w:val="34"/>
    <w:qFormat/>
    <w:rsid w:val="00276658"/>
    <w:pPr>
      <w:spacing w:after="160" w:line="278" w:lineRule="auto"/>
      <w:ind w:left="720"/>
      <w:contextualSpacing/>
    </w:pPr>
    <w:rPr>
      <w:rFonts w:eastAsiaTheme="minorHAnsi" w:cstheme="minorBidi"/>
      <w:lang w:val="en-IN"/>
    </w:rPr>
  </w:style>
  <w:style w:type="character" w:styleId="IntenseEmphasis">
    <w:name w:val="Intense Emphasis"/>
    <w:basedOn w:val="DefaultParagraphFont"/>
    <w:uiPriority w:val="21"/>
    <w:qFormat/>
    <w:rsid w:val="00276658"/>
    <w:rPr>
      <w:i/>
      <w:iCs/>
      <w:color w:val="0F4761" w:themeColor="accent1" w:themeShade="BF"/>
    </w:rPr>
  </w:style>
  <w:style w:type="paragraph" w:styleId="IntenseQuote">
    <w:name w:val="Intense Quote"/>
    <w:basedOn w:val="Normal"/>
    <w:next w:val="Normal"/>
    <w:link w:val="IntenseQuoteChar"/>
    <w:uiPriority w:val="30"/>
    <w:qFormat/>
    <w:rsid w:val="0027665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lang w:val="en-IN"/>
    </w:rPr>
  </w:style>
  <w:style w:type="character" w:customStyle="1" w:styleId="IntenseQuoteChar">
    <w:name w:val="Intense Quote Char"/>
    <w:basedOn w:val="DefaultParagraphFont"/>
    <w:link w:val="IntenseQuote"/>
    <w:uiPriority w:val="30"/>
    <w:rsid w:val="00276658"/>
    <w:rPr>
      <w:i/>
      <w:iCs/>
      <w:color w:val="0F4761" w:themeColor="accent1" w:themeShade="BF"/>
    </w:rPr>
  </w:style>
  <w:style w:type="character" w:styleId="IntenseReference">
    <w:name w:val="Intense Reference"/>
    <w:basedOn w:val="DefaultParagraphFont"/>
    <w:uiPriority w:val="32"/>
    <w:qFormat/>
    <w:rsid w:val="00276658"/>
    <w:rPr>
      <w:b/>
      <w:bCs/>
      <w:smallCaps/>
      <w:color w:val="0F4761" w:themeColor="accent1" w:themeShade="BF"/>
      <w:spacing w:val="5"/>
    </w:rPr>
  </w:style>
  <w:style w:type="table" w:styleId="TableGrid">
    <w:name w:val="Table Grid"/>
    <w:basedOn w:val="TableNormal"/>
    <w:uiPriority w:val="39"/>
    <w:rsid w:val="002766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1254</Words>
  <Characters>7149</Characters>
  <Application>Microsoft Office Word</Application>
  <DocSecurity>0</DocSecurity>
  <Lines>59</Lines>
  <Paragraphs>16</Paragraphs>
  <ScaleCrop>false</ScaleCrop>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2026-08-27T13:59:00Z</dcterms:created>
  <dcterms:modified xsi:type="dcterms:W3CDTF">2026-08-27T13:59:00Z</dcterms:modified>
</cp:coreProperties>
</file>