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075AD5">
      <w:pPr>
        <w:rPr>
          <w:rFonts w:hint="default" w:ascii="Times New Roman" w:hAnsi="Times New Roman" w:cs="Times New Roman"/>
        </w:rPr>
      </w:pPr>
      <w:r>
        <w:rPr>
          <w:rFonts w:hint="eastAsia" w:ascii="Times New Roman" w:hAnsi="Times New Roman" w:eastAsia="宋体" w:cs="Times New Roman"/>
          <w:b/>
          <w:bCs/>
          <w:lang w:val="en-US" w:eastAsia="zh-CN"/>
        </w:rPr>
        <w:t xml:space="preserve">Table 3   </w:t>
      </w:r>
      <w:r>
        <w:rPr>
          <w:rFonts w:hint="eastAsia" w:ascii="Times New Roman" w:hAnsi="Times New Roman" w:eastAsia="宋体" w:cs="Times New Roman"/>
          <w:lang w:val="en-US" w:eastAsia="zh-CN"/>
        </w:rPr>
        <w:t xml:space="preserve">Comparison of characteristics, quality, and reliability of gingival recession videos by uploader category </w:t>
      </w:r>
    </w:p>
    <w:tbl>
      <w:tblPr>
        <w:tblStyle w:val="3"/>
        <w:tblW w:w="6506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2"/>
        <w:gridCol w:w="1798"/>
        <w:gridCol w:w="1692"/>
        <w:gridCol w:w="1826"/>
        <w:gridCol w:w="1797"/>
        <w:gridCol w:w="1654"/>
      </w:tblGrid>
      <w:tr w14:paraId="032DD5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047" w:type="pct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96195F8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0" w:after="0" w:line="240" w:lineRule="auto"/>
              <w:ind w:left="0" w:right="0" w:firstLine="0" w:firstLineChars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Variables</w:t>
            </w:r>
          </w:p>
        </w:tc>
        <w:tc>
          <w:tcPr>
            <w:tcW w:w="810" w:type="pct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999E533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sz w:val="21"/>
                <w:szCs w:val="21"/>
                <w:lang w:val="en-US" w:eastAsia="zh-CN"/>
              </w:rPr>
              <w:t>PHCPs</w:t>
            </w:r>
          </w:p>
          <w:p w14:paraId="72DB40D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(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  <w:lang w:val="en-US" w:eastAsia="zh-CN"/>
              </w:rPr>
              <w:t>N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 xml:space="preserve"> = 43)</w:t>
            </w:r>
          </w:p>
        </w:tc>
        <w:tc>
          <w:tcPr>
            <w:tcW w:w="763" w:type="pct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D44F4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sz w:val="21"/>
                <w:szCs w:val="21"/>
                <w:lang w:val="en-US" w:eastAsia="zh-CN"/>
              </w:rPr>
              <w:t>NPHCPs</w:t>
            </w:r>
          </w:p>
          <w:p w14:paraId="3D5659B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(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  <w:lang w:val="en-US" w:eastAsia="zh-CN"/>
              </w:rPr>
              <w:t>N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 xml:space="preserve"> = 31)</w:t>
            </w:r>
          </w:p>
        </w:tc>
        <w:tc>
          <w:tcPr>
            <w:tcW w:w="823" w:type="pct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3C635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sz w:val="21"/>
                <w:szCs w:val="21"/>
                <w:lang w:val="en-US" w:eastAsia="zh-CN"/>
              </w:rPr>
              <w:t>HIs</w:t>
            </w:r>
          </w:p>
          <w:p w14:paraId="6CD20AF1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(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  <w:lang w:val="en-US" w:eastAsia="zh-CN"/>
              </w:rPr>
              <w:t>N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 xml:space="preserve"> = 18)</w:t>
            </w:r>
          </w:p>
        </w:tc>
        <w:tc>
          <w:tcPr>
            <w:tcW w:w="810" w:type="pct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BFBEB1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sz w:val="21"/>
                <w:szCs w:val="21"/>
                <w:lang w:val="en-US" w:eastAsia="zh-CN"/>
              </w:rPr>
              <w:t>IUs</w:t>
            </w:r>
          </w:p>
          <w:p w14:paraId="59AA508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/>
                <w:bCs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(</w:t>
            </w: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  <w:lang w:val="en-US" w:eastAsia="zh-CN"/>
              </w:rPr>
              <w:t>N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= 92)</w:t>
            </w:r>
          </w:p>
        </w:tc>
        <w:tc>
          <w:tcPr>
            <w:tcW w:w="745" w:type="pct"/>
            <w:tcBorders>
              <w:top w:val="single" w:color="000000" w:sz="12" w:space="0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5A4AC0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210" w:firstLineChars="100"/>
              <w:jc w:val="left"/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P</w:t>
            </w:r>
          </w:p>
          <w:p w14:paraId="66A3DFF6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iCs w:val="0"/>
                <w:strike w:val="0"/>
                <w:color w:val="000000"/>
                <w:sz w:val="21"/>
                <w:szCs w:val="21"/>
                <w:u w:val="none"/>
                <w:lang w:val="en-US" w:eastAsia="zh-CN"/>
              </w:rPr>
              <w:t>Value</w:t>
            </w:r>
          </w:p>
        </w:tc>
      </w:tr>
      <w:tr w14:paraId="7F5CB5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47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50784E5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Video length(s),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810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5A8FB0A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101.00 (71.00,249.50)</w:t>
            </w:r>
          </w:p>
        </w:tc>
        <w:tc>
          <w:tcPr>
            <w:tcW w:w="763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A6DC14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126.00 (66.00,250.00)</w:t>
            </w:r>
          </w:p>
        </w:tc>
        <w:tc>
          <w:tcPr>
            <w:tcW w:w="823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A6D9A0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208.50 (83.75,329.50)</w:t>
            </w:r>
          </w:p>
        </w:tc>
        <w:tc>
          <w:tcPr>
            <w:tcW w:w="810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1F54C1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85.50 (64.00,199.75)</w:t>
            </w:r>
          </w:p>
        </w:tc>
        <w:tc>
          <w:tcPr>
            <w:tcW w:w="745" w:type="pct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4698AC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hint="default" w:ascii="Times New Roman" w:hAnsi="Times New Roman" w:eastAsia="Times New Roman" w:cs="Times New Roman"/>
                <w:b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0.221</w:t>
            </w:r>
          </w:p>
        </w:tc>
      </w:tr>
      <w:tr w14:paraId="3E0243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15AEDD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Likes,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83C919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235.00 (61.50,1701.00)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29C5C0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74.00 (27.00,357.50)</w:t>
            </w:r>
          </w:p>
        </w:tc>
        <w:tc>
          <w:tcPr>
            <w:tcW w:w="8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D9079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25.50 (8.25,144.50)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FA1E1B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32.50 (15.00,104.25)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D16C0AA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trike w:val="0"/>
                <w:color w:val="FF0000"/>
                <w:sz w:val="21"/>
                <w:szCs w:val="21"/>
                <w:u w:val="none"/>
              </w:rPr>
              <w:t>&lt;.001</w:t>
            </w:r>
          </w:p>
        </w:tc>
      </w:tr>
      <w:tr w14:paraId="3D10F9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E3C76CA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Collections,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70887A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280.00 (39.50,1105.50)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3ABF749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41.00 (14.00,175.00)</w:t>
            </w:r>
          </w:p>
        </w:tc>
        <w:tc>
          <w:tcPr>
            <w:tcW w:w="8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09BC2F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30.50 (8.00,142.25)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990F0A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23.00 (10.00,104.75)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2DE15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trike w:val="0"/>
                <w:color w:val="FF0000"/>
                <w:sz w:val="21"/>
                <w:szCs w:val="21"/>
                <w:u w:val="none"/>
              </w:rPr>
              <w:t>&lt;.001</w:t>
            </w:r>
          </w:p>
        </w:tc>
      </w:tr>
      <w:tr w14:paraId="03E2AA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E19FDA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Comments,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452C218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31.00 (6.50,164.50)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D0567BB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12.00 (1.00,68.50)</w:t>
            </w:r>
          </w:p>
        </w:tc>
        <w:tc>
          <w:tcPr>
            <w:tcW w:w="8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058F9C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2.00 (0.00,30.75)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73EF4CD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4.00 (1.00,26.50)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2A73D28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hint="default" w:ascii="Times New Roman" w:hAnsi="Times New Roman" w:eastAsia="Times New Roman" w:cs="Times New Roman"/>
                <w:b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trike w:val="0"/>
                <w:color w:val="FF0000"/>
                <w:sz w:val="21"/>
                <w:szCs w:val="21"/>
                <w:u w:val="none"/>
              </w:rPr>
              <w:t>&lt;.001</w:t>
            </w:r>
          </w:p>
        </w:tc>
      </w:tr>
      <w:tr w14:paraId="02F2F4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FFF4E7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Shares,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A7ABD54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73.00 (12.50,371.00)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B6E2E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17.00 (5.00,93.50)</w:t>
            </w:r>
          </w:p>
        </w:tc>
        <w:tc>
          <w:tcPr>
            <w:tcW w:w="8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F7A7AF9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7.00 (2.00,37.00)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1145426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5.00 (1.00,25.00)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9301AA9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trike w:val="0"/>
                <w:color w:val="FF0000"/>
                <w:sz w:val="21"/>
                <w:szCs w:val="21"/>
                <w:u w:val="none"/>
              </w:rPr>
              <w:t>&lt;.001</w:t>
            </w:r>
          </w:p>
        </w:tc>
      </w:tr>
      <w:tr w14:paraId="772B8B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EB3ADD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GQS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score,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5D3B4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3.00 (3.00,4.00)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97CBED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3.00 (2.00,3.00)</w:t>
            </w:r>
          </w:p>
        </w:tc>
        <w:tc>
          <w:tcPr>
            <w:tcW w:w="8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C78B4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3.00 (3.00,4.00)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CB67E5A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2.00 (2.00,2.00)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6D6BAB7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hint="default" w:ascii="Times New Roman" w:hAnsi="Times New Roman" w:eastAsia="Times New Roman" w:cs="Times New Roman"/>
                <w:b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B19B9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EB1AC3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mDISCERN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score,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7DE977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2.00 (2.00,2.00)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F888363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2.00 (1.00,2.00)</w:t>
            </w:r>
          </w:p>
        </w:tc>
        <w:tc>
          <w:tcPr>
            <w:tcW w:w="8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D30AB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2.00 (2.00,2.75)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942BD38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1.00 (1.00,2.00)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9B83C3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hint="default" w:ascii="Times New Roman" w:hAnsi="Times New Roman" w:eastAsia="Times New Roman" w:cs="Times New Roman"/>
                <w:b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CFF2E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4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D739E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JAMA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0AEF6FB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2.00 (2.00,2.00)</w:t>
            </w: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B9020A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2.00 (2.00,2.00)</w:t>
            </w:r>
          </w:p>
        </w:tc>
        <w:tc>
          <w:tcPr>
            <w:tcW w:w="82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70E64B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 w:val="0"/>
                <w:i w:val="0"/>
                <w:iCs w:val="0"/>
                <w:color w:val="000000" w:themeColor="text1"/>
                <w:sz w:val="21"/>
                <w:szCs w:val="21"/>
                <w:u w:val="none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2.00 (2.00,3.00)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CB3581A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Times New Roman" w:cs="Times New Roman"/>
                <w:b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  <w:t>1.00 (1.00,2.00)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AC8BFC3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hint="default" w:ascii="Times New Roman" w:hAnsi="Times New Roman" w:eastAsia="Times New Roman" w:cs="Times New Roman"/>
                <w:b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1D3E3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47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3B4CF4A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0" w:after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Completeness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M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olor w:val="000000" w:themeColor="text1"/>
                <w:sz w:val="21"/>
                <w:szCs w:val="21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(Q1,Q3)</w:t>
            </w:r>
          </w:p>
        </w:tc>
        <w:tc>
          <w:tcPr>
            <w:tcW w:w="810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4C616AC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u w:val="no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u w:val="none"/>
              </w:rPr>
              <w:t>.00 (2.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u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u w:val="none"/>
              </w:rPr>
              <w:t>0,4.00)</w:t>
            </w:r>
          </w:p>
        </w:tc>
        <w:tc>
          <w:tcPr>
            <w:tcW w:w="763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7F15ABB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  <w:lang w:val="en-US" w:eastAsia="zh-CN"/>
              </w:rPr>
              <w:t>3.00（2.00,4.00）</w:t>
            </w:r>
          </w:p>
        </w:tc>
        <w:tc>
          <w:tcPr>
            <w:tcW w:w="823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36322BE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  <w:lang w:val="en-US" w:eastAsia="zh-CN"/>
              </w:rPr>
              <w:t>3.00（2.00,4.00）</w:t>
            </w:r>
          </w:p>
        </w:tc>
        <w:tc>
          <w:tcPr>
            <w:tcW w:w="810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F8B82E2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i w:val="0"/>
                <w:iCs w:val="0"/>
                <w:strike w:val="0"/>
                <w:color w:val="000000"/>
                <w:sz w:val="21"/>
                <w:szCs w:val="21"/>
                <w:u w:val="none"/>
                <w:lang w:val="en-US" w:eastAsia="zh-CN"/>
              </w:rPr>
              <w:t>2.00（2.00,3.00）</w:t>
            </w:r>
          </w:p>
        </w:tc>
        <w:tc>
          <w:tcPr>
            <w:tcW w:w="745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4D707B9"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napToGrid w:val="0"/>
              <w:spacing w:before="40" w:after="40" w:line="240" w:lineRule="auto"/>
              <w:ind w:left="40" w:leftChars="0" w:right="40" w:rightChars="0" w:firstLine="0" w:firstLineChars="0"/>
              <w:jc w:val="left"/>
              <w:rPr>
                <w:rFonts w:hint="default" w:ascii="Times New Roman" w:hAnsi="Times New Roman" w:eastAsia="Times New Roman" w:cs="Times New Roman"/>
                <w:b/>
                <w:i w:val="0"/>
                <w:iCs w:val="0"/>
                <w:color w:val="000000" w:themeColor="text1"/>
                <w:sz w:val="2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i w:val="0"/>
                <w:iCs w:val="0"/>
                <w:strike w:val="0"/>
                <w:color w:val="FF0000"/>
                <w:sz w:val="21"/>
                <w:szCs w:val="21"/>
                <w:u w:val="none"/>
              </w:rPr>
              <w:t>&lt;.001</w:t>
            </w:r>
          </w:p>
        </w:tc>
      </w:tr>
    </w:tbl>
    <w:p w14:paraId="4FB12C21">
      <w:pPr>
        <w:rPr>
          <w:rFonts w:hint="default" w:ascii="Times New Roman" w:hAnsi="Times New Roman" w:cs="Times New Roman"/>
        </w:rPr>
      </w:pPr>
    </w:p>
    <w:p w14:paraId="789ED376">
      <w:r>
        <w:rPr>
          <w:rFonts w:hint="eastAsia" w:ascii="Times New Roman" w:hAnsi="Times New Roman" w:eastAsia="宋体" w:cs="Times New Roman"/>
          <w:lang w:val="en-US" w:eastAsia="zh-CN"/>
        </w:rPr>
        <w:t>Data are presented as median (Q1, Q3). Statistical significance was determined using the Kruskal–Wallis test; when the overall test was significant, Dunn's post-hoc test was used for pairwise comparisons. PHCPs, professional healthcare providers; NPHCPs, non-professional healthcare providers; HIs, healthcare institutions; IUs, individual users; GQS, Global Quality Scale; mDISCERN, modified DISCERN; JAMA, Journal of the American Medical Association benchmark criteria.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55404"/>
    <w:rsid w:val="16AE0EFD"/>
    <w:rsid w:val="444C6129"/>
    <w:rsid w:val="47E55404"/>
    <w:rsid w:val="54812B7F"/>
    <w:rsid w:val="5BA54F7A"/>
    <w:rsid w:val="6694184A"/>
    <w:rsid w:val="6FA3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/>
    </w:pPr>
    <w:rPr>
      <w:rFonts w:asciiTheme="minorHAnsi" w:hAnsiTheme="minorHAnsi" w:eastAsiaTheme="minorHAnsi" w:cstheme="minorBidi"/>
      <w:sz w:val="24"/>
      <w:szCs w:val="24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138</Words>
  <Characters>950</Characters>
  <Lines>0</Lines>
  <Paragraphs>0</Paragraphs>
  <TotalTime>0</TotalTime>
  <ScaleCrop>false</ScaleCrop>
  <LinksUpToDate>false</LinksUpToDate>
  <CharactersWithSpaces>1016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2026-07-20T15:07:00Z</dcterms:created>
  <dc:creator>揺啊揺</dc:creator>
  <cp:lastModifiedBy>揺啊揺</cp:lastModifiedBy>
  <dcterms:modified xsi:type="dcterms:W3CDTF">2026-07-22T13:52:32Z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A510E697E6FF42969FC33EA849FE6A53_11</vt:lpwstr>
  </property>
  <property fmtid="{D5CDD505-2E9C-101B-9397-08002B2CF9AE}" pid="4" name="KSOTemplateDocerSaveRecord">
    <vt:lpwstr>eyJoZGlkIjoiZjFmZWIzNDg2MmIzZjExOTIzMmViNTBmYTMwYTk0ZWYiLCJ1c2VySWQiOiI0MTQyMDc1MTQifQ==</vt:lpwstr>
  </property>
</Properties>
</file>