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9337E">
      <w:pPr>
        <w:keepNext w:val="0"/>
        <w:spacing w:before="120" w:after="240"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/>
          <w:b/>
          <w:sz w:val="32"/>
        </w:rPr>
        <w:t>Supplementary material</w:t>
      </w:r>
    </w:p>
    <w:p w14:paraId="4F5EE2DC">
      <w:pPr>
        <w:keepNext w:val="0"/>
        <w:spacing w:before="0" w:after="240" w:line="360" w:lineRule="auto"/>
        <w:jc w:val="center"/>
      </w:pPr>
      <w:r>
        <w:rPr>
          <w:rFonts w:ascii="Times New Roman" w:hAnsi="Times New Roman" w:eastAsia="Times New Roman"/>
          <w:b/>
          <w:sz w:val="24"/>
        </w:rPr>
        <w:t>Joint and interactive associations of the visceral adiposity index and systemic inflammatory markers with serum uric acid among petroleum sales workers</w:t>
      </w:r>
    </w:p>
    <w:p w14:paraId="70EF4870">
      <w:pPr>
        <w:spacing w:line="360" w:lineRule="auto"/>
        <w:jc w:val="center"/>
      </w:pPr>
      <w:r>
        <w:rPr>
          <w:rFonts w:ascii="Times New Roman" w:hAnsi="Times New Roman"/>
          <w:sz w:val="21"/>
        </w:rPr>
        <w:t>Jinbo WANG</w:t>
      </w:r>
      <w:r>
        <w:rPr>
          <w:rFonts w:ascii="Times New Roman" w:hAnsi="Times New Roman"/>
          <w:sz w:val="21"/>
          <w:vertAlign w:val="superscript"/>
        </w:rPr>
        <w:t>1</w:t>
      </w:r>
      <w:r>
        <w:rPr>
          <w:rFonts w:ascii="Times New Roman" w:hAnsi="Times New Roman"/>
          <w:sz w:val="21"/>
        </w:rPr>
        <w:t>, Zhuoheng CHEN</w:t>
      </w:r>
      <w:r>
        <w:rPr>
          <w:rFonts w:ascii="Times New Roman" w:hAnsi="Times New Roman"/>
          <w:sz w:val="21"/>
          <w:vertAlign w:val="superscript"/>
        </w:rPr>
        <w:t>2</w:t>
      </w:r>
      <w:r>
        <w:rPr>
          <w:rFonts w:ascii="Times New Roman" w:hAnsi="Times New Roman"/>
          <w:sz w:val="21"/>
        </w:rPr>
        <w:t>, Xinna HE</w:t>
      </w:r>
      <w:r>
        <w:rPr>
          <w:rFonts w:ascii="Times New Roman" w:hAnsi="Times New Roman"/>
          <w:sz w:val="21"/>
          <w:vertAlign w:val="superscript"/>
        </w:rPr>
        <w:t>1</w:t>
      </w:r>
      <w:r>
        <w:rPr>
          <w:rFonts w:ascii="Times New Roman" w:hAnsi="Times New Roman"/>
          <w:sz w:val="21"/>
        </w:rPr>
        <w:t>,</w:t>
      </w:r>
      <w:r>
        <w:rPr>
          <w:rFonts w:ascii="Times New Roman" w:hAnsi="Times New Roman"/>
          <w:sz w:val="21"/>
        </w:rPr>
        <w:br w:type="textWrapping"/>
      </w:r>
      <w:r>
        <w:rPr>
          <w:rFonts w:ascii="Times New Roman" w:hAnsi="Times New Roman"/>
          <w:sz w:val="21"/>
        </w:rPr>
        <w:t>Yinxia LIN</w:t>
      </w:r>
      <w:r>
        <w:rPr>
          <w:rFonts w:ascii="Times New Roman" w:hAnsi="Times New Roman"/>
          <w:sz w:val="21"/>
          <w:vertAlign w:val="superscript"/>
        </w:rPr>
        <w:t>1,*</w:t>
      </w:r>
      <w:r>
        <w:rPr>
          <w:rFonts w:ascii="Times New Roman" w:hAnsi="Times New Roman"/>
          <w:sz w:val="21"/>
        </w:rPr>
        <w:t>, Jianing CONG</w:t>
      </w:r>
      <w:r>
        <w:rPr>
          <w:rFonts w:ascii="Times New Roman" w:hAnsi="Times New Roman"/>
          <w:sz w:val="21"/>
          <w:vertAlign w:val="superscript"/>
        </w:rPr>
        <w:t>1</w:t>
      </w:r>
      <w:r>
        <w:rPr>
          <w:rFonts w:ascii="Times New Roman" w:hAnsi="Times New Roman"/>
          <w:sz w:val="21"/>
        </w:rPr>
        <w:t xml:space="preserve"> and Yaqin PANG</w:t>
      </w:r>
      <w:r>
        <w:rPr>
          <w:rFonts w:ascii="Times New Roman" w:hAnsi="Times New Roman"/>
          <w:sz w:val="21"/>
          <w:vertAlign w:val="superscript"/>
        </w:rPr>
        <w:t>3–6,*</w:t>
      </w:r>
    </w:p>
    <w:p w14:paraId="4B782BB5">
      <w:pPr>
        <w:spacing w:line="360" w:lineRule="auto"/>
        <w:jc w:val="left"/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 xml:space="preserve"> School of Public Health, Youjiang Medical University for Nationalities, Baise, Guangxi 533000, People's Republic of China</w:t>
      </w:r>
    </w:p>
    <w:p w14:paraId="69B680CB">
      <w:pPr>
        <w:spacing w:line="360" w:lineRule="auto"/>
        <w:jc w:val="left"/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z w:val="20"/>
        </w:rPr>
        <w:t xml:space="preserve"> School of Humanities and Management, Youjiang Medical University for Nationalities, Baise, Guangxi 533000, People's Republic of China</w:t>
      </w:r>
    </w:p>
    <w:p w14:paraId="0EE638D4">
      <w:pPr>
        <w:spacing w:line="360" w:lineRule="auto"/>
        <w:jc w:val="left"/>
      </w:pPr>
      <w:r>
        <w:rPr>
          <w:rFonts w:ascii="Times New Roman" w:hAnsi="Times New Roman"/>
          <w:sz w:val="20"/>
          <w:vertAlign w:val="superscript"/>
        </w:rPr>
        <w:t>3</w:t>
      </w:r>
      <w:r>
        <w:rPr>
          <w:rFonts w:ascii="Times New Roman" w:hAnsi="Times New Roman"/>
          <w:sz w:val="20"/>
        </w:rPr>
        <w:t xml:space="preserve"> School of Medical Laboratory Medicine, Youjiang Medical University for Nationalities, Baise, Guangxi 533000, People's Republic of China</w:t>
      </w:r>
    </w:p>
    <w:p w14:paraId="6E4031CC">
      <w:pPr>
        <w:spacing w:line="360" w:lineRule="auto"/>
        <w:jc w:val="left"/>
      </w:pP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z w:val="20"/>
        </w:rPr>
        <w:t xml:space="preserve"> Key Laboratory of Environmental and Population Health Research, Ecological Aluminum Industrial Base of Guangxi Universities, Baise, Guangxi 533000, People's Republic of China</w:t>
      </w:r>
    </w:p>
    <w:p w14:paraId="70AB91A0">
      <w:pPr>
        <w:spacing w:line="360" w:lineRule="auto"/>
        <w:jc w:val="left"/>
      </w:pPr>
      <w:r>
        <w:rPr>
          <w:rFonts w:ascii="Times New Roman" w:hAnsi="Times New Roman"/>
          <w:sz w:val="20"/>
          <w:vertAlign w:val="superscript"/>
        </w:rPr>
        <w:t>5</w:t>
      </w:r>
      <w:r>
        <w:rPr>
          <w:rFonts w:ascii="Times New Roman" w:hAnsi="Times New Roman"/>
          <w:sz w:val="20"/>
        </w:rPr>
        <w:t xml:space="preserve"> Key Laboratory for Environmental Pollution and Health Risk Assessment, Youjiang Medical University for Nationalities, Baise, Guangxi 533000, People's Republic of China</w:t>
      </w:r>
    </w:p>
    <w:p w14:paraId="7A1E8135">
      <w:pPr>
        <w:spacing w:line="360" w:lineRule="auto"/>
        <w:jc w:val="left"/>
      </w:pPr>
      <w:r>
        <w:rPr>
          <w:rFonts w:ascii="Times New Roman" w:hAnsi="Times New Roman"/>
          <w:sz w:val="20"/>
          <w:vertAlign w:val="superscript"/>
        </w:rPr>
        <w:t>6</w:t>
      </w:r>
      <w:r>
        <w:rPr>
          <w:rFonts w:ascii="Times New Roman" w:hAnsi="Times New Roman"/>
          <w:sz w:val="20"/>
        </w:rPr>
        <w:t xml:space="preserve"> Modern Industrial College of Biomedicine and Great Health, Youjiang Medical University for Nationalities, Baise, Guangxi 533000, People's Republic of China</w:t>
      </w:r>
    </w:p>
    <w:p w14:paraId="16FA19EF">
      <w:pPr>
        <w:spacing w:line="360" w:lineRule="auto"/>
        <w:jc w:val="left"/>
      </w:pPr>
      <w:r>
        <w:rPr>
          <w:rFonts w:ascii="Times New Roman" w:hAnsi="Times New Roman"/>
          <w:sz w:val="19"/>
        </w:rPr>
        <w:t>* Correspondence: Yinxia LIN, School of Public Health, Youjiang Medical University for Nationalities, No. 98 Chengxiang Road, Youjiang District, Baise, Guangxi 533000, People's Republic of China. E-mail: lin1837731@163.com; Yaqin PANG, School of Medical Laboratory Medicine, Youjiang Medical University for Nationalities, No. 98 Chengxiang Road, Youjiang District, Baise, Guangxi 533000, People's Republic of China. E-mail: pangyaqin@126.com.</w:t>
      </w:r>
    </w:p>
    <w:p w14:paraId="2AFD8C4F">
      <w:r>
        <w:rPr>
          <w:rFonts w:ascii="Times New Roman" w:hAnsi="Times New Roman"/>
          <w:sz w:val="19"/>
        </w:rPr>
        <w:t>Telephone (Yaqin PANG): +86 139 7762 6390. Fax: not available.</w:t>
      </w:r>
    </w:p>
    <w:p w14:paraId="6C5FE11B"/>
    <w:p w14:paraId="39E5806D">
      <w:pPr>
        <w:keepNext/>
        <w:spacing w:before="120" w:after="120" w:line="240" w:lineRule="auto"/>
        <w:jc w:val="left"/>
      </w:pPr>
      <w:r>
        <w:rPr>
          <w:rFonts w:ascii="Times New Roman" w:hAnsi="Times New Roman" w:eastAsia="Times New Roman"/>
          <w:b/>
          <w:sz w:val="22"/>
        </w:rPr>
        <w:t>Supplementary Table S1. Complete linear regression models for inflammatory marker tertiles and serum uric acid</w:t>
      </w:r>
    </w:p>
    <w:tbl>
      <w:tblPr>
        <w:tblStyle w:val="32"/>
        <w:tblW w:w="0" w:type="auto"/>
        <w:jc w:val="center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906"/>
        <w:gridCol w:w="1906"/>
        <w:gridCol w:w="1906"/>
        <w:gridCol w:w="1906"/>
        <w:gridCol w:w="1906"/>
        <w:gridCol w:w="1906"/>
        <w:gridCol w:w="1906"/>
      </w:tblGrid>
      <w:tr w14:paraId="7EC1B191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191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21778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5"/>
              </w:rPr>
              <w:t>Marker</w:t>
            </w:r>
          </w:p>
        </w:tc>
        <w:tc>
          <w:tcPr>
            <w:tcW w:w="1361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618D13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5"/>
              </w:rPr>
              <w:t>Comparison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016E5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5"/>
              </w:rPr>
              <w:t>Model 1, β (95% CI)</w:t>
            </w:r>
          </w:p>
        </w:tc>
        <w:tc>
          <w:tcPr>
            <w:tcW w:w="850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98D2FF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5"/>
              </w:rPr>
              <w:t>p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3279D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5"/>
              </w:rPr>
              <w:t>Model 2, β (95% CI)</w:t>
            </w:r>
          </w:p>
        </w:tc>
        <w:tc>
          <w:tcPr>
            <w:tcW w:w="850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BAD9B2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5"/>
              </w:rPr>
              <w:t>p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5B7696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5"/>
              </w:rPr>
              <w:t>Model 3, β (95% CI)</w:t>
            </w:r>
          </w:p>
        </w:tc>
        <w:tc>
          <w:tcPr>
            <w:tcW w:w="850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EE71D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5"/>
              </w:rPr>
              <w:t>p</w:t>
            </w:r>
          </w:p>
        </w:tc>
      </w:tr>
      <w:tr w14:paraId="26492DE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A5485C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SIRI</w:t>
            </w:r>
          </w:p>
        </w:tc>
        <w:tc>
          <w:tcPr>
            <w:tcW w:w="136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F5DE4E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T2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E98B8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17.90 (3.68–32.13)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89E65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0.014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68B2A7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9.93 (−1.91–21.76)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F8D40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0.100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EE2F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8.01 (−3.65–19.66)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A5F0C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0.178</w:t>
            </w:r>
          </w:p>
        </w:tc>
      </w:tr>
      <w:tr w14:paraId="36277C7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983719">
            <w:pPr>
              <w:spacing w:before="0" w:after="0" w:line="240" w:lineRule="auto"/>
              <w:jc w:val="left"/>
            </w:pPr>
          </w:p>
        </w:tc>
        <w:tc>
          <w:tcPr>
            <w:tcW w:w="136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186E5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T3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F4F65E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25.22 (10.98–39.46)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B045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&lt;0.001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CE8304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10.67 (−1.26–22.59)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6488F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0.079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5B8A8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9.68 (−2.16–21.52)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27659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0.109</w:t>
            </w:r>
          </w:p>
        </w:tc>
      </w:tr>
      <w:tr w14:paraId="5F629E5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2F2FBF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NLR</w:t>
            </w:r>
          </w:p>
        </w:tc>
        <w:tc>
          <w:tcPr>
            <w:tcW w:w="136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C5AEB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T2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D446C1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−7.50 (−21.81–6.82)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43B51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0.304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B317EC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−2.71 (−14.55–9.13)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DA9F0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0.653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78CC9D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−3.30 (−15.13–8.53)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F00F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0.584</w:t>
            </w:r>
          </w:p>
        </w:tc>
      </w:tr>
      <w:tr w14:paraId="1FAB5E93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ED82B66">
            <w:pPr>
              <w:spacing w:before="0" w:after="0" w:line="240" w:lineRule="auto"/>
              <w:jc w:val="left"/>
            </w:pPr>
          </w:p>
        </w:tc>
        <w:tc>
          <w:tcPr>
            <w:tcW w:w="136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3D725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T3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805BE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−8.58 (−22.90–5.75)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B587B0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0.240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AF9447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−2.96 (−14.82–8.90)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08DA8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0.625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685564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−3.09 (−14.86–8.68)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EFFC0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0.606</w:t>
            </w:r>
          </w:p>
        </w:tc>
      </w:tr>
      <w:tr w14:paraId="1D55B0A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B2199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MLR</w:t>
            </w:r>
          </w:p>
        </w:tc>
        <w:tc>
          <w:tcPr>
            <w:tcW w:w="136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FB38A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T2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CAC761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11.49 (−2.82–25.80)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75DD5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0.115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5EB17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7.07 (−4.77–18.92)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38AC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0.241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5A7A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6.27 (−5.39–17.94)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E0FE9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0.292</w:t>
            </w:r>
          </w:p>
        </w:tc>
      </w:tr>
      <w:tr w14:paraId="77678C5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7ECF9C">
            <w:pPr>
              <w:spacing w:before="0" w:after="0" w:line="240" w:lineRule="auto"/>
              <w:jc w:val="left"/>
            </w:pPr>
          </w:p>
        </w:tc>
        <w:tc>
          <w:tcPr>
            <w:tcW w:w="136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08064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T3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D515DD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4.51 (−9.81–18.83)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409247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0.537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BEE7DA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−4.63 (−16.53–7.26)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E7784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0.445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94C1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−4.08 (−15.81–7.65)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054DD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0.495</w:t>
            </w:r>
          </w:p>
        </w:tc>
      </w:tr>
      <w:tr w14:paraId="0D6CA66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EAB96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SII</w:t>
            </w:r>
          </w:p>
        </w:tc>
        <w:tc>
          <w:tcPr>
            <w:tcW w:w="136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3D5736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T2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1FC749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0.77 (−13.54–15.09)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14511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0.916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BD429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6.53 (−5.30–18.36)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21DCCB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0.279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1D52D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4.66 (−7.09–16.41)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3F8FEA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0.436</w:t>
            </w:r>
          </w:p>
        </w:tc>
      </w:tr>
      <w:tr w14:paraId="5520701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D7A52B">
            <w:pPr>
              <w:spacing w:before="0" w:after="0" w:line="240" w:lineRule="auto"/>
              <w:jc w:val="left"/>
            </w:pPr>
          </w:p>
        </w:tc>
        <w:tc>
          <w:tcPr>
            <w:tcW w:w="136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D662F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T3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37643B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−7.29 (−21.61–7.04)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2DC841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0.318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54964B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10.44 (−1.50–22.38)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B677C3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0.087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17AE59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9.48 (−2.33–21.30)</w:t>
            </w:r>
          </w:p>
        </w:tc>
        <w:tc>
          <w:tcPr>
            <w:tcW w:w="85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FAD2B4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0.116</w:t>
            </w:r>
          </w:p>
        </w:tc>
      </w:tr>
    </w:tbl>
    <w:p w14:paraId="596FBD1B">
      <w:pPr>
        <w:keepNext w:val="0"/>
        <w:spacing w:before="80" w:after="0" w:line="240" w:lineRule="auto"/>
        <w:jc w:val="left"/>
      </w:pPr>
      <w:r>
        <w:rPr>
          <w:rFonts w:ascii="Times New Roman" w:hAnsi="Times New Roman" w:eastAsia="Times New Roman"/>
          <w:i/>
          <w:sz w:val="16"/>
        </w:rPr>
        <w:t xml:space="preserve">Note. </w:t>
      </w:r>
      <w:r>
        <w:rPr>
          <w:rFonts w:ascii="Times New Roman" w:hAnsi="Times New Roman" w:eastAsia="Times New Roman"/>
          <w:sz w:val="16"/>
        </w:rPr>
        <w:t>β is expressed in μmol/l. Model 1 was unadjusted; Model 2 adjusted for age and sex; Model 3 additionally adjusted for work seniority, smoking, drinking, physical activity, job category, hypertension, and hyperlipidemia. Abbreviations: SIRI, systemic inflammation response index; NLR, neutrophil-to-lymphocyte ratio; MLR, monocyte-to-lymphocyte ratio; SII, systemic immune-inflammation index; CI, confidence interval.</w:t>
      </w:r>
    </w:p>
    <w:p w14:paraId="3C9D1C8E">
      <w:r>
        <w:br w:type="page"/>
      </w:r>
    </w:p>
    <w:p w14:paraId="58539DC2">
      <w:pPr>
        <w:keepNext/>
        <w:spacing w:before="120" w:after="120" w:line="240" w:lineRule="auto"/>
        <w:jc w:val="left"/>
      </w:pPr>
      <w:r>
        <w:rPr>
          <w:rFonts w:ascii="Times New Roman" w:hAnsi="Times New Roman" w:eastAsia="Times New Roman"/>
          <w:b/>
          <w:sz w:val="22"/>
        </w:rPr>
        <w:t>Supplementary Table S2. Sequential models for joint groups of VAI and inflammatory markers</w:t>
      </w:r>
    </w:p>
    <w:tbl>
      <w:tblPr>
        <w:tblStyle w:val="32"/>
        <w:tblW w:w="0" w:type="auto"/>
        <w:jc w:val="center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906"/>
        <w:gridCol w:w="1906"/>
        <w:gridCol w:w="1906"/>
        <w:gridCol w:w="1906"/>
        <w:gridCol w:w="1906"/>
        <w:gridCol w:w="1906"/>
        <w:gridCol w:w="1906"/>
      </w:tblGrid>
      <w:tr w14:paraId="60481F37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020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A81630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Marker</w:t>
            </w:r>
          </w:p>
        </w:tc>
        <w:tc>
          <w:tcPr>
            <w:tcW w:w="2324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45DBFA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Joint group</w:t>
            </w:r>
          </w:p>
        </w:tc>
        <w:tc>
          <w:tcPr>
            <w:tcW w:w="2608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188E7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Model 1, β (95% CI)</w:t>
            </w:r>
          </w:p>
        </w:tc>
        <w:tc>
          <w:tcPr>
            <w:tcW w:w="737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F315A1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p</w:t>
            </w:r>
          </w:p>
        </w:tc>
        <w:tc>
          <w:tcPr>
            <w:tcW w:w="2608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24D9EA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Model 2, β (95% CI)</w:t>
            </w:r>
          </w:p>
        </w:tc>
        <w:tc>
          <w:tcPr>
            <w:tcW w:w="737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2CD4A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p</w:t>
            </w:r>
          </w:p>
        </w:tc>
        <w:tc>
          <w:tcPr>
            <w:tcW w:w="2608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FEE62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Model 3, β (95% CI)</w:t>
            </w:r>
          </w:p>
        </w:tc>
        <w:tc>
          <w:tcPr>
            <w:tcW w:w="737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A4E6B3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p</w:t>
            </w:r>
          </w:p>
        </w:tc>
      </w:tr>
      <w:tr w14:paraId="708E6A5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AEFFA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SIRI</w:t>
            </w: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D1DF0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Low VAI + low SIRI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ED25C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54B95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4E7DE5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AF081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B5344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2718E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</w:tr>
      <w:tr w14:paraId="1E2673B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61D2C8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4BC66D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Low VAI + high SIRI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51697B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18.60 (2.80–34.41)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46F576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0.021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16EE29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13.74 (0.58–26.90)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6DDA8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0.041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442DB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13.70 (0.62–26.77)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68FCE6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0.040</w:t>
            </w:r>
          </w:p>
        </w:tc>
      </w:tr>
      <w:tr w14:paraId="56070E3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AC32A1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BFE062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High VAI + low SIRI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CE19D0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61.27 (45.47–77.08)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68AEAB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AE59C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53.20 (39.95–66.45)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AEE84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353D00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49.88 (36.57–63.20)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4A33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 w14:paraId="33C46DA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F8C295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85CA8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High VAI + high SIRI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4CEC5D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68.04 (53.42–82.67)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108B0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21C75D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50.53 (38.10–62.96)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44669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3C0BA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44.72 (32.08–57.35)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91553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 w14:paraId="3761105B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60FD5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NLR</w:t>
            </w: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AC507C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Low VAI + low NLR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315EF8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E77B0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D46120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F3A3A1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27533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C18EA5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</w:tr>
      <w:tr w14:paraId="632F5A47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64B2327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E3BB8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Low VAI + high NLR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AC20E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3.18 (−12.49–18.85)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0C5240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0.691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1A0DF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9.75 (−3.28–22.78)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3ECEB8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0.142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8368A3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10.03 (−2.97–23.04)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CAD5E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0.130</w:t>
            </w:r>
          </w:p>
        </w:tc>
      </w:tr>
      <w:tr w14:paraId="67EFE81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B483CB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8BBA7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High VAI + low NLR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90251E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67.68 (52.01–83.35)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758878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9E6754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56.23 (43.06–69.40)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D2510E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D571EF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51.77 (38.53–65.01)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60AFB2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 w14:paraId="6D052301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48557FC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A97C3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High VAI + high NLR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157EC3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50.58 (35.31–65.84)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E5F86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ED2B7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45.06 (32.26–57.86)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5503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FDA06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40.45 (27.53–53.38)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8C40D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 w14:paraId="395ACF0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7B6407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MLR</w:t>
            </w: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6C863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Low VAI + low MLR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574E4B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B1B7E5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35A94F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A86506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9456B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829BD8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</w:tr>
      <w:tr w14:paraId="5E37BD5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AB8570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D2587A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Low VAI + high MLR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562CF6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5.35 (−10.29–21.00)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4B9B9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0.502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7233AD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1.13 (−11.92–14.17)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8B674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0.866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CF3A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1.89 (−11.08–14.86)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F2F1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0.775</w:t>
            </w:r>
          </w:p>
        </w:tc>
      </w:tr>
      <w:tr w14:paraId="6D1C0B9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35FC9B0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AC0D6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High VAI + low MLR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C8C450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50.95 (35.30–66.59)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D82C98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9805E5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44.33 (31.18–57.47)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61D36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4AD59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40.25 (27.07–53.44)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A4787D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 w14:paraId="167A32F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A55E7E2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20954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High VAI + high MLR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A36A5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68.62 (53.03–84.21)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BCD66F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D81077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48.27 (34.98–61.55)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B7155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557975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43.83 (30.46–57.20)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EE31E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 w14:paraId="4DDA009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360B0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SII</w:t>
            </w: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76881F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Low VAI + low SII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99A1CE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22FF03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48134D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1D18F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83D37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Reference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44E0A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—</w:t>
            </w:r>
          </w:p>
        </w:tc>
      </w:tr>
      <w:tr w14:paraId="27F423C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39BA9C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B1BDE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Low VAI + high SII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4F0B8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−9.14 (−24.89–6.61)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3B20D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0.255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C0DA5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7.99 (−5.23–21.21)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B0D25C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0.236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118DB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7.76 (−5.39–20.91)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40C6C8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0.247</w:t>
            </w:r>
          </w:p>
        </w:tc>
      </w:tr>
      <w:tr w14:paraId="1EC79F6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7A1E0ED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CAA496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High VAI + low SII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B5BBF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63.90 (48.15–79.65)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74F9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3D9398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51.78 (38.51–65.04)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200717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C82C11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47.98 (34.66–61.30)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87F155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 w14:paraId="059E2D9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AD8065">
            <w:pPr>
              <w:spacing w:before="0" w:after="0" w:line="240" w:lineRule="auto"/>
              <w:jc w:val="left"/>
            </w:pPr>
          </w:p>
        </w:tc>
        <w:tc>
          <w:tcPr>
            <w:tcW w:w="232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7B2E19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High VAI + high SII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138B4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44.78 (30.02–59.53)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FD3F0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EE92B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47.14 (34.75–59.52)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32AD8D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  <w:tc>
          <w:tcPr>
            <w:tcW w:w="260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267DE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41.61 (29.02–54.20)</w:t>
            </w:r>
          </w:p>
        </w:tc>
        <w:tc>
          <w:tcPr>
            <w:tcW w:w="73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F3C81F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</w:tbl>
    <w:p w14:paraId="1E373E97">
      <w:pPr>
        <w:keepNext w:val="0"/>
        <w:spacing w:before="80" w:after="0" w:line="240" w:lineRule="auto"/>
        <w:jc w:val="left"/>
      </w:pPr>
      <w:r>
        <w:rPr>
          <w:rFonts w:ascii="Times New Roman" w:hAnsi="Times New Roman" w:eastAsia="Times New Roman"/>
          <w:i/>
          <w:sz w:val="16"/>
        </w:rPr>
        <w:t xml:space="preserve">Note. </w:t>
      </w:r>
      <w:r>
        <w:rPr>
          <w:rFonts w:ascii="Times New Roman" w:hAnsi="Times New Roman" w:eastAsia="Times New Roman"/>
          <w:sz w:val="16"/>
        </w:rPr>
        <w:t>The low-VAI/low-inflammation group was the reference. β is expressed in μmol/l. Model definitions are provided in Supplementary Table S1.</w:t>
      </w:r>
    </w:p>
    <w:p w14:paraId="69A929BF">
      <w:r>
        <w:br w:type="page"/>
      </w:r>
    </w:p>
    <w:p w14:paraId="7E566670">
      <w:pPr>
        <w:keepNext/>
        <w:spacing w:before="120" w:after="120" w:line="240" w:lineRule="auto"/>
        <w:jc w:val="left"/>
      </w:pPr>
      <w:r>
        <w:rPr>
          <w:rFonts w:ascii="Times New Roman" w:hAnsi="Times New Roman" w:eastAsia="Times New Roman"/>
          <w:b/>
          <w:sz w:val="22"/>
        </w:rPr>
        <w:t>Supplementary Table S3. Logistic regression sensitivity analysis with hyperuricemia as the outcome</w:t>
      </w:r>
    </w:p>
    <w:tbl>
      <w:tblPr>
        <w:tblStyle w:val="32"/>
        <w:tblW w:w="0" w:type="auto"/>
        <w:jc w:val="center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2"/>
        <w:gridCol w:w="3812"/>
        <w:gridCol w:w="3812"/>
        <w:gridCol w:w="3812"/>
      </w:tblGrid>
      <w:tr w14:paraId="117445A1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268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119F5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Analysis</w:t>
            </w:r>
          </w:p>
        </w:tc>
        <w:tc>
          <w:tcPr>
            <w:tcW w:w="5669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A9172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Comparison</w:t>
            </w:r>
          </w:p>
        </w:tc>
        <w:tc>
          <w:tcPr>
            <w:tcW w:w="2438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20CA32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OR (95% CI)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76BE47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p value</w:t>
            </w:r>
          </w:p>
        </w:tc>
      </w:tr>
      <w:tr w14:paraId="78B91B29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368DD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VAI</w:t>
            </w: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ED966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2F11E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Reference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D7F2F3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</w:tr>
      <w:tr w14:paraId="351065DA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DAD6A99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1255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T2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3E7267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1.93 (1.22–3.08)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E7FDA6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0.005</w:t>
            </w:r>
          </w:p>
        </w:tc>
      </w:tr>
      <w:tr w14:paraId="6D43476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D5E36D2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1964E9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T3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C291E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4.65 (3.01–7.32)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5FDB3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 w14:paraId="57B765B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7CA931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SIRI</w:t>
            </w: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63B225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6C6ECF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Reference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B5B48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</w:tr>
      <w:tr w14:paraId="7B7CA67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12AEA46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8A686E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T2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BA0AD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1.01 (0.68–1.51)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D80923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0.965</w:t>
            </w:r>
          </w:p>
        </w:tc>
      </w:tr>
      <w:tr w14:paraId="359343D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35B017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C7190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T3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9CCC5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1.20 (0.80–1.78)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90940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0.375</w:t>
            </w:r>
          </w:p>
        </w:tc>
      </w:tr>
      <w:tr w14:paraId="5ACE0F3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E384D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NLR</w:t>
            </w: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7B80CF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6DABEA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Reference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BC4A6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</w:tr>
      <w:tr w14:paraId="63B7FFC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7B5D73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C58CF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T2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3C73A9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0.89 (0.60–1.33)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790DF7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0.575</w:t>
            </w:r>
          </w:p>
        </w:tc>
      </w:tr>
      <w:tr w14:paraId="04546C2A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20918DD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6BCCC4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T3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6C927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0.99 (0.67–1.46)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56FE2A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0.951</w:t>
            </w:r>
          </w:p>
        </w:tc>
      </w:tr>
      <w:tr w14:paraId="51CB533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8EB56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MLR</w:t>
            </w: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80CCA2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6242C7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Reference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762C3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</w:tr>
      <w:tr w14:paraId="0CBEE83B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ABAC2B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D9C72C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T2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5089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1.20 (0.81–1.77)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2B87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0.365</w:t>
            </w:r>
          </w:p>
        </w:tc>
      </w:tr>
      <w:tr w14:paraId="0AFFDC84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5AE6A9A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E2A3A8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T3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18DB5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0.98 (0.66–1.46)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750865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0.927</w:t>
            </w:r>
          </w:p>
        </w:tc>
      </w:tr>
      <w:tr w14:paraId="27A9952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654266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SII</w:t>
            </w: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D79B1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1F57D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Reference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AE88FF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</w:tr>
      <w:tr w14:paraId="50F8EBA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39AB98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0D81F1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T2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FF4C1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1.15 (0.78–1.72)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1244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0.482</w:t>
            </w:r>
          </w:p>
        </w:tc>
      </w:tr>
      <w:tr w14:paraId="4EE3AF3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C87F8A2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E2AFC6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T3 vs T1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1A95F8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1.39 (0.93–2.08)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8CAC1A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0.108</w:t>
            </w:r>
          </w:p>
        </w:tc>
      </w:tr>
      <w:tr w14:paraId="43F2476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7B1DA9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VAI–SIRI joint group</w:t>
            </w: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FBC00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Low VAI + high SIRI vs low VAI + low SIRI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DD14C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3.46 (2.14–5.72)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F2752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 w14:paraId="70CFEC2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715573F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139A8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High VAI + low SIRI vs low VAI + low SIRI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BDE9A7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3.99 (2.42–6.72)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BFFBE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 w14:paraId="2AFBB5F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D13D857">
            <w:pPr>
              <w:spacing w:before="0" w:after="0" w:line="240" w:lineRule="auto"/>
              <w:jc w:val="left"/>
            </w:pP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8720A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High VAI + high SIRI vs low VAI + low SIRI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F86A95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1.73 (1.01–3.00)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89DD9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0.046</w:t>
            </w:r>
          </w:p>
        </w:tc>
      </w:tr>
      <w:tr w14:paraId="140E4BF9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0EAD0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Interaction</w:t>
            </w:r>
          </w:p>
        </w:tc>
        <w:tc>
          <w:tcPr>
            <w:tcW w:w="56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223F46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VAI×SIRI</w:t>
            </w:r>
          </w:p>
        </w:tc>
        <w:tc>
          <w:tcPr>
            <w:tcW w:w="24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CCDE2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0.93 (0.78–1.09)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ABD02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0.370</w:t>
            </w:r>
          </w:p>
        </w:tc>
      </w:tr>
    </w:tbl>
    <w:p w14:paraId="5D795D44">
      <w:pPr>
        <w:keepNext w:val="0"/>
        <w:spacing w:before="80" w:after="0" w:line="240" w:lineRule="auto"/>
        <w:jc w:val="left"/>
      </w:pPr>
      <w:r>
        <w:rPr>
          <w:rFonts w:ascii="Times New Roman" w:hAnsi="Times New Roman" w:eastAsia="Times New Roman"/>
          <w:i/>
          <w:sz w:val="18"/>
        </w:rPr>
        <w:t xml:space="preserve">Note. </w:t>
      </w:r>
      <w:r>
        <w:rPr>
          <w:rFonts w:ascii="Times New Roman" w:hAnsi="Times New Roman" w:eastAsia="Times New Roman"/>
          <w:sz w:val="18"/>
        </w:rPr>
        <w:t>Models were fully adjusted for age, sex, work seniority, smoking, drinking, physical activity, job category, hypertension, and hyperlipidemia. OR, odds ratio; CI, confidence interval.</w:t>
      </w:r>
    </w:p>
    <w:p w14:paraId="147F98A7">
      <w:r>
        <w:br w:type="page"/>
      </w:r>
    </w:p>
    <w:p w14:paraId="2EB5B5CB">
      <w:pPr>
        <w:keepNext/>
        <w:spacing w:before="120" w:after="120" w:line="240" w:lineRule="auto"/>
        <w:jc w:val="left"/>
      </w:pPr>
      <w:r>
        <w:rPr>
          <w:rFonts w:ascii="Times New Roman" w:hAnsi="Times New Roman" w:eastAsia="Times New Roman"/>
          <w:b/>
          <w:sz w:val="22"/>
        </w:rPr>
        <w:t>Supplementary Table S4. Sensitivity analysis after excluding participants with BMI ≥40 kg/m²</w:t>
      </w:r>
    </w:p>
    <w:tbl>
      <w:tblPr>
        <w:tblStyle w:val="32"/>
        <w:tblW w:w="0" w:type="auto"/>
        <w:jc w:val="center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2"/>
        <w:gridCol w:w="3812"/>
        <w:gridCol w:w="3812"/>
        <w:gridCol w:w="3812"/>
      </w:tblGrid>
      <w:tr w14:paraId="62F5CE9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346B30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Analysis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13143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Comparison</w:t>
            </w:r>
          </w:p>
        </w:tc>
        <w:tc>
          <w:tcPr>
            <w:tcW w:w="3402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37F8A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β (95% CI)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4CDFD5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p value</w:t>
            </w:r>
          </w:p>
        </w:tc>
      </w:tr>
      <w:tr w14:paraId="613C2133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4799F3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 tertile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957995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T2 vs T1</w:t>
            </w: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79BEFF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20.72 (9.56–31.87)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D7548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&lt;0.001</w:t>
            </w:r>
          </w:p>
        </w:tc>
      </w:tr>
      <w:tr w14:paraId="7653A2C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AF124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 tertile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63A52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T3 vs T1</w:t>
            </w: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11B710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57.11 (45.44–68.77)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08A203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&lt;0.001</w:t>
            </w:r>
          </w:p>
        </w:tc>
      </w:tr>
      <w:tr w14:paraId="2E389D1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7E5905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SIRI tertile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7505F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T2 vs T1</w:t>
            </w: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D6F32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8.01 (−3.65–19.66)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9571C6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0.178</w:t>
            </w:r>
          </w:p>
        </w:tc>
      </w:tr>
      <w:tr w14:paraId="7D48FFD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CAA72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SIRI tertile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301985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T3 vs T1</w:t>
            </w: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CD5F0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9.68 (−2.16–21.52)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AD7B2E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0.109</w:t>
            </w:r>
          </w:p>
        </w:tc>
      </w:tr>
      <w:tr w14:paraId="7241027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6BB86E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Interaction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423CEA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VAI×SIRI</w:t>
            </w: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25A20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−5.32 (−10.14 to −0.50)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0F5DE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0.031</w:t>
            </w:r>
          </w:p>
        </w:tc>
      </w:tr>
    </w:tbl>
    <w:p w14:paraId="28830AFE">
      <w:pPr>
        <w:keepNext w:val="0"/>
        <w:spacing w:before="80" w:after="0" w:line="240" w:lineRule="auto"/>
        <w:jc w:val="left"/>
      </w:pPr>
      <w:r>
        <w:rPr>
          <w:rFonts w:ascii="Times New Roman" w:hAnsi="Times New Roman" w:eastAsia="Times New Roman"/>
          <w:i/>
          <w:sz w:val="18"/>
        </w:rPr>
        <w:t xml:space="preserve">Note. </w:t>
      </w:r>
      <w:r>
        <w:rPr>
          <w:rFonts w:ascii="Times New Roman" w:hAnsi="Times New Roman" w:eastAsia="Times New Roman"/>
          <w:sz w:val="18"/>
        </w:rPr>
        <w:t>Models adjusted for age, sex, work seniority, smoking, drinking, physical activity, job category, hypertension, and hyperlipidemia. β is expressed in μmol/l.</w:t>
      </w:r>
    </w:p>
    <w:p w14:paraId="0F0B2B42">
      <w:r>
        <w:br w:type="page"/>
      </w:r>
    </w:p>
    <w:p w14:paraId="2C4C3308">
      <w:pPr>
        <w:keepNext/>
        <w:spacing w:before="120" w:after="120" w:line="240" w:lineRule="auto"/>
        <w:jc w:val="left"/>
      </w:pPr>
      <w:r>
        <w:rPr>
          <w:rFonts w:ascii="Times New Roman" w:hAnsi="Times New Roman" w:eastAsia="Times New Roman"/>
          <w:b/>
          <w:sz w:val="22"/>
        </w:rPr>
        <w:t>Supplementary Table S5. Sex-stratified associations of VAI with serum uric acid and VAI×SIRI interactions</w:t>
      </w:r>
    </w:p>
    <w:tbl>
      <w:tblPr>
        <w:tblStyle w:val="32"/>
        <w:tblW w:w="0" w:type="auto"/>
        <w:jc w:val="center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2"/>
        <w:gridCol w:w="3812"/>
        <w:gridCol w:w="3812"/>
        <w:gridCol w:w="3812"/>
      </w:tblGrid>
      <w:tr w14:paraId="3CD3B47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1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9A0C0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Sex</w:t>
            </w:r>
          </w:p>
        </w:tc>
        <w:tc>
          <w:tcPr>
            <w:tcW w:w="3402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46D54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Analysis</w:t>
            </w:r>
          </w:p>
        </w:tc>
        <w:tc>
          <w:tcPr>
            <w:tcW w:w="368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2B7F0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β (95% CI)</w:t>
            </w:r>
          </w:p>
        </w:tc>
        <w:tc>
          <w:tcPr>
            <w:tcW w:w="1247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18C34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p value</w:t>
            </w:r>
          </w:p>
        </w:tc>
      </w:tr>
      <w:tr w14:paraId="3F2A844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58220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Men</w:t>
            </w: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A106A6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 T2 vs T1</w:t>
            </w:r>
          </w:p>
        </w:tc>
        <w:tc>
          <w:tcPr>
            <w:tcW w:w="368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8612EC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19.90 (7.55–32.24)</w:t>
            </w:r>
          </w:p>
        </w:tc>
        <w:tc>
          <w:tcPr>
            <w:tcW w:w="124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49D18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0.002</w:t>
            </w:r>
          </w:p>
        </w:tc>
      </w:tr>
      <w:tr w14:paraId="3DA53C6A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391C514">
            <w:pPr>
              <w:spacing w:before="0" w:after="0" w:line="240" w:lineRule="auto"/>
              <w:jc w:val="left"/>
            </w:pP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77E32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 T3 vs T1</w:t>
            </w:r>
          </w:p>
        </w:tc>
        <w:tc>
          <w:tcPr>
            <w:tcW w:w="368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164A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57.46 (43.21–71.72)</w:t>
            </w:r>
          </w:p>
        </w:tc>
        <w:tc>
          <w:tcPr>
            <w:tcW w:w="124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5000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&lt;0.001</w:t>
            </w:r>
          </w:p>
        </w:tc>
      </w:tr>
      <w:tr w14:paraId="64CF372C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687150">
            <w:pPr>
              <w:spacing w:before="0" w:after="0" w:line="240" w:lineRule="auto"/>
              <w:jc w:val="left"/>
            </w:pP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E3854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VAI×SIRI</w:t>
            </w:r>
          </w:p>
        </w:tc>
        <w:tc>
          <w:tcPr>
            <w:tcW w:w="368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B402B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−2.35 (−7.17–2.46)</w:t>
            </w:r>
          </w:p>
        </w:tc>
        <w:tc>
          <w:tcPr>
            <w:tcW w:w="124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5ADBF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0.338</w:t>
            </w:r>
          </w:p>
        </w:tc>
      </w:tr>
      <w:tr w14:paraId="3AC50526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1C33D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Women</w:t>
            </w: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C0EAFC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 T2 vs T1</w:t>
            </w:r>
          </w:p>
        </w:tc>
        <w:tc>
          <w:tcPr>
            <w:tcW w:w="368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7A487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20.88 (1.13–40.63)</w:t>
            </w:r>
          </w:p>
        </w:tc>
        <w:tc>
          <w:tcPr>
            <w:tcW w:w="124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4C059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0.038</w:t>
            </w:r>
          </w:p>
        </w:tc>
      </w:tr>
      <w:tr w14:paraId="50B7A82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7A4F5F2">
            <w:pPr>
              <w:spacing w:before="0" w:after="0" w:line="240" w:lineRule="auto"/>
              <w:jc w:val="left"/>
            </w:pP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54786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 T3 vs T1</w:t>
            </w:r>
          </w:p>
        </w:tc>
        <w:tc>
          <w:tcPr>
            <w:tcW w:w="368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A232A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53.88 (35.11–72.66)</w:t>
            </w:r>
          </w:p>
        </w:tc>
        <w:tc>
          <w:tcPr>
            <w:tcW w:w="124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0A45B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&lt;0.001</w:t>
            </w:r>
          </w:p>
        </w:tc>
      </w:tr>
      <w:tr w14:paraId="331A0BD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B507D4">
            <w:pPr>
              <w:spacing w:before="0" w:after="0" w:line="240" w:lineRule="auto"/>
              <w:jc w:val="left"/>
            </w:pPr>
          </w:p>
        </w:tc>
        <w:tc>
          <w:tcPr>
            <w:tcW w:w="3402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D4D11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VAI×SIRI</w:t>
            </w:r>
          </w:p>
        </w:tc>
        <w:tc>
          <w:tcPr>
            <w:tcW w:w="368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F8DBB4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−17.08 (−28.78 to −5.38)</w:t>
            </w:r>
          </w:p>
        </w:tc>
        <w:tc>
          <w:tcPr>
            <w:tcW w:w="124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2D6864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0.004</w:t>
            </w:r>
          </w:p>
        </w:tc>
      </w:tr>
    </w:tbl>
    <w:p w14:paraId="36C92304">
      <w:pPr>
        <w:keepNext w:val="0"/>
        <w:spacing w:before="80" w:after="0" w:line="240" w:lineRule="auto"/>
        <w:jc w:val="left"/>
      </w:pPr>
      <w:r>
        <w:rPr>
          <w:rFonts w:ascii="Times New Roman" w:hAnsi="Times New Roman" w:eastAsia="Times New Roman"/>
          <w:i/>
          <w:sz w:val="18"/>
        </w:rPr>
        <w:t xml:space="preserve">Note. </w:t>
      </w:r>
      <w:r>
        <w:rPr>
          <w:rFonts w:ascii="Times New Roman" w:hAnsi="Times New Roman" w:eastAsia="Times New Roman"/>
          <w:sz w:val="18"/>
        </w:rPr>
        <w:t>Sex-stratified models adjusted for all covariates except sex. β is expressed in μmol/l.</w:t>
      </w:r>
    </w:p>
    <w:p w14:paraId="1D8479A0">
      <w:r>
        <w:br w:type="page"/>
      </w:r>
    </w:p>
    <w:p w14:paraId="4379DC6F">
      <w:pPr>
        <w:keepNext/>
        <w:spacing w:before="120" w:after="120" w:line="240" w:lineRule="auto"/>
        <w:jc w:val="left"/>
      </w:pPr>
      <w:r>
        <w:rPr>
          <w:rFonts w:ascii="Times New Roman" w:hAnsi="Times New Roman" w:eastAsia="Times New Roman"/>
          <w:b/>
          <w:sz w:val="22"/>
        </w:rPr>
        <w:t>Supplementary Table S6. Collinearity diagnostics for the multivariable models</w:t>
      </w:r>
    </w:p>
    <w:tbl>
      <w:tblPr>
        <w:tblStyle w:val="32"/>
        <w:tblW w:w="0" w:type="auto"/>
        <w:jc w:val="center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2"/>
        <w:gridCol w:w="3812"/>
        <w:gridCol w:w="3812"/>
        <w:gridCol w:w="3812"/>
      </w:tblGrid>
      <w:tr w14:paraId="2F46F894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3969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02347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Main-effect model variable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EE63B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VIF</w:t>
            </w:r>
          </w:p>
        </w:tc>
        <w:tc>
          <w:tcPr>
            <w:tcW w:w="3969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F2C337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Interaction model variable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CE119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VIF</w:t>
            </w:r>
          </w:p>
        </w:tc>
      </w:tr>
      <w:tr w14:paraId="554AF5D3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D5080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75FE6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1.047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583EE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98208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1.025</w:t>
            </w:r>
          </w:p>
        </w:tc>
      </w:tr>
      <w:tr w14:paraId="6234292B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2832A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SIRI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DE9BE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1.026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9E79C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SIRI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FBA61F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1.025</w:t>
            </w:r>
          </w:p>
        </w:tc>
      </w:tr>
      <w:tr w14:paraId="79B34617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9938AD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Age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DB47DA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1.631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1092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Age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76CF6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1.631</w:t>
            </w:r>
          </w:p>
        </w:tc>
      </w:tr>
      <w:tr w14:paraId="500CF3BB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4E5EF1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Sex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F7F28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1.252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CBEECD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Sex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760B1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1.252</w:t>
            </w:r>
          </w:p>
        </w:tc>
      </w:tr>
      <w:tr w14:paraId="4C344D6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71EE3A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Work seniority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4B0665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1.671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F4200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Work seniority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44D99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1.671</w:t>
            </w:r>
          </w:p>
        </w:tc>
      </w:tr>
      <w:tr w14:paraId="776B24A9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16C9A0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Smoking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B2426C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1.251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654DE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Smoking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1B32E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1.252</w:t>
            </w:r>
          </w:p>
        </w:tc>
      </w:tr>
      <w:tr w14:paraId="18E19F0D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A2B24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Drinking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DF85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1.160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783C1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Drinking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4CA06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1.160</w:t>
            </w:r>
          </w:p>
        </w:tc>
      </w:tr>
      <w:tr w14:paraId="68087A0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51A2F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Physical activity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4FFD22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1.007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AE954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Physical activity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DAF9F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1.008</w:t>
            </w:r>
          </w:p>
        </w:tc>
      </w:tr>
      <w:tr w14:paraId="7C1087C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34BAE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Job category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4AC4E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1.027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82712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Job category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CA43B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1.027</w:t>
            </w:r>
          </w:p>
        </w:tc>
      </w:tr>
      <w:tr w14:paraId="3D808E9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A6F2EC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Hypertension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72912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1.097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D431B6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Hypertension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A4672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1.098</w:t>
            </w:r>
          </w:p>
        </w:tc>
      </w:tr>
      <w:tr w14:paraId="37A4E2EB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E7886D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Hyperlipidemia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CCFE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1.067</w:t>
            </w:r>
          </w:p>
        </w:tc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D17D0A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Hyperlipidemia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B3F1E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1.069</w:t>
            </w:r>
          </w:p>
        </w:tc>
      </w:tr>
    </w:tbl>
    <w:p w14:paraId="7920B27F">
      <w:pPr>
        <w:keepNext w:val="0"/>
        <w:spacing w:before="80" w:after="0" w:line="240" w:lineRule="auto"/>
        <w:jc w:val="left"/>
      </w:pPr>
      <w:r>
        <w:rPr>
          <w:rFonts w:ascii="Times New Roman" w:hAnsi="Times New Roman" w:eastAsia="Times New Roman"/>
          <w:i/>
          <w:sz w:val="18"/>
        </w:rPr>
        <w:t xml:space="preserve">Note. </w:t>
      </w:r>
      <w:r>
        <w:rPr>
          <w:rFonts w:ascii="Times New Roman" w:hAnsi="Times New Roman" w:eastAsia="Times New Roman"/>
          <w:sz w:val="18"/>
        </w:rPr>
        <w:t>VIF &lt;5 was considered to indicate no important multicollinearity. VIF, variance inflation factor.</w:t>
      </w:r>
    </w:p>
    <w:p w14:paraId="0FD7FA02">
      <w:r>
        <w:br w:type="page"/>
      </w:r>
    </w:p>
    <w:p w14:paraId="4DE4AE1F">
      <w:pPr>
        <w:keepNext/>
        <w:spacing w:before="120" w:after="120" w:line="240" w:lineRule="auto"/>
        <w:jc w:val="left"/>
      </w:pPr>
      <w:r>
        <w:rPr>
          <w:rFonts w:ascii="Times New Roman" w:hAnsi="Times New Roman" w:eastAsia="Times New Roman"/>
          <w:b/>
          <w:sz w:val="22"/>
        </w:rPr>
        <w:t>Supplementary Table S7. Linear regression sensitivity analysis using HC3 robust standard errors</w:t>
      </w:r>
    </w:p>
    <w:tbl>
      <w:tblPr>
        <w:tblStyle w:val="32"/>
        <w:tblW w:w="0" w:type="auto"/>
        <w:jc w:val="center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2"/>
        <w:gridCol w:w="3812"/>
        <w:gridCol w:w="3812"/>
        <w:gridCol w:w="3812"/>
      </w:tblGrid>
      <w:tr w14:paraId="44C12560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5B388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Model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15810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Comparison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8E9185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β (robust SE)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1496D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p value</w:t>
            </w:r>
          </w:p>
        </w:tc>
      </w:tr>
      <w:tr w14:paraId="2CAC625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1C5D7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 tertile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22682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T2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AD287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20.72 (5.30)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8D8BF1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&lt;0.001</w:t>
            </w:r>
          </w:p>
        </w:tc>
      </w:tr>
      <w:tr w14:paraId="021A9B89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5B6045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 tertile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00B5B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T3 vs T1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63358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57.11 (6.00)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B7EAA0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&lt;0.001</w:t>
            </w:r>
          </w:p>
        </w:tc>
      </w:tr>
      <w:tr w14:paraId="446826A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9C3BC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Interaction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F7F3B1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VAI×SIRI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B0B9B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−5.32 (6.54)</w:t>
            </w:r>
          </w:p>
        </w:tc>
        <w:tc>
          <w:tcPr>
            <w:tcW w:w="113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33D4E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0.416</w:t>
            </w:r>
          </w:p>
        </w:tc>
      </w:tr>
    </w:tbl>
    <w:p w14:paraId="5C5FA183">
      <w:pPr>
        <w:keepNext w:val="0"/>
        <w:spacing w:before="80" w:after="0" w:line="240" w:lineRule="auto"/>
        <w:jc w:val="left"/>
      </w:pPr>
      <w:r>
        <w:rPr>
          <w:rFonts w:ascii="Times New Roman" w:hAnsi="Times New Roman" w:eastAsia="Times New Roman"/>
          <w:i/>
          <w:sz w:val="18"/>
        </w:rPr>
        <w:t xml:space="preserve">Note. </w:t>
      </w:r>
      <w:r>
        <w:rPr>
          <w:rFonts w:ascii="Times New Roman" w:hAnsi="Times New Roman" w:eastAsia="Times New Roman"/>
          <w:sz w:val="18"/>
        </w:rPr>
        <w:t>HC3 heteroscedasticity-consistent standard errors were used. β is expressed in μmol/l; SE, standard error.</w:t>
      </w:r>
    </w:p>
    <w:p w14:paraId="3247F2F7">
      <w:r>
        <w:br w:type="page"/>
      </w:r>
    </w:p>
    <w:p w14:paraId="55F61441">
      <w:pPr>
        <w:keepNext/>
        <w:spacing w:before="120" w:after="120" w:line="240" w:lineRule="auto"/>
        <w:jc w:val="left"/>
      </w:pPr>
      <w:r>
        <w:rPr>
          <w:rFonts w:ascii="Times New Roman" w:hAnsi="Times New Roman" w:eastAsia="Times New Roman"/>
          <w:b/>
          <w:sz w:val="22"/>
        </w:rPr>
        <w:t>Supplementary Table S8. False-discovery-rate correction for VAI–inflammatory marker interactions</w:t>
      </w:r>
    </w:p>
    <w:tbl>
      <w:tblPr>
        <w:tblStyle w:val="32"/>
        <w:tblW w:w="0" w:type="auto"/>
        <w:jc w:val="center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5083"/>
        <w:gridCol w:w="5083"/>
      </w:tblGrid>
      <w:tr w14:paraId="5C47C735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3969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64F5ED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Inflammatory marker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FB0C3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Unadjusted p value</w:t>
            </w:r>
          </w:p>
        </w:tc>
        <w:tc>
          <w:tcPr>
            <w:tcW w:w="3118" w:type="dxa"/>
            <w:tcBorders>
              <w:bottom w:val="single" w:color="000000" w:sz="8" w:space="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351426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FDR-adjusted p value</w:t>
            </w:r>
          </w:p>
        </w:tc>
      </w:tr>
      <w:tr w14:paraId="7CB45A3E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FC7BFF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SIRI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D9751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0.031</w:t>
            </w:r>
          </w:p>
        </w:tc>
        <w:tc>
          <w:tcPr>
            <w:tcW w:w="31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C6EB95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0.041</w:t>
            </w:r>
          </w:p>
        </w:tc>
      </w:tr>
      <w:tr w14:paraId="3E410312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262E2D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NLR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FD8A84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0.003</w:t>
            </w:r>
          </w:p>
        </w:tc>
        <w:tc>
          <w:tcPr>
            <w:tcW w:w="31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074D0D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0.011</w:t>
            </w:r>
          </w:p>
        </w:tc>
      </w:tr>
      <w:tr w14:paraId="4F1C40DF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01140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MLR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A10D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0.244</w:t>
            </w:r>
          </w:p>
        </w:tc>
        <w:tc>
          <w:tcPr>
            <w:tcW w:w="31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E91E72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0.244</w:t>
            </w:r>
          </w:p>
        </w:tc>
      </w:tr>
      <w:tr w14:paraId="791F2BF8">
        <w:tblPrEx>
          <w:tblBorders>
            <w:top w:val="single" w:color="000000" w:sz="10" w:space="0"/>
            <w:left w:val="none" w:color="auto" w:sz="0" w:space="0"/>
            <w:bottom w:val="single" w:color="000000" w:sz="1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A4461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SII</w:t>
            </w:r>
          </w:p>
        </w:tc>
        <w:tc>
          <w:tcPr>
            <w:tcW w:w="283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A604C9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0.022</w:t>
            </w:r>
          </w:p>
        </w:tc>
        <w:tc>
          <w:tcPr>
            <w:tcW w:w="31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FB934F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0.041</w:t>
            </w:r>
          </w:p>
        </w:tc>
      </w:tr>
    </w:tbl>
    <w:p w14:paraId="33BF177F">
      <w:pPr>
        <w:keepNext w:val="0"/>
        <w:spacing w:before="80" w:after="0" w:line="240" w:lineRule="auto"/>
        <w:jc w:val="left"/>
      </w:pPr>
      <w:r>
        <w:rPr>
          <w:rFonts w:ascii="Times New Roman" w:hAnsi="Times New Roman" w:eastAsia="Times New Roman"/>
          <w:i/>
          <w:sz w:val="18"/>
        </w:rPr>
        <w:t xml:space="preserve">Note. </w:t>
      </w:r>
      <w:r>
        <w:rPr>
          <w:rFonts w:ascii="Times New Roman" w:hAnsi="Times New Roman" w:eastAsia="Times New Roman"/>
          <w:sz w:val="18"/>
        </w:rPr>
        <w:t>FDR correction was applied to the four continuous multiplicative interaction tests. FDR, false discovery rate.</w:t>
      </w:r>
    </w:p>
    <w:sectPr>
      <w:headerReference r:id="rId5" w:type="default"/>
      <w:footerReference r:id="rId6" w:type="default"/>
      <w:pgSz w:w="16838" w:h="11906" w:orient="landscape"/>
      <w:pgMar w:top="850" w:right="794" w:bottom="850" w:left="79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90AB5">
    <w:pPr>
      <w:pStyle w:val="24"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</w:instrTex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BD2E8">
    <w:pPr>
      <w:jc w:val="right"/>
    </w:pPr>
    <w:r>
      <w:rPr>
        <w:rFonts w:ascii="Times New Roman" w:hAnsi="Times New Roman" w:eastAsia="Times New Roman"/>
        <w:sz w:val="18"/>
      </w:rPr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2F7E49"/>
    <w:rsid w:val="2A1867B1"/>
    <w:rsid w:val="53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80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1187</Words>
  <Characters>6869</Characters>
  <Lines>0</Lines>
  <Paragraphs>0</Paragraphs>
  <TotalTime>0</TotalTime>
  <ScaleCrop>false</ScaleCrop>
  <LinksUpToDate>false</LinksUpToDate>
  <CharactersWithSpaces>7641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Jinbo Wang et al.</dc:creator>
  <dc:description>generated by python-docx</dc:description>
  <cp:lastModifiedBy>蕾蒂波波</cp:lastModifiedBy>
  <dcterms:modified xsi:type="dcterms:W3CDTF">2026-07-22T10:56:03Z</dcterms:modified>
  <dc:subject>Original Article for Industrial Health</dc:subject>
  <dc:title>Supplementary material: VAI, systemic inflammatory markers, and serum uric acid among petroleum sales workers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B1B720F512D64851B95600DB01DCCF20_13</vt:lpwstr>
  </property>
</Properties>
</file>