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2.png" ContentType="image/tiff"/>
  <Override PartName="/word/media/image3.png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Supplementary Information</w:t>
      </w:r>
    </w:p>
    <w:p>
      <w:r>
        <w:t>Risk-service mismatches reveal conservation and restoration priorities in China's major urban agglomerations</w:t>
      </w:r>
    </w:p>
    <w:p>
      <w:r>
        <w:t>Supplementary Fig. S1 Changes in ESV hotspots and coldspots in the three urban agglomerations from 2000 to 2020.</w:t>
      </w:r>
    </w:p>
    <w:p>
      <w:r>
        <w:drawing>
          <wp:inline xmlns:a="http://schemas.openxmlformats.org/drawingml/2006/main" xmlns:pic="http://schemas.openxmlformats.org/drawingml/2006/picture">
            <wp:extent cx="5943600" cy="576424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_s1_0_228798684736410529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642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Beijing-Tianjin-Hebei region</w:t>
      </w:r>
    </w:p>
    <w:p>
      <w:r>
        <w:drawing>
          <wp:inline xmlns:a="http://schemas.openxmlformats.org/drawingml/2006/main" xmlns:pic="http://schemas.openxmlformats.org/drawingml/2006/picture">
            <wp:extent cx="5943600" cy="499335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_s1_0_4476964438329831606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933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(b)Yangtze River Delta</w:t>
      </w:r>
    </w:p>
    <w:p>
      <w:r>
        <w:drawing>
          <wp:inline xmlns:a="http://schemas.openxmlformats.org/drawingml/2006/main" xmlns:pic="http://schemas.openxmlformats.org/drawingml/2006/picture">
            <wp:extent cx="5943600" cy="303171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_s1_0_202245290775966124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17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(c)Guangdong-Hong Kong-Macao Greater Bay Area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