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13AD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76" w:lineRule="auto"/>
        <w:jc w:val="center"/>
        <w:textAlignment w:val="auto"/>
        <w:rPr>
          <w:rFonts w:hint="default" w:ascii="Times New Roman" w:hAnsi="Times New Roman" w:cs="Times New Roman"/>
          <w:b/>
          <w:sz w:val="21"/>
          <w:szCs w:val="21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sz w:val="21"/>
          <w:szCs w:val="21"/>
        </w:rPr>
        <w:t>eFigure 1. Subgroup analysis of the association between PEF and hip fracture risk.</w:t>
      </w:r>
    </w:p>
    <w:p w14:paraId="74071B57">
      <w:pPr>
        <w:spacing w:before="40"/>
        <w:jc w:val="left"/>
        <w:rPr>
          <w:rFonts w:hint="eastAsia" w:ascii="Times New Roman" w:hAnsi="Times New Roman" w:eastAsia="宋体"/>
          <w:i w:val="0"/>
          <w:iCs/>
          <w:sz w:val="18"/>
          <w:szCs w:val="18"/>
          <w:lang w:eastAsia="zh-CN"/>
        </w:rPr>
      </w:pPr>
      <w:r>
        <w:rPr>
          <w:rFonts w:hint="eastAsia" w:ascii="Times New Roman" w:hAnsi="Times New Roman" w:eastAsia="宋体"/>
          <w:i w:val="0"/>
          <w:iCs/>
          <w:sz w:val="18"/>
          <w:szCs w:val="18"/>
          <w:lang w:eastAsia="zh-CN"/>
        </w:rPr>
        <w:drawing>
          <wp:inline distT="0" distB="0" distL="114300" distR="114300">
            <wp:extent cx="5482590" cy="5740400"/>
            <wp:effectExtent l="0" t="0" r="3810" b="3175"/>
            <wp:docPr id="7" name="图片 7" descr="eFigure1_Subgroup_Fo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eFigure1_Subgroup_Forest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259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8CB02">
      <w:pPr>
        <w:jc w:val="both"/>
        <w:rPr>
          <w:rFonts w:ascii="Times New Roman" w:hAnsi="Times New Roman"/>
          <w:i w:val="0"/>
          <w:iCs/>
          <w:sz w:val="18"/>
          <w:szCs w:val="18"/>
        </w:rPr>
        <w:sectPr>
          <w:pgSz w:w="12240" w:h="15840"/>
          <w:pgMar w:top="1440" w:right="1800" w:bottom="1440" w:left="180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60" w:charSpace="0"/>
        </w:sectPr>
      </w:pPr>
      <w:r>
        <w:rPr>
          <w:rFonts w:ascii="Times New Roman" w:hAnsi="Times New Roman"/>
          <w:i w:val="0"/>
          <w:iCs/>
          <w:sz w:val="18"/>
          <w:szCs w:val="18"/>
        </w:rPr>
        <w:t>Forest plot depicting the association between baseline PEF (per 10% predicted) and incident hip fracture risk across nine prespecified subgroups. All estimates were derived from Model 3 (adjusted for age, gender, education level, marital status, residence, smoking, drinking, BMI category, and comorbidity count). Squares represent hazard ratios, horizontal lines indicate 95% confidence intervals. The dashed vertical line represents HR = 1. P values for interaction were derived from likelihood ratio tests comparing models with and without the interaction term.</w:t>
      </w:r>
    </w:p>
    <w:p w14:paraId="291E36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76" w:lineRule="auto"/>
        <w:jc w:val="center"/>
        <w:textAlignment w:val="auto"/>
        <w:rPr>
          <w:rFonts w:hint="default" w:ascii="Times New Roman" w:hAnsi="Times New Roman" w:cs="Times New Roman"/>
          <w:b/>
          <w:sz w:val="21"/>
          <w:szCs w:val="21"/>
        </w:rPr>
      </w:pPr>
      <w:r>
        <w:rPr>
          <w:rFonts w:hint="default" w:ascii="Times New Roman" w:hAnsi="Times New Roman" w:cs="Times New Roman"/>
          <w:b/>
          <w:sz w:val="21"/>
          <w:szCs w:val="21"/>
        </w:rPr>
        <w:t>eTable 1. Sensitivity analyses for the association between PEF and hip fracture risk.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1"/>
        <w:gridCol w:w="2474"/>
        <w:gridCol w:w="1022"/>
        <w:gridCol w:w="2109"/>
      </w:tblGrid>
      <w:tr w14:paraId="5524F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32" w:type="dxa"/>
            <w:shd w:val="clear" w:color="auto" w:fill="8DB3E2" w:themeFill="text2" w:themeFillTint="66"/>
          </w:tcPr>
          <w:p w14:paraId="375658A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Sensitivity analysis</w:t>
            </w:r>
          </w:p>
        </w:tc>
        <w:tc>
          <w:tcPr>
            <w:tcW w:w="2880" w:type="dxa"/>
            <w:shd w:val="clear" w:color="auto" w:fill="8DB3E2" w:themeFill="text2" w:themeFillTint="66"/>
          </w:tcPr>
          <w:p w14:paraId="703632B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HR (95% CI)</w:t>
            </w:r>
          </w:p>
        </w:tc>
        <w:tc>
          <w:tcPr>
            <w:tcW w:w="1152" w:type="dxa"/>
            <w:shd w:val="clear" w:color="auto" w:fill="8DB3E2" w:themeFill="text2" w:themeFillTint="66"/>
          </w:tcPr>
          <w:p w14:paraId="796A00CC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 value</w:t>
            </w:r>
          </w:p>
        </w:tc>
        <w:tc>
          <w:tcPr>
            <w:tcW w:w="2592" w:type="dxa"/>
            <w:shd w:val="clear" w:color="auto" w:fill="8DB3E2" w:themeFill="text2" w:themeFillTint="66"/>
          </w:tcPr>
          <w:p w14:paraId="278FF77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E-value</w:t>
            </w:r>
          </w:p>
        </w:tc>
      </w:tr>
      <w:tr w14:paraId="362E9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32" w:type="dxa"/>
          </w:tcPr>
          <w:p w14:paraId="00AA21F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E-value: Q2 vs Q1</w:t>
            </w:r>
          </w:p>
        </w:tc>
        <w:tc>
          <w:tcPr>
            <w:tcW w:w="2880" w:type="dxa"/>
          </w:tcPr>
          <w:p w14:paraId="1F4FC63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0.868 (0.683–1.103)</w:t>
            </w:r>
          </w:p>
        </w:tc>
        <w:tc>
          <w:tcPr>
            <w:tcW w:w="1152" w:type="dxa"/>
          </w:tcPr>
          <w:p w14:paraId="28EEE10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0.247</w:t>
            </w:r>
          </w:p>
        </w:tc>
        <w:tc>
          <w:tcPr>
            <w:tcW w:w="2592" w:type="dxa"/>
          </w:tcPr>
          <w:p w14:paraId="1A76204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1.57</w:t>
            </w: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</w:t>
            </w:r>
            <w:r>
              <w:rPr>
                <w:sz w:val="18"/>
                <w:szCs w:val="18"/>
              </w:rPr>
              <w:t xml:space="preserve"> (—)</w:t>
            </w:r>
          </w:p>
        </w:tc>
      </w:tr>
      <w:tr w14:paraId="5CA7A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32" w:type="dxa"/>
          </w:tcPr>
          <w:p w14:paraId="1730AA5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E-value: Q3 vs Q1</w:t>
            </w:r>
          </w:p>
        </w:tc>
        <w:tc>
          <w:tcPr>
            <w:tcW w:w="2880" w:type="dxa"/>
          </w:tcPr>
          <w:p w14:paraId="6897EE7C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0.646 (0.495–0.842)</w:t>
            </w:r>
          </w:p>
        </w:tc>
        <w:tc>
          <w:tcPr>
            <w:tcW w:w="1152" w:type="dxa"/>
          </w:tcPr>
          <w:p w14:paraId="64584C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0.001</w:t>
            </w:r>
          </w:p>
        </w:tc>
        <w:tc>
          <w:tcPr>
            <w:tcW w:w="2592" w:type="dxa"/>
          </w:tcPr>
          <w:p w14:paraId="6A9C7DF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</w:t>
            </w: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69</w:t>
            </w:r>
            <w:r>
              <w:rPr>
                <w:sz w:val="18"/>
                <w:szCs w:val="18"/>
              </w:rPr>
              <w:t xml:space="preserve"> (lower CI: 1.66</w:t>
            </w: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</w:rPr>
              <w:t>)</w:t>
            </w:r>
          </w:p>
        </w:tc>
      </w:tr>
      <w:tr w14:paraId="42F63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32" w:type="dxa"/>
          </w:tcPr>
          <w:p w14:paraId="096F68E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E-value: Q4 vs Q1</w:t>
            </w:r>
          </w:p>
        </w:tc>
        <w:tc>
          <w:tcPr>
            <w:tcW w:w="2880" w:type="dxa"/>
          </w:tcPr>
          <w:p w14:paraId="3FFEB0A3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0.695 (0.538–0.897)</w:t>
            </w:r>
          </w:p>
        </w:tc>
        <w:tc>
          <w:tcPr>
            <w:tcW w:w="1152" w:type="dxa"/>
          </w:tcPr>
          <w:p w14:paraId="5455AA3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0.005</w:t>
            </w:r>
          </w:p>
        </w:tc>
        <w:tc>
          <w:tcPr>
            <w:tcW w:w="2592" w:type="dxa"/>
          </w:tcPr>
          <w:p w14:paraId="56E6452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2.23</w:t>
            </w: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4</w:t>
            </w:r>
            <w:r>
              <w:rPr>
                <w:sz w:val="18"/>
                <w:szCs w:val="18"/>
              </w:rPr>
              <w:t xml:space="preserve"> (lower CI: 1.47</w:t>
            </w: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3</w:t>
            </w:r>
            <w:r>
              <w:rPr>
                <w:sz w:val="18"/>
                <w:szCs w:val="18"/>
              </w:rPr>
              <w:t>)</w:t>
            </w:r>
          </w:p>
        </w:tc>
      </w:tr>
      <w:tr w14:paraId="28D2D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32" w:type="dxa"/>
          </w:tcPr>
          <w:p w14:paraId="28DEC4B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Excluding </w:t>
            </w:r>
            <w:r>
              <w:rPr>
                <w:rFonts w:hint="eastAsia"/>
                <w:sz w:val="18"/>
                <w:szCs w:val="18"/>
              </w:rPr>
              <w:t>hip fractures at first follow-up wave</w:t>
            </w:r>
          </w:p>
        </w:tc>
        <w:tc>
          <w:tcPr>
            <w:tcW w:w="2880" w:type="dxa"/>
          </w:tcPr>
          <w:p w14:paraId="6EFCC90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152" w:type="dxa"/>
          </w:tcPr>
          <w:p w14:paraId="5E056FB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592" w:type="dxa"/>
          </w:tcPr>
          <w:p w14:paraId="5107084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14:paraId="3607E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32" w:type="dxa"/>
          </w:tcPr>
          <w:p w14:paraId="6DF41FA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 vs Q1</w:t>
            </w:r>
          </w:p>
        </w:tc>
        <w:tc>
          <w:tcPr>
            <w:tcW w:w="2880" w:type="dxa"/>
          </w:tcPr>
          <w:p w14:paraId="39F0AA0C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0.909 (0.702–1.178)</w:t>
            </w:r>
          </w:p>
        </w:tc>
        <w:tc>
          <w:tcPr>
            <w:tcW w:w="1152" w:type="dxa"/>
          </w:tcPr>
          <w:p w14:paraId="7D79CC5C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0.471</w:t>
            </w:r>
          </w:p>
        </w:tc>
        <w:tc>
          <w:tcPr>
            <w:tcW w:w="2592" w:type="dxa"/>
          </w:tcPr>
          <w:p w14:paraId="39C5170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14:paraId="1B1A5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32" w:type="dxa"/>
          </w:tcPr>
          <w:p w14:paraId="645FEFA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 vs Q1</w:t>
            </w:r>
          </w:p>
        </w:tc>
        <w:tc>
          <w:tcPr>
            <w:tcW w:w="2880" w:type="dxa"/>
          </w:tcPr>
          <w:p w14:paraId="354014F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0.629 (0.469–0.843)</w:t>
            </w:r>
          </w:p>
        </w:tc>
        <w:tc>
          <w:tcPr>
            <w:tcW w:w="1152" w:type="dxa"/>
          </w:tcPr>
          <w:p w14:paraId="66A788B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0.002</w:t>
            </w:r>
          </w:p>
        </w:tc>
        <w:tc>
          <w:tcPr>
            <w:tcW w:w="2592" w:type="dxa"/>
          </w:tcPr>
          <w:p w14:paraId="2861D9E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14:paraId="2F407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32" w:type="dxa"/>
          </w:tcPr>
          <w:p w14:paraId="5DCF24EC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 vs Q1</w:t>
            </w:r>
          </w:p>
        </w:tc>
        <w:tc>
          <w:tcPr>
            <w:tcW w:w="2880" w:type="dxa"/>
          </w:tcPr>
          <w:p w14:paraId="0CE0625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0.727 (0.551–0.958)</w:t>
            </w:r>
          </w:p>
        </w:tc>
        <w:tc>
          <w:tcPr>
            <w:tcW w:w="1152" w:type="dxa"/>
          </w:tcPr>
          <w:p w14:paraId="372E728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0.023</w:t>
            </w:r>
          </w:p>
        </w:tc>
        <w:tc>
          <w:tcPr>
            <w:tcW w:w="2592" w:type="dxa"/>
          </w:tcPr>
          <w:p w14:paraId="713D74D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14:paraId="5086A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32" w:type="dxa"/>
          </w:tcPr>
          <w:p w14:paraId="4F15E6F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60% clinical cutoff (&lt;60% vs ≥60%)</w:t>
            </w:r>
          </w:p>
        </w:tc>
        <w:tc>
          <w:tcPr>
            <w:tcW w:w="2880" w:type="dxa"/>
          </w:tcPr>
          <w:p w14:paraId="173703F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0.745 (0.615–0.902)</w:t>
            </w:r>
          </w:p>
        </w:tc>
        <w:tc>
          <w:tcPr>
            <w:tcW w:w="1152" w:type="dxa"/>
          </w:tcPr>
          <w:p w14:paraId="4A8FBA3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0.003</w:t>
            </w:r>
          </w:p>
        </w:tc>
        <w:tc>
          <w:tcPr>
            <w:tcW w:w="2592" w:type="dxa"/>
          </w:tcPr>
          <w:p w14:paraId="7A1D262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</w:tbl>
    <w:p w14:paraId="1F53BD6B">
      <w:pPr>
        <w:spacing w:before="20"/>
        <w:jc w:val="left"/>
        <w:rPr>
          <w:i w:val="0"/>
          <w:iCs/>
          <w:sz w:val="18"/>
          <w:szCs w:val="18"/>
        </w:rPr>
      </w:pPr>
      <w:r>
        <w:rPr>
          <w:rFonts w:ascii="Times New Roman" w:hAnsi="Times New Roman"/>
          <w:i w:val="0"/>
          <w:iCs/>
          <w:sz w:val="18"/>
          <w:szCs w:val="18"/>
        </w:rPr>
        <w:t>All models were adjusted for age, gender, education level, marital status, residence, smoking, drinking, BMI category, and comorbidity count (Model 3).</w:t>
      </w:r>
    </w:p>
    <w:p w14:paraId="40DED3DD">
      <w:pPr>
        <w:spacing w:before="20"/>
        <w:jc w:val="left"/>
        <w:rPr>
          <w:i w:val="0"/>
          <w:iCs/>
          <w:sz w:val="18"/>
          <w:szCs w:val="18"/>
        </w:rPr>
      </w:pPr>
      <w:r>
        <w:rPr>
          <w:rFonts w:ascii="Times New Roman" w:hAnsi="Times New Roman"/>
          <w:i w:val="0"/>
          <w:iCs/>
          <w:sz w:val="18"/>
          <w:szCs w:val="18"/>
        </w:rPr>
        <w:t>E-value represents the minimum strength of association that an unmeasured confounder would need to have with both PEF and hip fracture to fully explain away the observed association. — indicates the CI crosses the null.</w:t>
      </w:r>
    </w:p>
    <w:p w14:paraId="79EACAA1">
      <w:pPr>
        <w:spacing w:before="20"/>
        <w:jc w:val="left"/>
        <w:rPr>
          <w:i w:val="0"/>
          <w:iCs/>
          <w:sz w:val="18"/>
          <w:szCs w:val="18"/>
        </w:rPr>
      </w:pPr>
      <w:r>
        <w:rPr>
          <w:rFonts w:ascii="Times New Roman" w:hAnsi="Times New Roman"/>
          <w:i w:val="0"/>
          <w:iCs/>
          <w:sz w:val="18"/>
          <w:szCs w:val="18"/>
        </w:rPr>
        <w:t>Excluding first 2 years removes participants with hip fracture within the first 2 years of follow-up to address potential reverse causation.</w:t>
      </w:r>
    </w:p>
    <w:p w14:paraId="5A1A4EB1">
      <w:pPr>
        <w:spacing w:before="20"/>
        <w:jc w:val="left"/>
        <w:rPr>
          <w:i w:val="0"/>
          <w:iCs/>
          <w:sz w:val="18"/>
          <w:szCs w:val="18"/>
        </w:rPr>
      </w:pPr>
      <w:r>
        <w:rPr>
          <w:rFonts w:ascii="Times New Roman" w:hAnsi="Times New Roman"/>
          <w:i w:val="0"/>
          <w:iCs/>
          <w:sz w:val="18"/>
          <w:szCs w:val="18"/>
        </w:rPr>
        <w:t>60% clinical cutoff: PEF &lt;60% predicted vs ≥60% predicted, a clinical threshold indicating severe ventilatory impairment.</w:t>
      </w:r>
    </w:p>
    <w:p w14:paraId="00C3B382">
      <w:pPr>
        <w:spacing w:before="20"/>
        <w:jc w:val="left"/>
        <w:rPr>
          <w:i w:val="0"/>
          <w:iCs/>
          <w:sz w:val="18"/>
          <w:szCs w:val="18"/>
        </w:rPr>
      </w:pPr>
      <w:r>
        <w:rPr>
          <w:rFonts w:ascii="Times New Roman" w:hAnsi="Times New Roman"/>
          <w:i w:val="0"/>
          <w:iCs/>
          <w:sz w:val="18"/>
          <w:szCs w:val="18"/>
        </w:rPr>
        <w:t>Abbreviations: PEF, peak expiratory flow; HR, hazard ratio; CI, confidence interval.</w:t>
      </w:r>
    </w:p>
    <w:p w14:paraId="5497615B">
      <w:pPr>
        <w:jc w:val="both"/>
        <w:rPr>
          <w:rFonts w:ascii="Times New Roman" w:hAnsi="Times New Roman"/>
          <w:i w:val="0"/>
          <w:iCs/>
          <w:sz w:val="18"/>
          <w:szCs w:val="18"/>
        </w:rPr>
        <w:sectPr>
          <w:pgSz w:w="12240" w:h="15840"/>
          <w:pgMar w:top="1440" w:right="1800" w:bottom="1440" w:left="180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60" w:charSpace="0"/>
        </w:sectPr>
      </w:pPr>
    </w:p>
    <w:p w14:paraId="74F825A1">
      <w:pPr>
        <w:spacing w:after="80"/>
        <w:jc w:val="center"/>
        <w:rPr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eTable </w:t>
      </w:r>
      <w:r>
        <w:rPr>
          <w:rFonts w:hint="eastAsia" w:ascii="Times New Roman" w:hAnsi="Times New Roman" w:eastAsia="宋体"/>
          <w:b/>
          <w:sz w:val="21"/>
          <w:szCs w:val="21"/>
          <w:lang w:val="en-US" w:eastAsia="zh-CN"/>
        </w:rPr>
        <w:t>2</w:t>
      </w:r>
      <w:r>
        <w:rPr>
          <w:rFonts w:ascii="Times New Roman" w:hAnsi="Times New Roman"/>
          <w:b/>
          <w:sz w:val="21"/>
          <w:szCs w:val="21"/>
        </w:rPr>
        <w:t>. Baseline characteristics of the trajectory subcohort by PEF trajectory group.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2"/>
        <w:gridCol w:w="1634"/>
        <w:gridCol w:w="1648"/>
        <w:gridCol w:w="1626"/>
        <w:gridCol w:w="976"/>
      </w:tblGrid>
      <w:tr w14:paraId="61088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972" w:type="dxa"/>
            <w:shd w:val="clear" w:color="auto" w:fill="8DB3E2" w:themeFill="text2" w:themeFillTint="66"/>
          </w:tcPr>
          <w:p w14:paraId="3F1C783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Characteristic</w:t>
            </w:r>
          </w:p>
        </w:tc>
        <w:tc>
          <w:tcPr>
            <w:tcW w:w="1634" w:type="dxa"/>
            <w:shd w:val="clear" w:color="auto" w:fill="8DB3E2" w:themeFill="text2" w:themeFillTint="66"/>
          </w:tcPr>
          <w:p w14:paraId="28CB19A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Low-stable (n=1276)</w:t>
            </w:r>
          </w:p>
        </w:tc>
        <w:tc>
          <w:tcPr>
            <w:tcW w:w="1648" w:type="dxa"/>
            <w:shd w:val="clear" w:color="auto" w:fill="8DB3E2" w:themeFill="text2" w:themeFillTint="66"/>
          </w:tcPr>
          <w:p w14:paraId="45C2962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Moderate-stable (n=3712)</w:t>
            </w:r>
          </w:p>
        </w:tc>
        <w:tc>
          <w:tcPr>
            <w:tcW w:w="1626" w:type="dxa"/>
            <w:shd w:val="clear" w:color="auto" w:fill="8DB3E2" w:themeFill="text2" w:themeFillTint="66"/>
          </w:tcPr>
          <w:p w14:paraId="630767A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High-stable (n=739)</w:t>
            </w:r>
          </w:p>
        </w:tc>
        <w:tc>
          <w:tcPr>
            <w:tcW w:w="976" w:type="dxa"/>
            <w:shd w:val="clear" w:color="auto" w:fill="8DB3E2" w:themeFill="text2" w:themeFillTint="66"/>
          </w:tcPr>
          <w:p w14:paraId="11D9A39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P value</w:t>
            </w:r>
          </w:p>
        </w:tc>
      </w:tr>
      <w:tr w14:paraId="13E7D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</w:tcPr>
          <w:p w14:paraId="34F35E51"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b/>
                <w:sz w:val="18"/>
              </w:rPr>
              <w:t>PEF Wave 1, median [IQR]</w:t>
            </w:r>
          </w:p>
        </w:tc>
        <w:tc>
          <w:tcPr>
            <w:tcW w:w="1634" w:type="dxa"/>
          </w:tcPr>
          <w:p w14:paraId="4F69F04D">
            <w:pPr>
              <w:spacing w:before="0" w:after="0" w:line="240" w:lineRule="auto"/>
              <w:jc w:val="center"/>
            </w:pPr>
            <w:r>
              <w:rPr>
                <w:rFonts w:hint="eastAsia" w:ascii="Times New Roman" w:hAnsi="Times New Roman"/>
                <w:b w:val="0"/>
                <w:sz w:val="18"/>
              </w:rPr>
              <w:t>50.582 [38.129, 63.737]</w:t>
            </w:r>
          </w:p>
        </w:tc>
        <w:tc>
          <w:tcPr>
            <w:tcW w:w="1648" w:type="dxa"/>
          </w:tcPr>
          <w:p w14:paraId="412C0FFE">
            <w:pPr>
              <w:spacing w:before="0" w:after="0" w:line="240" w:lineRule="auto"/>
              <w:jc w:val="center"/>
            </w:pPr>
            <w:r>
              <w:rPr>
                <w:rFonts w:hint="eastAsia" w:ascii="Times New Roman" w:hAnsi="Times New Roman"/>
                <w:b w:val="0"/>
                <w:sz w:val="18"/>
              </w:rPr>
              <w:t>81.945 [67.440, 94.713]</w:t>
            </w:r>
          </w:p>
        </w:tc>
        <w:tc>
          <w:tcPr>
            <w:tcW w:w="1626" w:type="dxa"/>
          </w:tcPr>
          <w:p w14:paraId="205EB708">
            <w:pPr>
              <w:spacing w:before="0" w:after="0" w:line="240" w:lineRule="auto"/>
              <w:jc w:val="center"/>
            </w:pPr>
            <w:r>
              <w:rPr>
                <w:rFonts w:hint="eastAsia" w:ascii="Times New Roman" w:hAnsi="Times New Roman"/>
                <w:b w:val="0"/>
                <w:sz w:val="18"/>
              </w:rPr>
              <w:t>112.358 [100.257, 123.397]</w:t>
            </w:r>
          </w:p>
        </w:tc>
        <w:tc>
          <w:tcPr>
            <w:tcW w:w="976" w:type="dxa"/>
          </w:tcPr>
          <w:p w14:paraId="1C10633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8"/>
              </w:rPr>
              <w:t>&lt;0.001</w:t>
            </w:r>
          </w:p>
        </w:tc>
      </w:tr>
      <w:tr w14:paraId="6326E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</w:tcPr>
          <w:p w14:paraId="49C3A43E"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b/>
                <w:sz w:val="18"/>
              </w:rPr>
              <w:t>Age, y (mean ± SD)</w:t>
            </w:r>
          </w:p>
        </w:tc>
        <w:tc>
          <w:tcPr>
            <w:tcW w:w="1634" w:type="dxa"/>
          </w:tcPr>
          <w:p w14:paraId="339E5A86">
            <w:pPr>
              <w:spacing w:before="0" w:after="0" w:line="240" w:lineRule="auto"/>
              <w:jc w:val="center"/>
            </w:pPr>
            <w:r>
              <w:rPr>
                <w:rFonts w:hint="eastAsia" w:ascii="Times New Roman" w:hAnsi="Times New Roman"/>
                <w:b w:val="0"/>
                <w:sz w:val="18"/>
              </w:rPr>
              <w:t>59.757 (8.573)</w:t>
            </w:r>
          </w:p>
        </w:tc>
        <w:tc>
          <w:tcPr>
            <w:tcW w:w="1648" w:type="dxa"/>
          </w:tcPr>
          <w:p w14:paraId="4D99F0D6">
            <w:pPr>
              <w:spacing w:before="0" w:after="0" w:line="240" w:lineRule="auto"/>
              <w:jc w:val="center"/>
            </w:pPr>
            <w:r>
              <w:rPr>
                <w:rFonts w:hint="eastAsia" w:ascii="Times New Roman" w:hAnsi="Times New Roman"/>
                <w:b w:val="0"/>
                <w:sz w:val="18"/>
              </w:rPr>
              <w:t>57.508 (8.126)</w:t>
            </w:r>
          </w:p>
        </w:tc>
        <w:tc>
          <w:tcPr>
            <w:tcW w:w="1626" w:type="dxa"/>
          </w:tcPr>
          <w:p w14:paraId="45FA8971">
            <w:pPr>
              <w:spacing w:before="0" w:after="0" w:line="240" w:lineRule="auto"/>
              <w:jc w:val="center"/>
            </w:pPr>
            <w:r>
              <w:rPr>
                <w:rFonts w:hint="eastAsia" w:ascii="Times New Roman" w:hAnsi="Times New Roman"/>
                <w:b w:val="0"/>
                <w:sz w:val="18"/>
              </w:rPr>
              <w:t>60.118 (9.122)</w:t>
            </w:r>
          </w:p>
        </w:tc>
        <w:tc>
          <w:tcPr>
            <w:tcW w:w="976" w:type="dxa"/>
          </w:tcPr>
          <w:p w14:paraId="58DF594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8"/>
              </w:rPr>
              <w:t>&lt;0.001</w:t>
            </w:r>
          </w:p>
        </w:tc>
      </w:tr>
      <w:tr w14:paraId="7DE5F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</w:tcPr>
          <w:p w14:paraId="692B3BB1"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b/>
                <w:sz w:val="18"/>
              </w:rPr>
              <w:t>Gender, n (%)</w:t>
            </w:r>
          </w:p>
        </w:tc>
        <w:tc>
          <w:tcPr>
            <w:tcW w:w="1634" w:type="dxa"/>
          </w:tcPr>
          <w:p w14:paraId="74D40C9C">
            <w:pPr>
              <w:spacing w:before="0" w:after="0" w:line="240" w:lineRule="auto"/>
              <w:jc w:val="center"/>
            </w:pPr>
          </w:p>
        </w:tc>
        <w:tc>
          <w:tcPr>
            <w:tcW w:w="1648" w:type="dxa"/>
          </w:tcPr>
          <w:p w14:paraId="5A9FB425">
            <w:pPr>
              <w:spacing w:before="0" w:after="0" w:line="240" w:lineRule="auto"/>
              <w:jc w:val="center"/>
            </w:pPr>
          </w:p>
        </w:tc>
        <w:tc>
          <w:tcPr>
            <w:tcW w:w="1626" w:type="dxa"/>
          </w:tcPr>
          <w:p w14:paraId="5EE5A428">
            <w:pPr>
              <w:spacing w:before="0" w:after="0" w:line="240" w:lineRule="auto"/>
              <w:jc w:val="center"/>
            </w:pPr>
          </w:p>
        </w:tc>
        <w:tc>
          <w:tcPr>
            <w:tcW w:w="976" w:type="dxa"/>
          </w:tcPr>
          <w:p w14:paraId="30F9C3E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8"/>
              </w:rPr>
              <w:t>0.037</w:t>
            </w:r>
          </w:p>
        </w:tc>
      </w:tr>
      <w:tr w14:paraId="46E73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</w:tcPr>
          <w:p w14:paraId="279CC2A0">
            <w:pPr>
              <w:spacing w:before="0" w:after="0" w:line="240" w:lineRule="auto"/>
              <w:ind w:left="288"/>
              <w:jc w:val="left"/>
            </w:pPr>
            <w:r>
              <w:rPr>
                <w:rFonts w:ascii="Times New Roman" w:hAnsi="Times New Roman"/>
                <w:b w:val="0"/>
                <w:sz w:val="18"/>
              </w:rPr>
              <w:t>Female</w:t>
            </w:r>
          </w:p>
        </w:tc>
        <w:tc>
          <w:tcPr>
            <w:tcW w:w="1634" w:type="dxa"/>
            <w:vAlign w:val="center"/>
          </w:tcPr>
          <w:p w14:paraId="1B0CD518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684 (53.605)</w:t>
            </w:r>
          </w:p>
        </w:tc>
        <w:tc>
          <w:tcPr>
            <w:tcW w:w="1648" w:type="dxa"/>
            <w:vAlign w:val="center"/>
          </w:tcPr>
          <w:p w14:paraId="2A44D0FC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2034 (54.784)</w:t>
            </w:r>
          </w:p>
        </w:tc>
        <w:tc>
          <w:tcPr>
            <w:tcW w:w="1626" w:type="dxa"/>
            <w:vAlign w:val="center"/>
          </w:tcPr>
          <w:p w14:paraId="6392EF62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367 (49.662)</w:t>
            </w:r>
          </w:p>
        </w:tc>
        <w:tc>
          <w:tcPr>
            <w:tcW w:w="976" w:type="dxa"/>
          </w:tcPr>
          <w:p w14:paraId="66355954">
            <w:pPr>
              <w:spacing w:before="0" w:after="0" w:line="240" w:lineRule="auto"/>
              <w:jc w:val="center"/>
            </w:pPr>
          </w:p>
        </w:tc>
      </w:tr>
      <w:tr w14:paraId="17F45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</w:tcPr>
          <w:p w14:paraId="05D7133C">
            <w:pPr>
              <w:spacing w:before="0" w:after="0" w:line="240" w:lineRule="auto"/>
              <w:ind w:left="288"/>
              <w:jc w:val="left"/>
            </w:pPr>
            <w:r>
              <w:rPr>
                <w:rFonts w:ascii="Times New Roman" w:hAnsi="Times New Roman"/>
                <w:b w:val="0"/>
                <w:sz w:val="18"/>
              </w:rPr>
              <w:t>Male</w:t>
            </w:r>
          </w:p>
        </w:tc>
        <w:tc>
          <w:tcPr>
            <w:tcW w:w="1634" w:type="dxa"/>
            <w:vAlign w:val="center"/>
          </w:tcPr>
          <w:p w14:paraId="6EF5E11F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592 (46.395)</w:t>
            </w:r>
          </w:p>
        </w:tc>
        <w:tc>
          <w:tcPr>
            <w:tcW w:w="1648" w:type="dxa"/>
            <w:vAlign w:val="center"/>
          </w:tcPr>
          <w:p w14:paraId="302584A2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1678 (45.216)</w:t>
            </w:r>
          </w:p>
        </w:tc>
        <w:tc>
          <w:tcPr>
            <w:tcW w:w="1626" w:type="dxa"/>
            <w:vAlign w:val="center"/>
          </w:tcPr>
          <w:p w14:paraId="5C42FF9B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372 (50.338)</w:t>
            </w:r>
          </w:p>
        </w:tc>
        <w:tc>
          <w:tcPr>
            <w:tcW w:w="976" w:type="dxa"/>
          </w:tcPr>
          <w:p w14:paraId="6C255776">
            <w:pPr>
              <w:spacing w:before="0" w:after="0" w:line="240" w:lineRule="auto"/>
              <w:jc w:val="center"/>
            </w:pPr>
          </w:p>
        </w:tc>
      </w:tr>
      <w:tr w14:paraId="1B427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</w:tcPr>
          <w:p w14:paraId="76431835"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b/>
                <w:sz w:val="18"/>
              </w:rPr>
              <w:t>Residence, n (%)</w:t>
            </w:r>
          </w:p>
        </w:tc>
        <w:tc>
          <w:tcPr>
            <w:tcW w:w="1634" w:type="dxa"/>
            <w:vAlign w:val="center"/>
          </w:tcPr>
          <w:p w14:paraId="796A43E0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</w:p>
        </w:tc>
        <w:tc>
          <w:tcPr>
            <w:tcW w:w="1648" w:type="dxa"/>
            <w:vAlign w:val="center"/>
          </w:tcPr>
          <w:p w14:paraId="4DBE2AE1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</w:p>
        </w:tc>
        <w:tc>
          <w:tcPr>
            <w:tcW w:w="1626" w:type="dxa"/>
            <w:vAlign w:val="center"/>
          </w:tcPr>
          <w:p w14:paraId="43D6950A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</w:p>
        </w:tc>
        <w:tc>
          <w:tcPr>
            <w:tcW w:w="976" w:type="dxa"/>
          </w:tcPr>
          <w:p w14:paraId="02B2A3D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8"/>
              </w:rPr>
              <w:t>&lt;0.001</w:t>
            </w:r>
          </w:p>
        </w:tc>
      </w:tr>
      <w:tr w14:paraId="3AB81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</w:tcPr>
          <w:p w14:paraId="40EB431A">
            <w:pPr>
              <w:spacing w:before="0" w:after="0" w:line="240" w:lineRule="auto"/>
              <w:ind w:left="288"/>
              <w:jc w:val="left"/>
            </w:pPr>
            <w:r>
              <w:rPr>
                <w:rFonts w:ascii="Times New Roman" w:hAnsi="Times New Roman"/>
                <w:b w:val="0"/>
                <w:sz w:val="18"/>
              </w:rPr>
              <w:t>Rural</w:t>
            </w:r>
          </w:p>
        </w:tc>
        <w:tc>
          <w:tcPr>
            <w:tcW w:w="1634" w:type="dxa"/>
            <w:vAlign w:val="center"/>
          </w:tcPr>
          <w:p w14:paraId="00B8ED97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910 (71.317)</w:t>
            </w:r>
          </w:p>
        </w:tc>
        <w:tc>
          <w:tcPr>
            <w:tcW w:w="1648" w:type="dxa"/>
            <w:vAlign w:val="center"/>
          </w:tcPr>
          <w:p w14:paraId="116B66DD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2560 (68.966)</w:t>
            </w:r>
          </w:p>
        </w:tc>
        <w:tc>
          <w:tcPr>
            <w:tcW w:w="1626" w:type="dxa"/>
            <w:vAlign w:val="center"/>
          </w:tcPr>
          <w:p w14:paraId="448CD339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461 (62.382)</w:t>
            </w:r>
          </w:p>
        </w:tc>
        <w:tc>
          <w:tcPr>
            <w:tcW w:w="976" w:type="dxa"/>
          </w:tcPr>
          <w:p w14:paraId="4E96906D">
            <w:pPr>
              <w:spacing w:before="0" w:after="0" w:line="240" w:lineRule="auto"/>
              <w:jc w:val="center"/>
            </w:pPr>
          </w:p>
        </w:tc>
      </w:tr>
      <w:tr w14:paraId="201E7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</w:tcPr>
          <w:p w14:paraId="01649343">
            <w:pPr>
              <w:spacing w:before="0" w:after="0" w:line="240" w:lineRule="auto"/>
              <w:ind w:left="288"/>
              <w:jc w:val="left"/>
            </w:pPr>
            <w:r>
              <w:rPr>
                <w:rFonts w:ascii="Times New Roman" w:hAnsi="Times New Roman"/>
                <w:b w:val="0"/>
                <w:sz w:val="18"/>
              </w:rPr>
              <w:t>Urban</w:t>
            </w:r>
          </w:p>
        </w:tc>
        <w:tc>
          <w:tcPr>
            <w:tcW w:w="1634" w:type="dxa"/>
            <w:vAlign w:val="center"/>
          </w:tcPr>
          <w:p w14:paraId="7439BA34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366 (28.683)</w:t>
            </w:r>
          </w:p>
        </w:tc>
        <w:tc>
          <w:tcPr>
            <w:tcW w:w="1648" w:type="dxa"/>
            <w:vAlign w:val="center"/>
          </w:tcPr>
          <w:p w14:paraId="582AF174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1152 (31.034)</w:t>
            </w:r>
          </w:p>
        </w:tc>
        <w:tc>
          <w:tcPr>
            <w:tcW w:w="1626" w:type="dxa"/>
            <w:vAlign w:val="center"/>
          </w:tcPr>
          <w:p w14:paraId="7D72B87D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278 (37.618)</w:t>
            </w:r>
          </w:p>
        </w:tc>
        <w:tc>
          <w:tcPr>
            <w:tcW w:w="976" w:type="dxa"/>
          </w:tcPr>
          <w:p w14:paraId="08536816">
            <w:pPr>
              <w:spacing w:before="0" w:after="0" w:line="240" w:lineRule="auto"/>
              <w:jc w:val="center"/>
            </w:pPr>
          </w:p>
        </w:tc>
      </w:tr>
      <w:tr w14:paraId="4A823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</w:tcPr>
          <w:p w14:paraId="0070D4C0"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b/>
                <w:sz w:val="18"/>
              </w:rPr>
              <w:t>Education(n,%)</w:t>
            </w:r>
          </w:p>
        </w:tc>
        <w:tc>
          <w:tcPr>
            <w:tcW w:w="1634" w:type="dxa"/>
            <w:vAlign w:val="center"/>
          </w:tcPr>
          <w:p w14:paraId="48DF7C41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</w:p>
        </w:tc>
        <w:tc>
          <w:tcPr>
            <w:tcW w:w="1648" w:type="dxa"/>
            <w:vAlign w:val="center"/>
          </w:tcPr>
          <w:p w14:paraId="0D7984ED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</w:p>
        </w:tc>
        <w:tc>
          <w:tcPr>
            <w:tcW w:w="1626" w:type="dxa"/>
            <w:vAlign w:val="center"/>
          </w:tcPr>
          <w:p w14:paraId="0B5FEE4C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</w:p>
        </w:tc>
        <w:tc>
          <w:tcPr>
            <w:tcW w:w="976" w:type="dxa"/>
          </w:tcPr>
          <w:p w14:paraId="001B15B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8"/>
              </w:rPr>
              <w:t>&lt;0.001</w:t>
            </w:r>
          </w:p>
        </w:tc>
      </w:tr>
      <w:tr w14:paraId="62EE0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</w:tcPr>
          <w:p w14:paraId="5F850A31">
            <w:pPr>
              <w:spacing w:before="0" w:after="0" w:line="240" w:lineRule="auto"/>
              <w:ind w:left="288"/>
              <w:jc w:val="left"/>
            </w:pPr>
            <w:r>
              <w:rPr>
                <w:rFonts w:ascii="Times New Roman" w:hAnsi="Times New Roman"/>
                <w:b w:val="0"/>
                <w:sz w:val="18"/>
              </w:rPr>
              <w:t>Less than lower secondary education</w:t>
            </w:r>
          </w:p>
        </w:tc>
        <w:tc>
          <w:tcPr>
            <w:tcW w:w="1634" w:type="dxa"/>
            <w:vAlign w:val="center"/>
          </w:tcPr>
          <w:p w14:paraId="75E2C6CA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1216 (95.298)</w:t>
            </w:r>
          </w:p>
        </w:tc>
        <w:tc>
          <w:tcPr>
            <w:tcW w:w="1648" w:type="dxa"/>
            <w:vAlign w:val="center"/>
          </w:tcPr>
          <w:p w14:paraId="0DEC8EAE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3318 (89.386)</w:t>
            </w:r>
          </w:p>
        </w:tc>
        <w:tc>
          <w:tcPr>
            <w:tcW w:w="1626" w:type="dxa"/>
            <w:vAlign w:val="center"/>
          </w:tcPr>
          <w:p w14:paraId="5789B25C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624 (84.438)</w:t>
            </w:r>
          </w:p>
        </w:tc>
        <w:tc>
          <w:tcPr>
            <w:tcW w:w="976" w:type="dxa"/>
          </w:tcPr>
          <w:p w14:paraId="2C74A35B">
            <w:pPr>
              <w:spacing w:before="0" w:after="0" w:line="240" w:lineRule="auto"/>
              <w:jc w:val="center"/>
            </w:pPr>
          </w:p>
        </w:tc>
      </w:tr>
      <w:tr w14:paraId="1ACF9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</w:tcPr>
          <w:p w14:paraId="3D588A62">
            <w:pPr>
              <w:spacing w:before="0" w:after="0" w:line="240" w:lineRule="auto"/>
              <w:ind w:left="288"/>
              <w:jc w:val="left"/>
            </w:pPr>
            <w:r>
              <w:rPr>
                <w:rFonts w:ascii="Times New Roman" w:hAnsi="Times New Roman"/>
                <w:b w:val="0"/>
                <w:sz w:val="18"/>
              </w:rPr>
              <w:t>Secondary or above</w:t>
            </w:r>
          </w:p>
        </w:tc>
        <w:tc>
          <w:tcPr>
            <w:tcW w:w="1634" w:type="dxa"/>
            <w:vAlign w:val="center"/>
          </w:tcPr>
          <w:p w14:paraId="4964B3E3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60 (4.702)</w:t>
            </w:r>
          </w:p>
        </w:tc>
        <w:tc>
          <w:tcPr>
            <w:tcW w:w="1648" w:type="dxa"/>
            <w:vAlign w:val="center"/>
          </w:tcPr>
          <w:p w14:paraId="2C258115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394 (10.614)</w:t>
            </w:r>
          </w:p>
        </w:tc>
        <w:tc>
          <w:tcPr>
            <w:tcW w:w="1626" w:type="dxa"/>
            <w:vAlign w:val="center"/>
          </w:tcPr>
          <w:p w14:paraId="21F93ED2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115 (15.562)</w:t>
            </w:r>
          </w:p>
        </w:tc>
        <w:tc>
          <w:tcPr>
            <w:tcW w:w="976" w:type="dxa"/>
          </w:tcPr>
          <w:p w14:paraId="26F45373">
            <w:pPr>
              <w:spacing w:before="0" w:after="0" w:line="240" w:lineRule="auto"/>
              <w:jc w:val="center"/>
            </w:pPr>
          </w:p>
        </w:tc>
      </w:tr>
      <w:tr w14:paraId="072B9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</w:tcPr>
          <w:p w14:paraId="03B5F3F9"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b/>
                <w:sz w:val="18"/>
              </w:rPr>
              <w:t>Marital status(n,%)</w:t>
            </w:r>
          </w:p>
        </w:tc>
        <w:tc>
          <w:tcPr>
            <w:tcW w:w="1634" w:type="dxa"/>
            <w:vAlign w:val="center"/>
          </w:tcPr>
          <w:p w14:paraId="594A852D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</w:p>
        </w:tc>
        <w:tc>
          <w:tcPr>
            <w:tcW w:w="1648" w:type="dxa"/>
            <w:vAlign w:val="center"/>
          </w:tcPr>
          <w:p w14:paraId="031B7F07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</w:p>
        </w:tc>
        <w:tc>
          <w:tcPr>
            <w:tcW w:w="1626" w:type="dxa"/>
            <w:vAlign w:val="center"/>
          </w:tcPr>
          <w:p w14:paraId="4B0E8AB8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</w:p>
        </w:tc>
        <w:tc>
          <w:tcPr>
            <w:tcW w:w="976" w:type="dxa"/>
          </w:tcPr>
          <w:p w14:paraId="265BAC2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8"/>
              </w:rPr>
              <w:t>&lt;0.001</w:t>
            </w:r>
          </w:p>
        </w:tc>
      </w:tr>
      <w:tr w14:paraId="18E02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</w:tcPr>
          <w:p w14:paraId="59DAC6BF">
            <w:pPr>
              <w:spacing w:before="0" w:after="0" w:line="240" w:lineRule="auto"/>
              <w:ind w:left="288"/>
              <w:jc w:val="left"/>
            </w:pPr>
            <w:r>
              <w:rPr>
                <w:rFonts w:ascii="Times New Roman" w:hAnsi="Times New Roman"/>
                <w:b w:val="0"/>
                <w:sz w:val="18"/>
              </w:rPr>
              <w:t>Single</w:t>
            </w:r>
          </w:p>
        </w:tc>
        <w:tc>
          <w:tcPr>
            <w:tcW w:w="1634" w:type="dxa"/>
            <w:vAlign w:val="center"/>
          </w:tcPr>
          <w:p w14:paraId="5E950453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188 (14.734)</w:t>
            </w:r>
          </w:p>
        </w:tc>
        <w:tc>
          <w:tcPr>
            <w:tcW w:w="1648" w:type="dxa"/>
            <w:vAlign w:val="center"/>
          </w:tcPr>
          <w:p w14:paraId="7EA57E9D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340 (9.159)</w:t>
            </w:r>
          </w:p>
        </w:tc>
        <w:tc>
          <w:tcPr>
            <w:tcW w:w="1626" w:type="dxa"/>
            <w:vAlign w:val="center"/>
          </w:tcPr>
          <w:p w14:paraId="47355364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70 (9.472)</w:t>
            </w:r>
          </w:p>
        </w:tc>
        <w:tc>
          <w:tcPr>
            <w:tcW w:w="976" w:type="dxa"/>
          </w:tcPr>
          <w:p w14:paraId="6847622D">
            <w:pPr>
              <w:spacing w:before="0" w:after="0" w:line="240" w:lineRule="auto"/>
              <w:jc w:val="center"/>
            </w:pPr>
          </w:p>
        </w:tc>
      </w:tr>
      <w:tr w14:paraId="1FAB8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</w:tcPr>
          <w:p w14:paraId="66799A51">
            <w:pPr>
              <w:spacing w:before="0" w:after="0" w:line="240" w:lineRule="auto"/>
              <w:ind w:left="288"/>
              <w:jc w:val="left"/>
            </w:pPr>
            <w:r>
              <w:rPr>
                <w:rFonts w:ascii="Times New Roman" w:hAnsi="Times New Roman"/>
                <w:b w:val="0"/>
                <w:sz w:val="18"/>
              </w:rPr>
              <w:t>Married</w:t>
            </w:r>
          </w:p>
        </w:tc>
        <w:tc>
          <w:tcPr>
            <w:tcW w:w="1634" w:type="dxa"/>
            <w:vAlign w:val="center"/>
          </w:tcPr>
          <w:p w14:paraId="2843FB15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1088 (85.266)</w:t>
            </w:r>
          </w:p>
        </w:tc>
        <w:tc>
          <w:tcPr>
            <w:tcW w:w="1648" w:type="dxa"/>
            <w:vAlign w:val="center"/>
          </w:tcPr>
          <w:p w14:paraId="50DFB3A3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3372 (90.841)</w:t>
            </w:r>
          </w:p>
        </w:tc>
        <w:tc>
          <w:tcPr>
            <w:tcW w:w="1626" w:type="dxa"/>
            <w:vAlign w:val="center"/>
          </w:tcPr>
          <w:p w14:paraId="2EDC5328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669 (90.528)</w:t>
            </w:r>
          </w:p>
        </w:tc>
        <w:tc>
          <w:tcPr>
            <w:tcW w:w="976" w:type="dxa"/>
          </w:tcPr>
          <w:p w14:paraId="7DC4A4F7">
            <w:pPr>
              <w:spacing w:before="0" w:after="0" w:line="240" w:lineRule="auto"/>
              <w:jc w:val="center"/>
            </w:pPr>
          </w:p>
        </w:tc>
      </w:tr>
      <w:tr w14:paraId="66010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</w:tcPr>
          <w:p w14:paraId="1D46026C"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b/>
                <w:sz w:val="18"/>
              </w:rPr>
              <w:t>Smoking, n (%)</w:t>
            </w:r>
          </w:p>
        </w:tc>
        <w:tc>
          <w:tcPr>
            <w:tcW w:w="1634" w:type="dxa"/>
            <w:vAlign w:val="center"/>
          </w:tcPr>
          <w:p w14:paraId="3AEEC546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</w:p>
        </w:tc>
        <w:tc>
          <w:tcPr>
            <w:tcW w:w="1648" w:type="dxa"/>
            <w:vAlign w:val="center"/>
          </w:tcPr>
          <w:p w14:paraId="388FD3CD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</w:p>
        </w:tc>
        <w:tc>
          <w:tcPr>
            <w:tcW w:w="1626" w:type="dxa"/>
            <w:vAlign w:val="center"/>
          </w:tcPr>
          <w:p w14:paraId="28E7B8AF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</w:p>
        </w:tc>
        <w:tc>
          <w:tcPr>
            <w:tcW w:w="976" w:type="dxa"/>
          </w:tcPr>
          <w:p w14:paraId="431B59D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8"/>
              </w:rPr>
              <w:t>0.010</w:t>
            </w:r>
          </w:p>
        </w:tc>
      </w:tr>
      <w:tr w14:paraId="6FA5D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</w:tcPr>
          <w:p w14:paraId="764E5B9A">
            <w:pPr>
              <w:spacing w:before="0" w:after="0" w:line="240" w:lineRule="auto"/>
              <w:ind w:left="288"/>
              <w:jc w:val="left"/>
            </w:pPr>
            <w:r>
              <w:rPr>
                <w:rFonts w:ascii="Times New Roman" w:hAnsi="Times New Roman"/>
                <w:b w:val="0"/>
                <w:sz w:val="18"/>
              </w:rPr>
              <w:t>No</w:t>
            </w:r>
          </w:p>
        </w:tc>
        <w:tc>
          <w:tcPr>
            <w:tcW w:w="1634" w:type="dxa"/>
            <w:vAlign w:val="center"/>
          </w:tcPr>
          <w:p w14:paraId="7CB579D3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742 (58.150)</w:t>
            </w:r>
          </w:p>
        </w:tc>
        <w:tc>
          <w:tcPr>
            <w:tcW w:w="1648" w:type="dxa"/>
            <w:vAlign w:val="center"/>
          </w:tcPr>
          <w:p w14:paraId="7AB0C9F4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2333 (62.850)</w:t>
            </w:r>
          </w:p>
        </w:tc>
        <w:tc>
          <w:tcPr>
            <w:tcW w:w="1626" w:type="dxa"/>
            <w:vAlign w:val="center"/>
          </w:tcPr>
          <w:p w14:paraId="2025D333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464 (62.788)</w:t>
            </w:r>
          </w:p>
        </w:tc>
        <w:tc>
          <w:tcPr>
            <w:tcW w:w="976" w:type="dxa"/>
          </w:tcPr>
          <w:p w14:paraId="77970A55">
            <w:pPr>
              <w:spacing w:before="0" w:after="0" w:line="240" w:lineRule="auto"/>
              <w:jc w:val="center"/>
            </w:pPr>
          </w:p>
        </w:tc>
      </w:tr>
      <w:tr w14:paraId="70F43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</w:tcPr>
          <w:p w14:paraId="220C588F">
            <w:pPr>
              <w:spacing w:before="0" w:after="0" w:line="240" w:lineRule="auto"/>
              <w:ind w:left="288"/>
              <w:jc w:val="left"/>
            </w:pPr>
            <w:r>
              <w:rPr>
                <w:rFonts w:ascii="Times New Roman" w:hAnsi="Times New Roman"/>
                <w:b w:val="0"/>
                <w:sz w:val="18"/>
              </w:rPr>
              <w:t>Yes</w:t>
            </w:r>
          </w:p>
        </w:tc>
        <w:tc>
          <w:tcPr>
            <w:tcW w:w="1634" w:type="dxa"/>
            <w:vAlign w:val="center"/>
          </w:tcPr>
          <w:p w14:paraId="117EA05A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534 (41.850)</w:t>
            </w:r>
          </w:p>
        </w:tc>
        <w:tc>
          <w:tcPr>
            <w:tcW w:w="1648" w:type="dxa"/>
            <w:vAlign w:val="center"/>
          </w:tcPr>
          <w:p w14:paraId="7CEDC88A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1379 (37.150)</w:t>
            </w:r>
          </w:p>
        </w:tc>
        <w:tc>
          <w:tcPr>
            <w:tcW w:w="1626" w:type="dxa"/>
            <w:vAlign w:val="center"/>
          </w:tcPr>
          <w:p w14:paraId="3821BE39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275 (37.212)</w:t>
            </w:r>
          </w:p>
        </w:tc>
        <w:tc>
          <w:tcPr>
            <w:tcW w:w="976" w:type="dxa"/>
          </w:tcPr>
          <w:p w14:paraId="3CE4AC07">
            <w:pPr>
              <w:spacing w:before="0" w:after="0" w:line="240" w:lineRule="auto"/>
              <w:jc w:val="center"/>
            </w:pPr>
          </w:p>
        </w:tc>
      </w:tr>
      <w:tr w14:paraId="7F52E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</w:tcPr>
          <w:p w14:paraId="485BCA89"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b/>
                <w:sz w:val="18"/>
              </w:rPr>
              <w:t>Drinking, n (%)</w:t>
            </w:r>
          </w:p>
        </w:tc>
        <w:tc>
          <w:tcPr>
            <w:tcW w:w="1634" w:type="dxa"/>
            <w:vAlign w:val="center"/>
          </w:tcPr>
          <w:p w14:paraId="4D7FFED0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</w:p>
        </w:tc>
        <w:tc>
          <w:tcPr>
            <w:tcW w:w="1648" w:type="dxa"/>
            <w:vAlign w:val="center"/>
          </w:tcPr>
          <w:p w14:paraId="05DA3796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</w:p>
        </w:tc>
        <w:tc>
          <w:tcPr>
            <w:tcW w:w="1626" w:type="dxa"/>
            <w:vAlign w:val="center"/>
          </w:tcPr>
          <w:p w14:paraId="3D39E077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</w:p>
        </w:tc>
        <w:tc>
          <w:tcPr>
            <w:tcW w:w="976" w:type="dxa"/>
          </w:tcPr>
          <w:p w14:paraId="31F3EEF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8"/>
              </w:rPr>
              <w:t>0.503</w:t>
            </w:r>
          </w:p>
        </w:tc>
      </w:tr>
      <w:tr w14:paraId="433D8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</w:tcPr>
          <w:p w14:paraId="43170C88">
            <w:pPr>
              <w:spacing w:before="0" w:after="0" w:line="240" w:lineRule="auto"/>
              <w:ind w:left="288"/>
              <w:jc w:val="left"/>
            </w:pPr>
            <w:r>
              <w:rPr>
                <w:rFonts w:ascii="Times New Roman" w:hAnsi="Times New Roman"/>
                <w:b w:val="0"/>
                <w:sz w:val="18"/>
              </w:rPr>
              <w:t>No</w:t>
            </w:r>
          </w:p>
        </w:tc>
        <w:tc>
          <w:tcPr>
            <w:tcW w:w="1634" w:type="dxa"/>
            <w:vAlign w:val="center"/>
          </w:tcPr>
          <w:p w14:paraId="774D2608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773 (60.580)</w:t>
            </w:r>
          </w:p>
        </w:tc>
        <w:tc>
          <w:tcPr>
            <w:tcW w:w="1648" w:type="dxa"/>
            <w:vAlign w:val="center"/>
          </w:tcPr>
          <w:p w14:paraId="284E4FC1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2306 (62.123)</w:t>
            </w:r>
          </w:p>
        </w:tc>
        <w:tc>
          <w:tcPr>
            <w:tcW w:w="1626" w:type="dxa"/>
            <w:vAlign w:val="center"/>
          </w:tcPr>
          <w:p w14:paraId="51689D04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447 (60.487)</w:t>
            </w:r>
          </w:p>
        </w:tc>
        <w:tc>
          <w:tcPr>
            <w:tcW w:w="976" w:type="dxa"/>
          </w:tcPr>
          <w:p w14:paraId="6D057EAB">
            <w:pPr>
              <w:spacing w:before="0" w:after="0" w:line="240" w:lineRule="auto"/>
              <w:jc w:val="center"/>
            </w:pPr>
          </w:p>
        </w:tc>
      </w:tr>
      <w:tr w14:paraId="61F71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</w:tcPr>
          <w:p w14:paraId="217F83CE">
            <w:pPr>
              <w:spacing w:before="0" w:after="0" w:line="240" w:lineRule="auto"/>
              <w:ind w:left="288"/>
              <w:jc w:val="left"/>
            </w:pPr>
            <w:r>
              <w:rPr>
                <w:rFonts w:ascii="Times New Roman" w:hAnsi="Times New Roman"/>
                <w:b w:val="0"/>
                <w:sz w:val="18"/>
              </w:rPr>
              <w:t>Yes</w:t>
            </w:r>
          </w:p>
        </w:tc>
        <w:tc>
          <w:tcPr>
            <w:tcW w:w="1634" w:type="dxa"/>
            <w:vAlign w:val="center"/>
          </w:tcPr>
          <w:p w14:paraId="43024205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503 (39.420)</w:t>
            </w:r>
          </w:p>
        </w:tc>
        <w:tc>
          <w:tcPr>
            <w:tcW w:w="1648" w:type="dxa"/>
            <w:vAlign w:val="center"/>
          </w:tcPr>
          <w:p w14:paraId="58A34515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1406 (37.877)</w:t>
            </w:r>
          </w:p>
        </w:tc>
        <w:tc>
          <w:tcPr>
            <w:tcW w:w="1626" w:type="dxa"/>
            <w:vAlign w:val="center"/>
          </w:tcPr>
          <w:p w14:paraId="029EF26D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292 (39.513)</w:t>
            </w:r>
          </w:p>
        </w:tc>
        <w:tc>
          <w:tcPr>
            <w:tcW w:w="976" w:type="dxa"/>
          </w:tcPr>
          <w:p w14:paraId="6F864308">
            <w:pPr>
              <w:spacing w:before="0" w:after="0" w:line="240" w:lineRule="auto"/>
              <w:jc w:val="center"/>
            </w:pPr>
          </w:p>
        </w:tc>
      </w:tr>
      <w:tr w14:paraId="387A4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</w:tcPr>
          <w:p w14:paraId="46F467D3"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b/>
                <w:sz w:val="18"/>
              </w:rPr>
              <w:t>BMI, n (%)</w:t>
            </w:r>
          </w:p>
        </w:tc>
        <w:tc>
          <w:tcPr>
            <w:tcW w:w="1634" w:type="dxa"/>
            <w:vAlign w:val="center"/>
          </w:tcPr>
          <w:p w14:paraId="58248030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</w:p>
        </w:tc>
        <w:tc>
          <w:tcPr>
            <w:tcW w:w="1648" w:type="dxa"/>
            <w:vAlign w:val="center"/>
          </w:tcPr>
          <w:p w14:paraId="0132BF4D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</w:p>
        </w:tc>
        <w:tc>
          <w:tcPr>
            <w:tcW w:w="1626" w:type="dxa"/>
            <w:vAlign w:val="center"/>
          </w:tcPr>
          <w:p w14:paraId="5FF3C84B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</w:p>
        </w:tc>
        <w:tc>
          <w:tcPr>
            <w:tcW w:w="976" w:type="dxa"/>
          </w:tcPr>
          <w:p w14:paraId="5C05CF6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8"/>
              </w:rPr>
              <w:t>&lt;0.001</w:t>
            </w:r>
          </w:p>
        </w:tc>
      </w:tr>
      <w:tr w14:paraId="37A5D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  <w:shd w:val="clear" w:color="auto" w:fill="auto"/>
            <w:vAlign w:val="top"/>
          </w:tcPr>
          <w:p w14:paraId="463D21E1">
            <w:pPr>
              <w:spacing w:before="0" w:after="0" w:line="240" w:lineRule="auto"/>
              <w:ind w:left="288" w:leftChars="0"/>
              <w:jc w:val="left"/>
              <w:rPr>
                <w:rFonts w:asciiTheme="minorHAnsi" w:hAnsiTheme="minorHAnsi" w:eastAsiaTheme="minorEastAsia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b w:val="0"/>
                <w:sz w:val="18"/>
              </w:rPr>
              <w:t>Underweight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615E72EC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  <w:lang w:val="en-US" w:eastAsia="en-US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149 (11.677)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7748FC44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  <w:lang w:val="en-US" w:eastAsia="en-US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179 (4.822)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B264F93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  <w:lang w:val="en-US" w:eastAsia="en-US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21 (2.842)</w:t>
            </w:r>
          </w:p>
        </w:tc>
        <w:tc>
          <w:tcPr>
            <w:tcW w:w="976" w:type="dxa"/>
          </w:tcPr>
          <w:p w14:paraId="7AC3E80E">
            <w:pPr>
              <w:spacing w:before="0" w:after="0" w:line="240" w:lineRule="auto"/>
              <w:jc w:val="center"/>
            </w:pPr>
          </w:p>
        </w:tc>
      </w:tr>
      <w:tr w14:paraId="3D368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  <w:shd w:val="clear" w:color="auto" w:fill="auto"/>
            <w:vAlign w:val="top"/>
          </w:tcPr>
          <w:p w14:paraId="2F900C36">
            <w:pPr>
              <w:spacing w:before="0" w:after="0" w:line="240" w:lineRule="auto"/>
              <w:ind w:left="288" w:leftChars="0"/>
              <w:jc w:val="left"/>
              <w:rPr>
                <w:rFonts w:asciiTheme="minorHAnsi" w:hAnsiTheme="minorHAnsi" w:eastAsiaTheme="minorEastAsia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b w:val="0"/>
                <w:sz w:val="18"/>
              </w:rPr>
              <w:t>Normal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58C80B51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  <w:lang w:val="en-US" w:eastAsia="en-US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698 (54.687)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2B45DAC3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  <w:lang w:val="en-US" w:eastAsia="en-US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1987 (53.539)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BA1E174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  <w:lang w:val="en-US" w:eastAsia="en-US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331 (44.790)</w:t>
            </w:r>
          </w:p>
        </w:tc>
        <w:tc>
          <w:tcPr>
            <w:tcW w:w="976" w:type="dxa"/>
          </w:tcPr>
          <w:p w14:paraId="61507CC5">
            <w:pPr>
              <w:spacing w:before="0" w:after="0" w:line="240" w:lineRule="auto"/>
              <w:jc w:val="center"/>
            </w:pPr>
          </w:p>
        </w:tc>
      </w:tr>
      <w:tr w14:paraId="73BEC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  <w:shd w:val="clear" w:color="auto" w:fill="auto"/>
            <w:vAlign w:val="top"/>
          </w:tcPr>
          <w:p w14:paraId="34DBB7CC">
            <w:pPr>
              <w:spacing w:before="0" w:after="0" w:line="240" w:lineRule="auto"/>
              <w:ind w:left="288" w:leftChars="0"/>
              <w:jc w:val="left"/>
              <w:rPr>
                <w:rFonts w:asciiTheme="minorHAnsi" w:hAnsiTheme="minorHAnsi" w:eastAsiaTheme="minorEastAsia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b w:val="0"/>
                <w:sz w:val="18"/>
              </w:rPr>
              <w:t>Overweight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1DD5F24F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  <w:lang w:val="en-US" w:eastAsia="en-US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318 (24.922)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08CA44F6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  <w:lang w:val="en-US" w:eastAsia="en-US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1097 (29.553)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2C12C7C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  <w:lang w:val="en-US" w:eastAsia="en-US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268 (36.265)</w:t>
            </w:r>
          </w:p>
        </w:tc>
        <w:tc>
          <w:tcPr>
            <w:tcW w:w="976" w:type="dxa"/>
          </w:tcPr>
          <w:p w14:paraId="68B1615F">
            <w:pPr>
              <w:spacing w:before="0" w:after="0" w:line="240" w:lineRule="auto"/>
              <w:jc w:val="center"/>
            </w:pPr>
          </w:p>
        </w:tc>
      </w:tr>
      <w:tr w14:paraId="5E345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  <w:shd w:val="clear" w:color="auto" w:fill="auto"/>
            <w:vAlign w:val="top"/>
          </w:tcPr>
          <w:p w14:paraId="50417797">
            <w:pPr>
              <w:spacing w:before="0" w:after="0" w:line="240" w:lineRule="auto"/>
              <w:ind w:left="288" w:leftChars="0"/>
              <w:jc w:val="left"/>
              <w:rPr>
                <w:rFonts w:asciiTheme="minorHAnsi" w:hAnsiTheme="minorHAnsi" w:eastAsiaTheme="minorEastAsia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b w:val="0"/>
                <w:sz w:val="18"/>
              </w:rPr>
              <w:t>Obese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207F7000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  <w:lang w:val="en-US" w:eastAsia="en-US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111 (8.699)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4E8404D5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  <w:lang w:val="en-US" w:eastAsia="en-US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449 (12.090)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500067F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  <w:lang w:val="en-US" w:eastAsia="en-US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119 (16.103)</w:t>
            </w:r>
          </w:p>
        </w:tc>
        <w:tc>
          <w:tcPr>
            <w:tcW w:w="976" w:type="dxa"/>
          </w:tcPr>
          <w:p w14:paraId="718B609F">
            <w:pPr>
              <w:spacing w:before="0" w:after="0" w:line="240" w:lineRule="auto"/>
              <w:jc w:val="center"/>
            </w:pPr>
          </w:p>
        </w:tc>
      </w:tr>
      <w:tr w14:paraId="374E8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</w:tcPr>
          <w:p w14:paraId="6B36E466"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b/>
                <w:sz w:val="18"/>
              </w:rPr>
              <w:t>Comorbidity count, n (%)</w:t>
            </w:r>
          </w:p>
        </w:tc>
        <w:tc>
          <w:tcPr>
            <w:tcW w:w="1634" w:type="dxa"/>
            <w:vAlign w:val="center"/>
          </w:tcPr>
          <w:p w14:paraId="0DE2C531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</w:p>
        </w:tc>
        <w:tc>
          <w:tcPr>
            <w:tcW w:w="1648" w:type="dxa"/>
            <w:vAlign w:val="center"/>
          </w:tcPr>
          <w:p w14:paraId="67E4346A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</w:p>
        </w:tc>
        <w:tc>
          <w:tcPr>
            <w:tcW w:w="1626" w:type="dxa"/>
            <w:vAlign w:val="center"/>
          </w:tcPr>
          <w:p w14:paraId="12CDE917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</w:p>
        </w:tc>
        <w:tc>
          <w:tcPr>
            <w:tcW w:w="976" w:type="dxa"/>
          </w:tcPr>
          <w:p w14:paraId="483E930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8"/>
              </w:rPr>
              <w:t>0.017</w:t>
            </w:r>
          </w:p>
        </w:tc>
      </w:tr>
      <w:tr w14:paraId="3F3DB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</w:tcPr>
          <w:p w14:paraId="69306D2D">
            <w:pPr>
              <w:spacing w:before="0" w:after="0" w:line="240" w:lineRule="auto"/>
              <w:ind w:left="288"/>
              <w:jc w:val="left"/>
            </w:pPr>
            <w:r>
              <w:rPr>
                <w:rFonts w:ascii="Times New Roman" w:hAnsi="Times New Roman"/>
                <w:b w:val="0"/>
                <w:sz w:val="18"/>
              </w:rPr>
              <w:t>0</w:t>
            </w:r>
          </w:p>
        </w:tc>
        <w:tc>
          <w:tcPr>
            <w:tcW w:w="1634" w:type="dxa"/>
            <w:vAlign w:val="center"/>
          </w:tcPr>
          <w:p w14:paraId="44FD5D2A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410 (32.132)</w:t>
            </w:r>
          </w:p>
        </w:tc>
        <w:tc>
          <w:tcPr>
            <w:tcW w:w="1648" w:type="dxa"/>
            <w:vAlign w:val="center"/>
          </w:tcPr>
          <w:p w14:paraId="7DF7DAAA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1380 (37.177)</w:t>
            </w:r>
          </w:p>
        </w:tc>
        <w:tc>
          <w:tcPr>
            <w:tcW w:w="1626" w:type="dxa"/>
            <w:vAlign w:val="center"/>
          </w:tcPr>
          <w:p w14:paraId="567C53FD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257 (34.777)</w:t>
            </w:r>
          </w:p>
        </w:tc>
        <w:tc>
          <w:tcPr>
            <w:tcW w:w="976" w:type="dxa"/>
          </w:tcPr>
          <w:p w14:paraId="4032C3B9">
            <w:pPr>
              <w:spacing w:before="0" w:after="0" w:line="240" w:lineRule="auto"/>
              <w:jc w:val="center"/>
            </w:pPr>
          </w:p>
        </w:tc>
      </w:tr>
      <w:tr w14:paraId="5DAAF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</w:tcPr>
          <w:p w14:paraId="7B496C7E">
            <w:pPr>
              <w:spacing w:before="0" w:after="0" w:line="240" w:lineRule="auto"/>
              <w:ind w:left="288"/>
              <w:jc w:val="left"/>
            </w:pPr>
            <w:r>
              <w:rPr>
                <w:rFonts w:ascii="Times New Roman" w:hAnsi="Times New Roman"/>
                <w:b w:val="0"/>
                <w:sz w:val="18"/>
              </w:rPr>
              <w:t>1</w:t>
            </w:r>
          </w:p>
        </w:tc>
        <w:tc>
          <w:tcPr>
            <w:tcW w:w="1634" w:type="dxa"/>
            <w:vAlign w:val="center"/>
          </w:tcPr>
          <w:p w14:paraId="4ECA3441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414 (32.445)</w:t>
            </w:r>
          </w:p>
        </w:tc>
        <w:tc>
          <w:tcPr>
            <w:tcW w:w="1648" w:type="dxa"/>
            <w:vAlign w:val="center"/>
          </w:tcPr>
          <w:p w14:paraId="2E2F7090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1137 (30.633)</w:t>
            </w:r>
          </w:p>
        </w:tc>
        <w:tc>
          <w:tcPr>
            <w:tcW w:w="1626" w:type="dxa"/>
            <w:vAlign w:val="center"/>
          </w:tcPr>
          <w:p w14:paraId="6402C975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245 (33.153)</w:t>
            </w:r>
          </w:p>
        </w:tc>
        <w:tc>
          <w:tcPr>
            <w:tcW w:w="976" w:type="dxa"/>
          </w:tcPr>
          <w:p w14:paraId="2D6766CF">
            <w:pPr>
              <w:spacing w:before="0" w:after="0" w:line="240" w:lineRule="auto"/>
              <w:jc w:val="center"/>
            </w:pPr>
          </w:p>
        </w:tc>
      </w:tr>
      <w:tr w14:paraId="735F8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</w:tcPr>
          <w:p w14:paraId="4E64DB83">
            <w:pPr>
              <w:spacing w:before="0" w:after="0" w:line="240" w:lineRule="auto"/>
              <w:ind w:left="288"/>
              <w:jc w:val="left"/>
            </w:pPr>
            <w:r>
              <w:rPr>
                <w:rFonts w:ascii="Times New Roman" w:hAnsi="Times New Roman"/>
                <w:b w:val="0"/>
                <w:sz w:val="18"/>
              </w:rPr>
              <w:t>≥2</w:t>
            </w:r>
          </w:p>
        </w:tc>
        <w:tc>
          <w:tcPr>
            <w:tcW w:w="1634" w:type="dxa"/>
            <w:vAlign w:val="center"/>
          </w:tcPr>
          <w:p w14:paraId="43A384F0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452 (35.423)</w:t>
            </w:r>
          </w:p>
        </w:tc>
        <w:tc>
          <w:tcPr>
            <w:tcW w:w="1648" w:type="dxa"/>
            <w:vAlign w:val="center"/>
          </w:tcPr>
          <w:p w14:paraId="5808585C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1195 (32.193)</w:t>
            </w:r>
          </w:p>
        </w:tc>
        <w:tc>
          <w:tcPr>
            <w:tcW w:w="1626" w:type="dxa"/>
            <w:vAlign w:val="center"/>
          </w:tcPr>
          <w:p w14:paraId="79D47A0A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237 (32.070)</w:t>
            </w:r>
          </w:p>
        </w:tc>
        <w:tc>
          <w:tcPr>
            <w:tcW w:w="976" w:type="dxa"/>
          </w:tcPr>
          <w:p w14:paraId="2C729488">
            <w:pPr>
              <w:spacing w:before="0" w:after="0" w:line="240" w:lineRule="auto"/>
              <w:jc w:val="center"/>
            </w:pPr>
          </w:p>
        </w:tc>
      </w:tr>
      <w:tr w14:paraId="41FFC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</w:tcPr>
          <w:p w14:paraId="63DE2958"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b/>
                <w:sz w:val="18"/>
              </w:rPr>
              <w:t>Hip fracture during follow-up, n (%)</w:t>
            </w:r>
          </w:p>
        </w:tc>
        <w:tc>
          <w:tcPr>
            <w:tcW w:w="1634" w:type="dxa"/>
            <w:vAlign w:val="center"/>
          </w:tcPr>
          <w:p w14:paraId="62C0C223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</w:p>
        </w:tc>
        <w:tc>
          <w:tcPr>
            <w:tcW w:w="1648" w:type="dxa"/>
            <w:vAlign w:val="center"/>
          </w:tcPr>
          <w:p w14:paraId="7EDA59D7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</w:p>
        </w:tc>
        <w:tc>
          <w:tcPr>
            <w:tcW w:w="1626" w:type="dxa"/>
            <w:vAlign w:val="center"/>
          </w:tcPr>
          <w:p w14:paraId="7BDACB0F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</w:p>
        </w:tc>
        <w:tc>
          <w:tcPr>
            <w:tcW w:w="976" w:type="dxa"/>
          </w:tcPr>
          <w:p w14:paraId="2F6149A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8"/>
              </w:rPr>
              <w:t>0.010</w:t>
            </w:r>
          </w:p>
        </w:tc>
      </w:tr>
      <w:tr w14:paraId="66505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</w:tcPr>
          <w:p w14:paraId="5E83B752">
            <w:pPr>
              <w:spacing w:before="0" w:after="0" w:line="240" w:lineRule="auto"/>
              <w:ind w:left="288"/>
              <w:jc w:val="left"/>
            </w:pPr>
            <w:r>
              <w:rPr>
                <w:rFonts w:ascii="Times New Roman" w:hAnsi="Times New Roman"/>
                <w:b w:val="0"/>
                <w:sz w:val="18"/>
              </w:rPr>
              <w:t>No</w:t>
            </w:r>
          </w:p>
        </w:tc>
        <w:tc>
          <w:tcPr>
            <w:tcW w:w="1634" w:type="dxa"/>
            <w:vAlign w:val="center"/>
          </w:tcPr>
          <w:p w14:paraId="7BFEBC6A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1239 (97.100)</w:t>
            </w:r>
          </w:p>
        </w:tc>
        <w:tc>
          <w:tcPr>
            <w:tcW w:w="1648" w:type="dxa"/>
            <w:vAlign w:val="center"/>
          </w:tcPr>
          <w:p w14:paraId="46A15B6C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3639 (98.033)</w:t>
            </w:r>
          </w:p>
        </w:tc>
        <w:tc>
          <w:tcPr>
            <w:tcW w:w="1626" w:type="dxa"/>
            <w:vAlign w:val="center"/>
          </w:tcPr>
          <w:p w14:paraId="53B1C3EA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732 (99.053)</w:t>
            </w:r>
          </w:p>
        </w:tc>
        <w:tc>
          <w:tcPr>
            <w:tcW w:w="976" w:type="dxa"/>
          </w:tcPr>
          <w:p w14:paraId="05A05AF2">
            <w:pPr>
              <w:spacing w:before="0" w:after="0" w:line="240" w:lineRule="auto"/>
              <w:jc w:val="center"/>
            </w:pPr>
          </w:p>
        </w:tc>
      </w:tr>
      <w:tr w14:paraId="6376E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</w:tcPr>
          <w:p w14:paraId="34FEB9DF">
            <w:pPr>
              <w:spacing w:before="0" w:after="0" w:line="240" w:lineRule="auto"/>
              <w:ind w:left="288"/>
              <w:jc w:val="left"/>
            </w:pPr>
            <w:r>
              <w:rPr>
                <w:rFonts w:ascii="Times New Roman" w:hAnsi="Times New Roman"/>
                <w:b w:val="0"/>
                <w:sz w:val="18"/>
              </w:rPr>
              <w:t>Yes</w:t>
            </w:r>
          </w:p>
        </w:tc>
        <w:tc>
          <w:tcPr>
            <w:tcW w:w="1634" w:type="dxa"/>
            <w:vAlign w:val="center"/>
          </w:tcPr>
          <w:p w14:paraId="6F933F76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37 (2.900)</w:t>
            </w:r>
          </w:p>
        </w:tc>
        <w:tc>
          <w:tcPr>
            <w:tcW w:w="1648" w:type="dxa"/>
            <w:vAlign w:val="center"/>
          </w:tcPr>
          <w:p w14:paraId="17CE0E17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73 (1.967)</w:t>
            </w:r>
          </w:p>
        </w:tc>
        <w:tc>
          <w:tcPr>
            <w:tcW w:w="1626" w:type="dxa"/>
            <w:vAlign w:val="center"/>
          </w:tcPr>
          <w:p w14:paraId="0C0701D0">
            <w:pPr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  <w:lang w:val="en-US" w:eastAsia="zh-CN"/>
              </w:rPr>
              <w:t>7 (0.947)</w:t>
            </w:r>
          </w:p>
        </w:tc>
        <w:tc>
          <w:tcPr>
            <w:tcW w:w="976" w:type="dxa"/>
          </w:tcPr>
          <w:p w14:paraId="19BC19CD">
            <w:pPr>
              <w:spacing w:before="0" w:after="0" w:line="240" w:lineRule="auto"/>
              <w:jc w:val="center"/>
            </w:pPr>
          </w:p>
        </w:tc>
      </w:tr>
    </w:tbl>
    <w:p w14:paraId="7EC99013">
      <w:pPr>
        <w:spacing w:before="20"/>
        <w:jc w:val="left"/>
        <w:rPr>
          <w:i w:val="0"/>
          <w:iCs/>
          <w:sz w:val="18"/>
          <w:szCs w:val="18"/>
        </w:rPr>
      </w:pPr>
      <w:r>
        <w:rPr>
          <w:rFonts w:ascii="Times New Roman" w:hAnsi="Times New Roman"/>
          <w:i w:val="0"/>
          <w:iCs/>
          <w:sz w:val="18"/>
          <w:szCs w:val="18"/>
        </w:rPr>
        <w:t>Data are presented as median [IQR], mean (SD), or n (%).</w:t>
      </w:r>
    </w:p>
    <w:p w14:paraId="2232901D">
      <w:pPr>
        <w:spacing w:before="20"/>
        <w:jc w:val="left"/>
        <w:rPr>
          <w:i w:val="0"/>
          <w:iCs/>
          <w:sz w:val="18"/>
          <w:szCs w:val="18"/>
        </w:rPr>
      </w:pPr>
      <w:r>
        <w:rPr>
          <w:rFonts w:ascii="Times New Roman" w:hAnsi="Times New Roman"/>
          <w:i w:val="0"/>
          <w:iCs/>
          <w:sz w:val="18"/>
          <w:szCs w:val="18"/>
        </w:rPr>
        <w:t>P values were derived from ANOVA, Kruskal-Wallis, or chi-square tests as appropriate.</w:t>
      </w:r>
    </w:p>
    <w:p w14:paraId="6B5AD1D0">
      <w:pPr>
        <w:spacing w:before="20"/>
        <w:jc w:val="left"/>
        <w:rPr>
          <w:i w:val="0"/>
          <w:iCs/>
          <w:sz w:val="18"/>
          <w:szCs w:val="18"/>
        </w:rPr>
      </w:pPr>
      <w:r>
        <w:rPr>
          <w:rFonts w:ascii="Times New Roman" w:hAnsi="Times New Roman"/>
          <w:i w:val="0"/>
          <w:iCs/>
          <w:sz w:val="18"/>
          <w:szCs w:val="18"/>
        </w:rPr>
        <w:t>PEF trajectory groups were identified using group-based trajectory modelling (GBTM) based on three waves of PEF measurements (2011, 2013, 2015).</w:t>
      </w:r>
    </w:p>
    <w:p w14:paraId="3A656D53">
      <w:pPr>
        <w:spacing w:before="20"/>
        <w:jc w:val="left"/>
        <w:rPr>
          <w:i w:val="0"/>
          <w:iCs/>
          <w:sz w:val="18"/>
          <w:szCs w:val="18"/>
        </w:rPr>
      </w:pPr>
      <w:r>
        <w:rPr>
          <w:rFonts w:ascii="Times New Roman" w:hAnsi="Times New Roman"/>
          <w:i w:val="0"/>
          <w:iCs/>
          <w:sz w:val="18"/>
          <w:szCs w:val="18"/>
        </w:rPr>
        <w:t>Abbreviations: PEF, peak expiratory flow; BMI, body mass index.</w:t>
      </w:r>
    </w:p>
    <w:p w14:paraId="5C21D12F">
      <w:pPr>
        <w:jc w:val="both"/>
        <w:rPr>
          <w:rFonts w:ascii="Times New Roman" w:hAnsi="Times New Roman"/>
          <w:i w:val="0"/>
          <w:iCs/>
          <w:sz w:val="18"/>
          <w:szCs w:val="18"/>
        </w:rPr>
        <w:sectPr>
          <w:pgSz w:w="12240" w:h="15840"/>
          <w:pgMar w:top="1440" w:right="1800" w:bottom="1440" w:left="180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60" w:charSpace="0"/>
        </w:sectPr>
      </w:pPr>
    </w:p>
    <w:p w14:paraId="306B63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76" w:lineRule="auto"/>
        <w:jc w:val="center"/>
        <w:textAlignment w:val="auto"/>
        <w:rPr>
          <w:rFonts w:hint="default" w:ascii="Times New Roman" w:hAnsi="Times New Roman" w:cs="Times New Roman"/>
          <w:b/>
          <w:sz w:val="21"/>
          <w:szCs w:val="21"/>
        </w:rPr>
      </w:pPr>
      <w:r>
        <w:rPr>
          <w:rFonts w:hint="default" w:ascii="Times New Roman" w:hAnsi="Times New Roman" w:cs="Times New Roman"/>
          <w:b/>
          <w:sz w:val="21"/>
          <w:szCs w:val="21"/>
        </w:rPr>
        <w:t>eFigure 2. PEF trajectory patterns and group assignment.</w:t>
      </w:r>
    </w:p>
    <w:p w14:paraId="335DB2B0">
      <w:pPr>
        <w:jc w:val="both"/>
        <w:rPr>
          <w:rFonts w:ascii="Times New Roman" w:hAnsi="Times New Roman"/>
          <w:i w:val="0"/>
          <w:iCs/>
          <w:sz w:val="18"/>
          <w:szCs w:val="18"/>
        </w:rPr>
      </w:pPr>
    </w:p>
    <w:p w14:paraId="29CCB9E9">
      <w:pPr>
        <w:spacing w:before="40"/>
        <w:jc w:val="left"/>
        <w:rPr>
          <w:rFonts w:hint="eastAsia" w:ascii="Times New Roman" w:hAnsi="Times New Roman" w:eastAsia="宋体"/>
          <w:i w:val="0"/>
          <w:iCs/>
          <w:sz w:val="18"/>
          <w:szCs w:val="18"/>
          <w:lang w:eastAsia="zh-CN"/>
        </w:rPr>
      </w:pPr>
      <w:r>
        <w:rPr>
          <w:rFonts w:hint="eastAsia" w:ascii="Times New Roman" w:hAnsi="Times New Roman" w:eastAsia="宋体"/>
          <w:i w:val="0"/>
          <w:iCs/>
          <w:sz w:val="18"/>
          <w:szCs w:val="18"/>
          <w:lang w:eastAsia="zh-CN"/>
        </w:rPr>
        <w:drawing>
          <wp:inline distT="0" distB="0" distL="114300" distR="114300">
            <wp:extent cx="5478780" cy="2474595"/>
            <wp:effectExtent l="0" t="0" r="7620" b="1905"/>
            <wp:docPr id="8" name="图片 8" descr="eFigure2_轨迹_Alluv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eFigure2_轨迹_Alluvial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78780" cy="247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1979D">
      <w:pPr>
        <w:jc w:val="both"/>
        <w:rPr>
          <w:rFonts w:ascii="Times New Roman" w:hAnsi="Times New Roman"/>
          <w:i w:val="0"/>
          <w:iCs/>
          <w:sz w:val="18"/>
          <w:szCs w:val="18"/>
        </w:rPr>
      </w:pPr>
      <w:r>
        <w:rPr>
          <w:rFonts w:ascii="Times New Roman" w:hAnsi="Times New Roman"/>
          <w:i w:val="0"/>
          <w:iCs/>
          <w:sz w:val="18"/>
          <w:szCs w:val="18"/>
        </w:rPr>
        <w:t>(A) Group-based trajectory modelling identified three distinct PEF trajectory patterns over the 2011-2015 waves: Low-stable (22.280%), Moderate-stable (64.815%), and High-stable (12.905%). Lines represent mean predicted PEF values, with shaded bands indicating 95% confidence intervals. (B) Alluvial diagram illustrating the transition from baseline PEF quartiles to trajectory group assignment.</w:t>
      </w:r>
    </w:p>
    <w:p w14:paraId="7441BC24">
      <w:pPr>
        <w:spacing w:before="40"/>
        <w:jc w:val="left"/>
        <w:rPr>
          <w:rFonts w:hint="eastAsia" w:ascii="Times New Roman" w:hAnsi="Times New Roman" w:eastAsia="宋体"/>
          <w:i w:val="0"/>
          <w:iCs/>
          <w:sz w:val="18"/>
          <w:szCs w:val="18"/>
          <w:lang w:eastAsia="zh-CN"/>
        </w:rPr>
        <w:sectPr>
          <w:pgSz w:w="12240" w:h="15840"/>
          <w:pgMar w:top="1440" w:right="1800" w:bottom="1440" w:left="180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60" w:charSpace="0"/>
        </w:sectPr>
      </w:pPr>
    </w:p>
    <w:p w14:paraId="286332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76" w:lineRule="auto"/>
        <w:jc w:val="center"/>
        <w:textAlignment w:val="auto"/>
        <w:rPr>
          <w:rFonts w:hint="eastAsia" w:ascii="Times New Roman" w:hAnsi="Times New Roman" w:eastAsia="宋体"/>
          <w:i w:val="0"/>
          <w:iCs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b/>
          <w:sz w:val="21"/>
          <w:szCs w:val="21"/>
        </w:rPr>
        <w:t>eFigure 3. Cumulative incidence of hip fracture by PEF trajectory group.</w:t>
      </w:r>
    </w:p>
    <w:p w14:paraId="76CEB386">
      <w:pPr>
        <w:spacing w:before="40"/>
        <w:jc w:val="both"/>
        <w:rPr>
          <w:rFonts w:ascii="Times New Roman" w:hAnsi="Times New Roman"/>
          <w:sz w:val="18"/>
          <w:szCs w:val="18"/>
        </w:rPr>
        <w:sectPr>
          <w:pgSz w:w="12240" w:h="15840"/>
          <w:pgMar w:top="1440" w:right="1800" w:bottom="1440" w:left="180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60" w:charSpace="0"/>
        </w:sectPr>
      </w:pPr>
      <w:r>
        <w:rPr>
          <w:rFonts w:hint="eastAsia" w:ascii="Times New Roman" w:hAnsi="Times New Roman" w:eastAsia="宋体"/>
          <w:i w:val="0"/>
          <w:iCs/>
          <w:sz w:val="18"/>
          <w:szCs w:val="18"/>
          <w:lang w:eastAsia="zh-CN"/>
        </w:rPr>
        <w:drawing>
          <wp:inline distT="0" distB="0" distL="114300" distR="114300">
            <wp:extent cx="5486400" cy="3771900"/>
            <wp:effectExtent l="0" t="0" r="0" b="0"/>
            <wp:docPr id="9" name="图片 9" descr="eFigure3_轨迹K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eFigure3_轨迹KM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18"/>
          <w:szCs w:val="18"/>
        </w:rPr>
        <w:t>Kaplan–Meier cumulative incidence curves for hip fracture according to PEF trajectory groups (Low-stable, n=1,276; Moderate-stable, n=3,712; High-stable, n=739). Trajectory groups were identified using group-based trajectory modelling (GBTM) based on three waves of PEF measurements (2011, 2013, 2015). Shaded bands represent 95% confidence intervals.</w:t>
      </w:r>
    </w:p>
    <w:p w14:paraId="51079811">
      <w:pPr>
        <w:spacing w:after="80"/>
        <w:jc w:val="center"/>
        <w:rPr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eTable </w:t>
      </w:r>
      <w:r>
        <w:rPr>
          <w:rFonts w:hint="eastAsia" w:ascii="Times New Roman" w:hAnsi="Times New Roman" w:eastAsia="宋体"/>
          <w:b/>
          <w:sz w:val="21"/>
          <w:szCs w:val="21"/>
          <w:lang w:val="en-US" w:eastAsia="zh-CN"/>
        </w:rPr>
        <w:t>3</w:t>
      </w:r>
      <w:r>
        <w:rPr>
          <w:rFonts w:ascii="Times New Roman" w:hAnsi="Times New Roman"/>
          <w:b/>
          <w:sz w:val="21"/>
          <w:szCs w:val="21"/>
        </w:rPr>
        <w:t xml:space="preserve">. Baseline characteristics of the mediation subcohort by </w:t>
      </w:r>
      <w:r>
        <w:rPr>
          <w:rFonts w:hint="eastAsia" w:ascii="Times New Roman" w:hAnsi="Times New Roman" w:eastAsia="宋体"/>
          <w:b/>
          <w:sz w:val="21"/>
          <w:szCs w:val="21"/>
          <w:lang w:val="en-US" w:eastAsia="zh-CN"/>
        </w:rPr>
        <w:t>ADL</w:t>
      </w:r>
      <w:r>
        <w:rPr>
          <w:rFonts w:ascii="Times New Roman" w:hAnsi="Times New Roman"/>
          <w:b/>
          <w:sz w:val="21"/>
          <w:szCs w:val="21"/>
        </w:rPr>
        <w:t xml:space="preserve"> status.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8"/>
        <w:gridCol w:w="1872"/>
        <w:gridCol w:w="1872"/>
        <w:gridCol w:w="1008"/>
      </w:tblGrid>
      <w:tr w14:paraId="532F0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shd w:val="clear" w:color="auto" w:fill="8DB3E2" w:themeFill="text2" w:themeFillTint="66"/>
            <w:vAlign w:val="top"/>
          </w:tcPr>
          <w:p w14:paraId="09717E3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Characteristic</w:t>
            </w:r>
          </w:p>
        </w:tc>
        <w:tc>
          <w:tcPr>
            <w:tcW w:w="1872" w:type="dxa"/>
            <w:shd w:val="clear" w:color="auto" w:fill="8DB3E2" w:themeFill="text2" w:themeFillTint="66"/>
            <w:vAlign w:val="top"/>
          </w:tcPr>
          <w:p w14:paraId="527BFDF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Non-</w:t>
            </w:r>
            <w:r>
              <w:rPr>
                <w:rFonts w:hint="eastAsia" w:ascii="Times New Roman" w:hAnsi="Times New Roman" w:eastAsia="宋体"/>
                <w:b/>
                <w:sz w:val="18"/>
                <w:szCs w:val="18"/>
                <w:lang w:val="en-US" w:eastAsia="zh-CN"/>
              </w:rPr>
              <w:t>ADL 2013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(n=</w:t>
            </w:r>
            <w:r>
              <w:rPr>
                <w:rFonts w:hint="eastAsia" w:ascii="Times New Roman" w:hAnsi="Times New Roman"/>
                <w:b/>
                <w:sz w:val="18"/>
                <w:szCs w:val="18"/>
              </w:rPr>
              <w:t>8,191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</w:tc>
        <w:tc>
          <w:tcPr>
            <w:tcW w:w="1872" w:type="dxa"/>
            <w:shd w:val="clear" w:color="auto" w:fill="8DB3E2" w:themeFill="text2" w:themeFillTint="66"/>
            <w:vAlign w:val="top"/>
          </w:tcPr>
          <w:p w14:paraId="55894328">
            <w:pPr>
              <w:spacing w:before="0" w:after="0" w:line="240" w:lineRule="auto"/>
              <w:jc w:val="center"/>
              <w:rPr>
                <w:rFonts w:hint="eastAsia" w:ascii="Times New Roman" w:hAnsi="Times New Roman" w:eastAsia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sz w:val="18"/>
                <w:szCs w:val="18"/>
                <w:lang w:val="en-US" w:eastAsia="zh-CN"/>
              </w:rPr>
              <w:t>ADL 2013</w:t>
            </w:r>
          </w:p>
          <w:p w14:paraId="0C81F5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(n=</w:t>
            </w:r>
            <w:r>
              <w:rPr>
                <w:rFonts w:hint="eastAsia" w:ascii="Times New Roman" w:hAnsi="Times New Roman"/>
                <w:b/>
                <w:sz w:val="18"/>
                <w:szCs w:val="18"/>
              </w:rPr>
              <w:t>1,636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</w:tc>
        <w:tc>
          <w:tcPr>
            <w:tcW w:w="1008" w:type="dxa"/>
            <w:shd w:val="clear" w:color="auto" w:fill="8DB3E2" w:themeFill="text2" w:themeFillTint="66"/>
            <w:vAlign w:val="top"/>
          </w:tcPr>
          <w:p w14:paraId="1A17B53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P value</w:t>
            </w:r>
          </w:p>
        </w:tc>
      </w:tr>
      <w:tr w14:paraId="5B980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top"/>
          </w:tcPr>
          <w:p w14:paraId="2D79ACE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PEF, median [IQR]</w:t>
            </w:r>
          </w:p>
        </w:tc>
        <w:tc>
          <w:tcPr>
            <w:tcW w:w="1872" w:type="dxa"/>
            <w:vAlign w:val="center"/>
          </w:tcPr>
          <w:p w14:paraId="4F0142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78.633 [58.593, 96.232]</w:t>
            </w:r>
          </w:p>
        </w:tc>
        <w:tc>
          <w:tcPr>
            <w:tcW w:w="1872" w:type="dxa"/>
            <w:vAlign w:val="center"/>
          </w:tcPr>
          <w:p w14:paraId="3E93E7A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70.762 [52.087, 91.984]</w:t>
            </w:r>
          </w:p>
        </w:tc>
        <w:tc>
          <w:tcPr>
            <w:tcW w:w="1008" w:type="dxa"/>
            <w:vAlign w:val="center"/>
          </w:tcPr>
          <w:p w14:paraId="7470D94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 w:val="0"/>
                <w:sz w:val="18"/>
                <w:szCs w:val="18"/>
                <w:lang w:val="en-US" w:eastAsia="zh-CN"/>
              </w:rPr>
              <w:t>&lt;</w:t>
            </w:r>
            <w:r>
              <w:rPr>
                <w:rFonts w:ascii="Times New Roman" w:hAnsi="Times New Roman"/>
                <w:b w:val="0"/>
                <w:sz w:val="18"/>
                <w:szCs w:val="18"/>
              </w:rPr>
              <w:t>0.00</w:t>
            </w:r>
            <w:r>
              <w:rPr>
                <w:rFonts w:hint="eastAsia" w:ascii="Times New Roman" w:hAnsi="Times New Roman" w:eastAsia="宋体"/>
                <w:b w:val="0"/>
                <w:sz w:val="18"/>
                <w:szCs w:val="18"/>
                <w:lang w:val="en-US" w:eastAsia="zh-CN"/>
              </w:rPr>
              <w:t>1</w:t>
            </w:r>
          </w:p>
        </w:tc>
      </w:tr>
      <w:tr w14:paraId="001FE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top"/>
          </w:tcPr>
          <w:p w14:paraId="09307A3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Age, y (mean ± SD)</w:t>
            </w:r>
          </w:p>
        </w:tc>
        <w:tc>
          <w:tcPr>
            <w:tcW w:w="1872" w:type="dxa"/>
            <w:vAlign w:val="center"/>
          </w:tcPr>
          <w:p w14:paraId="44A935A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57.875 (8.673)</w:t>
            </w:r>
          </w:p>
        </w:tc>
        <w:tc>
          <w:tcPr>
            <w:tcW w:w="1872" w:type="dxa"/>
            <w:vAlign w:val="center"/>
          </w:tcPr>
          <w:p w14:paraId="56240FB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62.276 (9.186)</w:t>
            </w:r>
          </w:p>
        </w:tc>
        <w:tc>
          <w:tcPr>
            <w:tcW w:w="1008" w:type="dxa"/>
            <w:vAlign w:val="center"/>
          </w:tcPr>
          <w:p w14:paraId="6D78158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 w:val="0"/>
                <w:sz w:val="18"/>
                <w:szCs w:val="18"/>
                <w:lang w:val="en-US" w:eastAsia="zh-CN"/>
              </w:rPr>
              <w:t>&lt;</w:t>
            </w:r>
            <w:r>
              <w:rPr>
                <w:rFonts w:ascii="Times New Roman" w:hAnsi="Times New Roman"/>
                <w:b w:val="0"/>
                <w:sz w:val="18"/>
                <w:szCs w:val="18"/>
              </w:rPr>
              <w:t>0.00</w:t>
            </w:r>
            <w:r>
              <w:rPr>
                <w:rFonts w:hint="eastAsia" w:ascii="Times New Roman" w:hAnsi="Times New Roman" w:eastAsia="宋体"/>
                <w:b w:val="0"/>
                <w:sz w:val="18"/>
                <w:szCs w:val="18"/>
                <w:lang w:val="en-US" w:eastAsia="zh-CN"/>
              </w:rPr>
              <w:t>1</w:t>
            </w:r>
          </w:p>
        </w:tc>
      </w:tr>
      <w:tr w14:paraId="46EDA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top"/>
          </w:tcPr>
          <w:p w14:paraId="074D012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Gender, n (%)</w:t>
            </w:r>
          </w:p>
        </w:tc>
        <w:tc>
          <w:tcPr>
            <w:tcW w:w="1872" w:type="dxa"/>
            <w:vAlign w:val="center"/>
          </w:tcPr>
          <w:p w14:paraId="76C6BCB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72" w:type="dxa"/>
            <w:vAlign w:val="center"/>
          </w:tcPr>
          <w:p w14:paraId="61028FB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vAlign w:val="center"/>
          </w:tcPr>
          <w:p w14:paraId="112254C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 w:val="0"/>
                <w:sz w:val="18"/>
                <w:szCs w:val="18"/>
                <w:lang w:val="en-US" w:eastAsia="zh-CN"/>
              </w:rPr>
              <w:t>&lt;</w:t>
            </w:r>
            <w:r>
              <w:rPr>
                <w:rFonts w:ascii="Times New Roman" w:hAnsi="Times New Roman"/>
                <w:b w:val="0"/>
                <w:sz w:val="18"/>
                <w:szCs w:val="18"/>
              </w:rPr>
              <w:t>0.00</w:t>
            </w:r>
            <w:r>
              <w:rPr>
                <w:rFonts w:hint="eastAsia" w:ascii="Times New Roman" w:hAnsi="Times New Roman" w:eastAsia="宋体"/>
                <w:b w:val="0"/>
                <w:sz w:val="18"/>
                <w:szCs w:val="18"/>
                <w:lang w:val="en-US" w:eastAsia="zh-CN"/>
              </w:rPr>
              <w:t>1</w:t>
            </w:r>
          </w:p>
        </w:tc>
      </w:tr>
      <w:tr w14:paraId="36D03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top"/>
          </w:tcPr>
          <w:p w14:paraId="5B70C8CA">
            <w:pPr>
              <w:spacing w:before="0" w:after="0" w:line="240" w:lineRule="auto"/>
              <w:ind w:left="288" w:leftChars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Female</w:t>
            </w:r>
          </w:p>
        </w:tc>
        <w:tc>
          <w:tcPr>
            <w:tcW w:w="1872" w:type="dxa"/>
            <w:vAlign w:val="center"/>
          </w:tcPr>
          <w:p w14:paraId="7F6D29B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4168 (50.885)</w:t>
            </w:r>
          </w:p>
        </w:tc>
        <w:tc>
          <w:tcPr>
            <w:tcW w:w="1872" w:type="dxa"/>
            <w:vAlign w:val="center"/>
          </w:tcPr>
          <w:p w14:paraId="5215A0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994 (60.758)</w:t>
            </w:r>
          </w:p>
        </w:tc>
        <w:tc>
          <w:tcPr>
            <w:tcW w:w="1008" w:type="dxa"/>
            <w:vAlign w:val="center"/>
          </w:tcPr>
          <w:p w14:paraId="7CD7160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14:paraId="5FBF6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top"/>
          </w:tcPr>
          <w:p w14:paraId="209E79B7">
            <w:pPr>
              <w:spacing w:before="0" w:after="0" w:line="240" w:lineRule="auto"/>
              <w:ind w:left="288" w:leftChars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Male</w:t>
            </w:r>
          </w:p>
        </w:tc>
        <w:tc>
          <w:tcPr>
            <w:tcW w:w="1872" w:type="dxa"/>
            <w:vAlign w:val="center"/>
          </w:tcPr>
          <w:p w14:paraId="0341F29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4023 (49.115)</w:t>
            </w:r>
          </w:p>
        </w:tc>
        <w:tc>
          <w:tcPr>
            <w:tcW w:w="1872" w:type="dxa"/>
            <w:vAlign w:val="center"/>
          </w:tcPr>
          <w:p w14:paraId="14534C2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642 (39.242)</w:t>
            </w:r>
          </w:p>
        </w:tc>
        <w:tc>
          <w:tcPr>
            <w:tcW w:w="1008" w:type="dxa"/>
            <w:vAlign w:val="center"/>
          </w:tcPr>
          <w:p w14:paraId="7919421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14:paraId="680E1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168" w:type="dxa"/>
            <w:vAlign w:val="top"/>
          </w:tcPr>
          <w:p w14:paraId="770B01F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Residence, n (%)</w:t>
            </w:r>
          </w:p>
        </w:tc>
        <w:tc>
          <w:tcPr>
            <w:tcW w:w="1872" w:type="dxa"/>
            <w:vAlign w:val="center"/>
          </w:tcPr>
          <w:p w14:paraId="6DD839B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72" w:type="dxa"/>
            <w:vAlign w:val="center"/>
          </w:tcPr>
          <w:p w14:paraId="1208F9F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vAlign w:val="center"/>
          </w:tcPr>
          <w:p w14:paraId="42048CA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 w:val="0"/>
                <w:sz w:val="18"/>
                <w:szCs w:val="18"/>
                <w:lang w:val="en-US" w:eastAsia="zh-CN"/>
              </w:rPr>
              <w:t>&lt;</w:t>
            </w:r>
            <w:r>
              <w:rPr>
                <w:rFonts w:ascii="Times New Roman" w:hAnsi="Times New Roman"/>
                <w:b w:val="0"/>
                <w:sz w:val="18"/>
                <w:szCs w:val="18"/>
              </w:rPr>
              <w:t>0.00</w:t>
            </w:r>
            <w:r>
              <w:rPr>
                <w:rFonts w:hint="eastAsia" w:ascii="Times New Roman" w:hAnsi="Times New Roman" w:eastAsia="宋体"/>
                <w:b w:val="0"/>
                <w:sz w:val="18"/>
                <w:szCs w:val="18"/>
                <w:lang w:val="en-US" w:eastAsia="zh-CN"/>
              </w:rPr>
              <w:t>1</w:t>
            </w:r>
          </w:p>
        </w:tc>
      </w:tr>
      <w:tr w14:paraId="52083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top"/>
          </w:tcPr>
          <w:p w14:paraId="017D4AEF">
            <w:pPr>
              <w:spacing w:before="0" w:after="0" w:line="240" w:lineRule="auto"/>
              <w:ind w:left="288" w:leftChars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Rural</w:t>
            </w:r>
          </w:p>
        </w:tc>
        <w:tc>
          <w:tcPr>
            <w:tcW w:w="1872" w:type="dxa"/>
            <w:vAlign w:val="center"/>
          </w:tcPr>
          <w:p w14:paraId="4173EEB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5229 (63.838)</w:t>
            </w:r>
          </w:p>
        </w:tc>
        <w:tc>
          <w:tcPr>
            <w:tcW w:w="1872" w:type="dxa"/>
            <w:vAlign w:val="center"/>
          </w:tcPr>
          <w:p w14:paraId="1A3A4CD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1151 (70.355)</w:t>
            </w:r>
          </w:p>
        </w:tc>
        <w:tc>
          <w:tcPr>
            <w:tcW w:w="1008" w:type="dxa"/>
            <w:vAlign w:val="center"/>
          </w:tcPr>
          <w:p w14:paraId="42D7EE3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14:paraId="4D4EC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top"/>
          </w:tcPr>
          <w:p w14:paraId="2C4EADD1">
            <w:pPr>
              <w:spacing w:before="0" w:after="0" w:line="240" w:lineRule="auto"/>
              <w:ind w:left="288" w:leftChars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Urban</w:t>
            </w:r>
          </w:p>
        </w:tc>
        <w:tc>
          <w:tcPr>
            <w:tcW w:w="1872" w:type="dxa"/>
            <w:vAlign w:val="center"/>
          </w:tcPr>
          <w:p w14:paraId="446656C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2962 (36.162)</w:t>
            </w:r>
          </w:p>
        </w:tc>
        <w:tc>
          <w:tcPr>
            <w:tcW w:w="1872" w:type="dxa"/>
            <w:vAlign w:val="center"/>
          </w:tcPr>
          <w:p w14:paraId="56C29FE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485 (29.645)</w:t>
            </w:r>
          </w:p>
        </w:tc>
        <w:tc>
          <w:tcPr>
            <w:tcW w:w="1008" w:type="dxa"/>
            <w:vAlign w:val="center"/>
          </w:tcPr>
          <w:p w14:paraId="49CE7A9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14:paraId="2AE5E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top"/>
          </w:tcPr>
          <w:p w14:paraId="124BBCE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Education(n,%)</w:t>
            </w:r>
          </w:p>
        </w:tc>
        <w:tc>
          <w:tcPr>
            <w:tcW w:w="1872" w:type="dxa"/>
            <w:vAlign w:val="center"/>
          </w:tcPr>
          <w:p w14:paraId="132231D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72" w:type="dxa"/>
            <w:vAlign w:val="center"/>
          </w:tcPr>
          <w:p w14:paraId="255B1B4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vAlign w:val="center"/>
          </w:tcPr>
          <w:p w14:paraId="5B105D5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 w:val="0"/>
                <w:sz w:val="18"/>
                <w:szCs w:val="18"/>
                <w:lang w:val="en-US" w:eastAsia="zh-CN"/>
              </w:rPr>
              <w:t>&lt;</w:t>
            </w:r>
            <w:r>
              <w:rPr>
                <w:rFonts w:ascii="Times New Roman" w:hAnsi="Times New Roman"/>
                <w:b w:val="0"/>
                <w:sz w:val="18"/>
                <w:szCs w:val="18"/>
              </w:rPr>
              <w:t>0.00</w:t>
            </w:r>
            <w:r>
              <w:rPr>
                <w:rFonts w:hint="eastAsia" w:ascii="Times New Roman" w:hAnsi="Times New Roman" w:eastAsia="宋体"/>
                <w:b w:val="0"/>
                <w:sz w:val="18"/>
                <w:szCs w:val="18"/>
                <w:lang w:val="en-US" w:eastAsia="zh-CN"/>
              </w:rPr>
              <w:t>1</w:t>
            </w:r>
          </w:p>
        </w:tc>
      </w:tr>
      <w:tr w14:paraId="79C02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top"/>
          </w:tcPr>
          <w:p w14:paraId="0E52E7F6">
            <w:pPr>
              <w:spacing w:before="0" w:after="0" w:line="240" w:lineRule="auto"/>
              <w:ind w:left="288" w:leftChars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Less than lower secondary education</w:t>
            </w:r>
          </w:p>
        </w:tc>
        <w:tc>
          <w:tcPr>
            <w:tcW w:w="1872" w:type="dxa"/>
            <w:vAlign w:val="center"/>
          </w:tcPr>
          <w:p w14:paraId="0CFEC4F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7220 (88.146)</w:t>
            </w:r>
          </w:p>
        </w:tc>
        <w:tc>
          <w:tcPr>
            <w:tcW w:w="1872" w:type="dxa"/>
            <w:vAlign w:val="center"/>
          </w:tcPr>
          <w:p w14:paraId="7E98C0F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1546 (94.499)</w:t>
            </w:r>
          </w:p>
        </w:tc>
        <w:tc>
          <w:tcPr>
            <w:tcW w:w="1008" w:type="dxa"/>
            <w:vAlign w:val="center"/>
          </w:tcPr>
          <w:p w14:paraId="0F0B3E6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14:paraId="5EC70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top"/>
          </w:tcPr>
          <w:p w14:paraId="31FF58CF">
            <w:pPr>
              <w:spacing w:before="0" w:after="0" w:line="240" w:lineRule="auto"/>
              <w:ind w:left="288" w:leftChars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Secondary or above</w:t>
            </w:r>
          </w:p>
        </w:tc>
        <w:tc>
          <w:tcPr>
            <w:tcW w:w="1872" w:type="dxa"/>
            <w:vAlign w:val="center"/>
          </w:tcPr>
          <w:p w14:paraId="6E46DA2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971 (11.854)</w:t>
            </w:r>
          </w:p>
        </w:tc>
        <w:tc>
          <w:tcPr>
            <w:tcW w:w="1872" w:type="dxa"/>
            <w:vAlign w:val="center"/>
          </w:tcPr>
          <w:p w14:paraId="2732391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90 (5.501)</w:t>
            </w:r>
          </w:p>
        </w:tc>
        <w:tc>
          <w:tcPr>
            <w:tcW w:w="1008" w:type="dxa"/>
            <w:vAlign w:val="center"/>
          </w:tcPr>
          <w:p w14:paraId="0635EF8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14:paraId="3D3D7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top"/>
          </w:tcPr>
          <w:p w14:paraId="4FB32FE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Marital status(n,%)</w:t>
            </w:r>
          </w:p>
        </w:tc>
        <w:tc>
          <w:tcPr>
            <w:tcW w:w="1872" w:type="dxa"/>
            <w:vAlign w:val="center"/>
          </w:tcPr>
          <w:p w14:paraId="2B5F24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72" w:type="dxa"/>
            <w:vAlign w:val="center"/>
          </w:tcPr>
          <w:p w14:paraId="1451173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vAlign w:val="center"/>
          </w:tcPr>
          <w:p w14:paraId="5242BE0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 w:val="0"/>
                <w:sz w:val="18"/>
                <w:szCs w:val="18"/>
                <w:lang w:val="en-US" w:eastAsia="zh-CN"/>
              </w:rPr>
              <w:t>&lt;</w:t>
            </w:r>
            <w:r>
              <w:rPr>
                <w:rFonts w:ascii="Times New Roman" w:hAnsi="Times New Roman"/>
                <w:b w:val="0"/>
                <w:sz w:val="18"/>
                <w:szCs w:val="18"/>
              </w:rPr>
              <w:t>0.00</w:t>
            </w:r>
            <w:r>
              <w:rPr>
                <w:rFonts w:hint="eastAsia" w:ascii="Times New Roman" w:hAnsi="Times New Roman" w:eastAsia="宋体"/>
                <w:b w:val="0"/>
                <w:sz w:val="18"/>
                <w:szCs w:val="18"/>
                <w:lang w:val="en-US" w:eastAsia="zh-CN"/>
              </w:rPr>
              <w:t>1</w:t>
            </w:r>
          </w:p>
        </w:tc>
      </w:tr>
      <w:tr w14:paraId="55C6E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top"/>
          </w:tcPr>
          <w:p w14:paraId="692BC68D">
            <w:pPr>
              <w:spacing w:before="0" w:after="0" w:line="240" w:lineRule="auto"/>
              <w:ind w:left="288" w:leftChars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Single</w:t>
            </w:r>
          </w:p>
        </w:tc>
        <w:tc>
          <w:tcPr>
            <w:tcW w:w="1872" w:type="dxa"/>
            <w:vAlign w:val="center"/>
          </w:tcPr>
          <w:p w14:paraId="3487F1D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834 (10.182)</w:t>
            </w:r>
          </w:p>
        </w:tc>
        <w:tc>
          <w:tcPr>
            <w:tcW w:w="1872" w:type="dxa"/>
            <w:vAlign w:val="center"/>
          </w:tcPr>
          <w:p w14:paraId="09944C0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295 (18.032)</w:t>
            </w:r>
          </w:p>
        </w:tc>
        <w:tc>
          <w:tcPr>
            <w:tcW w:w="1008" w:type="dxa"/>
            <w:vAlign w:val="center"/>
          </w:tcPr>
          <w:p w14:paraId="117E03E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14:paraId="32E65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top"/>
          </w:tcPr>
          <w:p w14:paraId="27C56929">
            <w:pPr>
              <w:spacing w:before="0" w:after="0" w:line="240" w:lineRule="auto"/>
              <w:ind w:left="288" w:leftChars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Married</w:t>
            </w:r>
          </w:p>
        </w:tc>
        <w:tc>
          <w:tcPr>
            <w:tcW w:w="1872" w:type="dxa"/>
            <w:vAlign w:val="center"/>
          </w:tcPr>
          <w:p w14:paraId="60D33E2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7357 (89.818)</w:t>
            </w:r>
          </w:p>
        </w:tc>
        <w:tc>
          <w:tcPr>
            <w:tcW w:w="1872" w:type="dxa"/>
            <w:vAlign w:val="center"/>
          </w:tcPr>
          <w:p w14:paraId="783B22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1341 (81.968)</w:t>
            </w:r>
          </w:p>
        </w:tc>
        <w:tc>
          <w:tcPr>
            <w:tcW w:w="1008" w:type="dxa"/>
            <w:vAlign w:val="center"/>
          </w:tcPr>
          <w:p w14:paraId="35FE0A8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14:paraId="159B7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top"/>
          </w:tcPr>
          <w:p w14:paraId="506B36D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Smoking, n (%)</w:t>
            </w:r>
          </w:p>
        </w:tc>
        <w:tc>
          <w:tcPr>
            <w:tcW w:w="1872" w:type="dxa"/>
            <w:vAlign w:val="center"/>
          </w:tcPr>
          <w:p w14:paraId="72CAD94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72" w:type="dxa"/>
            <w:vAlign w:val="center"/>
          </w:tcPr>
          <w:p w14:paraId="38D2BD2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vAlign w:val="center"/>
          </w:tcPr>
          <w:p w14:paraId="036781E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 w:val="0"/>
                <w:sz w:val="18"/>
                <w:szCs w:val="18"/>
                <w:lang w:val="en-US" w:eastAsia="zh-CN"/>
              </w:rPr>
              <w:t>&lt;</w:t>
            </w:r>
            <w:r>
              <w:rPr>
                <w:rFonts w:ascii="Times New Roman" w:hAnsi="Times New Roman"/>
                <w:b w:val="0"/>
                <w:sz w:val="18"/>
                <w:szCs w:val="18"/>
              </w:rPr>
              <w:t>0.00</w:t>
            </w:r>
            <w:r>
              <w:rPr>
                <w:rFonts w:hint="eastAsia" w:ascii="Times New Roman" w:hAnsi="Times New Roman" w:eastAsia="宋体"/>
                <w:b w:val="0"/>
                <w:sz w:val="18"/>
                <w:szCs w:val="18"/>
                <w:lang w:val="en-US" w:eastAsia="zh-CN"/>
              </w:rPr>
              <w:t>1</w:t>
            </w:r>
          </w:p>
        </w:tc>
      </w:tr>
      <w:tr w14:paraId="6EDBD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top"/>
          </w:tcPr>
          <w:p w14:paraId="69217713">
            <w:pPr>
              <w:spacing w:before="0" w:after="0" w:line="240" w:lineRule="auto"/>
              <w:ind w:left="288" w:leftChars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No</w:t>
            </w:r>
          </w:p>
        </w:tc>
        <w:tc>
          <w:tcPr>
            <w:tcW w:w="1872" w:type="dxa"/>
            <w:vAlign w:val="center"/>
          </w:tcPr>
          <w:p w14:paraId="306AEF8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4880 (59.578)</w:t>
            </w:r>
          </w:p>
        </w:tc>
        <w:tc>
          <w:tcPr>
            <w:tcW w:w="1872" w:type="dxa"/>
            <w:vAlign w:val="center"/>
          </w:tcPr>
          <w:p w14:paraId="03D1D18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1061 (64.853)</w:t>
            </w:r>
          </w:p>
        </w:tc>
        <w:tc>
          <w:tcPr>
            <w:tcW w:w="1008" w:type="dxa"/>
            <w:vAlign w:val="center"/>
          </w:tcPr>
          <w:p w14:paraId="6891D70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14:paraId="44E0F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top"/>
          </w:tcPr>
          <w:p w14:paraId="11CC191A">
            <w:pPr>
              <w:spacing w:before="0" w:after="0" w:line="240" w:lineRule="auto"/>
              <w:ind w:left="288" w:leftChars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Yes</w:t>
            </w:r>
          </w:p>
        </w:tc>
        <w:tc>
          <w:tcPr>
            <w:tcW w:w="1872" w:type="dxa"/>
            <w:vAlign w:val="center"/>
          </w:tcPr>
          <w:p w14:paraId="1F22863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3311 (40.422)</w:t>
            </w:r>
          </w:p>
        </w:tc>
        <w:tc>
          <w:tcPr>
            <w:tcW w:w="1872" w:type="dxa"/>
            <w:vAlign w:val="center"/>
          </w:tcPr>
          <w:p w14:paraId="061A75D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575 (35.147)</w:t>
            </w:r>
          </w:p>
        </w:tc>
        <w:tc>
          <w:tcPr>
            <w:tcW w:w="1008" w:type="dxa"/>
            <w:vAlign w:val="center"/>
          </w:tcPr>
          <w:p w14:paraId="3E684F1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14:paraId="216D0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top"/>
          </w:tcPr>
          <w:p w14:paraId="4F2ED1F3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Drinking, n (%)</w:t>
            </w:r>
          </w:p>
        </w:tc>
        <w:tc>
          <w:tcPr>
            <w:tcW w:w="1872" w:type="dxa"/>
            <w:vAlign w:val="center"/>
          </w:tcPr>
          <w:p w14:paraId="5AF80BE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72" w:type="dxa"/>
            <w:vAlign w:val="center"/>
          </w:tcPr>
          <w:p w14:paraId="71AAA26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vAlign w:val="center"/>
          </w:tcPr>
          <w:p w14:paraId="65A0AD9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0.004</w:t>
            </w:r>
          </w:p>
        </w:tc>
      </w:tr>
      <w:tr w14:paraId="5CCA5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top"/>
          </w:tcPr>
          <w:p w14:paraId="57312605">
            <w:pPr>
              <w:spacing w:before="0" w:after="0" w:line="240" w:lineRule="auto"/>
              <w:ind w:left="288" w:leftChars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No</w:t>
            </w:r>
          </w:p>
        </w:tc>
        <w:tc>
          <w:tcPr>
            <w:tcW w:w="1872" w:type="dxa"/>
            <w:vAlign w:val="center"/>
          </w:tcPr>
          <w:p w14:paraId="7EB9005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4911 (59.956)</w:t>
            </w:r>
          </w:p>
        </w:tc>
        <w:tc>
          <w:tcPr>
            <w:tcW w:w="1872" w:type="dxa"/>
            <w:vAlign w:val="center"/>
          </w:tcPr>
          <w:p w14:paraId="6BCD019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1044 (63.814)</w:t>
            </w:r>
          </w:p>
        </w:tc>
        <w:tc>
          <w:tcPr>
            <w:tcW w:w="1008" w:type="dxa"/>
            <w:vAlign w:val="center"/>
          </w:tcPr>
          <w:p w14:paraId="1C573DD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14:paraId="4DE68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top"/>
          </w:tcPr>
          <w:p w14:paraId="7767EBA2">
            <w:pPr>
              <w:spacing w:before="0" w:after="0" w:line="240" w:lineRule="auto"/>
              <w:ind w:left="288" w:leftChars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Yes</w:t>
            </w:r>
          </w:p>
        </w:tc>
        <w:tc>
          <w:tcPr>
            <w:tcW w:w="1872" w:type="dxa"/>
            <w:vAlign w:val="center"/>
          </w:tcPr>
          <w:p w14:paraId="28A52B9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3280 (40.044)</w:t>
            </w:r>
          </w:p>
        </w:tc>
        <w:tc>
          <w:tcPr>
            <w:tcW w:w="1872" w:type="dxa"/>
            <w:vAlign w:val="center"/>
          </w:tcPr>
          <w:p w14:paraId="5D5056A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592 (36.186)</w:t>
            </w:r>
          </w:p>
        </w:tc>
        <w:tc>
          <w:tcPr>
            <w:tcW w:w="1008" w:type="dxa"/>
            <w:vAlign w:val="center"/>
          </w:tcPr>
          <w:p w14:paraId="3DC62B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14:paraId="52886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top"/>
          </w:tcPr>
          <w:p w14:paraId="384F597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BMI, n (%)</w:t>
            </w:r>
          </w:p>
        </w:tc>
        <w:tc>
          <w:tcPr>
            <w:tcW w:w="1872" w:type="dxa"/>
            <w:vAlign w:val="center"/>
          </w:tcPr>
          <w:p w14:paraId="694599E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72" w:type="dxa"/>
            <w:vAlign w:val="center"/>
          </w:tcPr>
          <w:p w14:paraId="0FFFA50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vAlign w:val="center"/>
          </w:tcPr>
          <w:p w14:paraId="3B147C8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 w:val="0"/>
                <w:sz w:val="18"/>
                <w:szCs w:val="18"/>
                <w:lang w:val="en-US" w:eastAsia="zh-CN"/>
              </w:rPr>
              <w:t>&lt;</w:t>
            </w:r>
            <w:r>
              <w:rPr>
                <w:rFonts w:ascii="Times New Roman" w:hAnsi="Times New Roman"/>
                <w:b w:val="0"/>
                <w:sz w:val="18"/>
                <w:szCs w:val="18"/>
              </w:rPr>
              <w:t>0.00</w:t>
            </w:r>
            <w:r>
              <w:rPr>
                <w:rFonts w:hint="eastAsia" w:ascii="Times New Roman" w:hAnsi="Times New Roman" w:eastAsia="宋体"/>
                <w:b w:val="0"/>
                <w:sz w:val="18"/>
                <w:szCs w:val="18"/>
                <w:lang w:val="en-US" w:eastAsia="zh-CN"/>
              </w:rPr>
              <w:t>1</w:t>
            </w:r>
          </w:p>
        </w:tc>
      </w:tr>
      <w:tr w14:paraId="17AD4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shd w:val="clear" w:color="auto" w:fill="auto"/>
            <w:vAlign w:val="top"/>
          </w:tcPr>
          <w:p w14:paraId="5828E60F">
            <w:pPr>
              <w:spacing w:before="0" w:after="0" w:line="240" w:lineRule="auto"/>
              <w:ind w:left="288" w:leftChars="0"/>
              <w:jc w:val="left"/>
              <w:rPr>
                <w:rFonts w:asciiTheme="minorHAnsi" w:hAnsiTheme="minorHAnsi" w:eastAsiaTheme="minorEastAsia" w:cstheme="minorBidi"/>
                <w:sz w:val="18"/>
                <w:szCs w:val="18"/>
                <w:lang w:val="en-US" w:eastAsia="en-US" w:bidi="ar-SA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Underweight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7307E407">
            <w:pPr>
              <w:spacing w:before="0" w:after="0" w:line="240" w:lineRule="auto"/>
              <w:jc w:val="center"/>
              <w:rPr>
                <w:rFonts w:asciiTheme="minorHAnsi" w:hAnsiTheme="minorHAnsi" w:eastAsiaTheme="minorEastAsia" w:cstheme="minorBidi"/>
                <w:sz w:val="18"/>
                <w:szCs w:val="18"/>
                <w:lang w:val="en-US" w:eastAsia="en-US" w:bidi="ar-SA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487 (5.946)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21732FD3">
            <w:pPr>
              <w:spacing w:before="0" w:after="0" w:line="240" w:lineRule="auto"/>
              <w:jc w:val="center"/>
              <w:rPr>
                <w:rFonts w:asciiTheme="minorHAnsi" w:hAnsiTheme="minorHAnsi" w:eastAsiaTheme="minorEastAsia" w:cstheme="minorBidi"/>
                <w:sz w:val="18"/>
                <w:szCs w:val="18"/>
                <w:lang w:val="en-US" w:eastAsia="en-US" w:bidi="ar-SA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149 (9.108)</w:t>
            </w:r>
          </w:p>
        </w:tc>
        <w:tc>
          <w:tcPr>
            <w:tcW w:w="1008" w:type="dxa"/>
            <w:vAlign w:val="center"/>
          </w:tcPr>
          <w:p w14:paraId="1A2D1B4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14:paraId="6D320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shd w:val="clear" w:color="auto" w:fill="auto"/>
            <w:vAlign w:val="top"/>
          </w:tcPr>
          <w:p w14:paraId="23DFE062">
            <w:pPr>
              <w:spacing w:before="0" w:after="0" w:line="240" w:lineRule="auto"/>
              <w:ind w:left="288" w:leftChars="0"/>
              <w:jc w:val="left"/>
              <w:rPr>
                <w:rFonts w:asciiTheme="minorHAnsi" w:hAnsiTheme="minorHAnsi" w:eastAsiaTheme="minorEastAsia" w:cstheme="minorBidi"/>
                <w:sz w:val="18"/>
                <w:szCs w:val="18"/>
                <w:lang w:val="en-US" w:eastAsia="en-US" w:bidi="ar-SA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Normal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21C1A5C8">
            <w:pPr>
              <w:spacing w:before="0" w:after="0" w:line="240" w:lineRule="auto"/>
              <w:jc w:val="center"/>
              <w:rPr>
                <w:rFonts w:asciiTheme="minorHAnsi" w:hAnsiTheme="minorHAnsi" w:eastAsiaTheme="minorEastAsia" w:cstheme="minorBidi"/>
                <w:sz w:val="18"/>
                <w:szCs w:val="18"/>
                <w:lang w:val="en-US" w:eastAsia="en-US" w:bidi="ar-SA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4396 (53.669)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17673A67">
            <w:pPr>
              <w:spacing w:before="0" w:after="0" w:line="240" w:lineRule="auto"/>
              <w:jc w:val="center"/>
              <w:rPr>
                <w:rFonts w:asciiTheme="minorHAnsi" w:hAnsiTheme="minorHAnsi" w:eastAsiaTheme="minorEastAsia" w:cstheme="minorBidi"/>
                <w:sz w:val="18"/>
                <w:szCs w:val="18"/>
                <w:lang w:val="en-US" w:eastAsia="en-US" w:bidi="ar-SA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784 (47.922)</w:t>
            </w:r>
          </w:p>
        </w:tc>
        <w:tc>
          <w:tcPr>
            <w:tcW w:w="1008" w:type="dxa"/>
            <w:vAlign w:val="center"/>
          </w:tcPr>
          <w:p w14:paraId="4ECA2A3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14:paraId="2FFEE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shd w:val="clear" w:color="auto" w:fill="auto"/>
            <w:vAlign w:val="top"/>
          </w:tcPr>
          <w:p w14:paraId="3BDBF04C">
            <w:pPr>
              <w:spacing w:before="0" w:after="0" w:line="240" w:lineRule="auto"/>
              <w:ind w:left="288" w:leftChars="0"/>
              <w:jc w:val="left"/>
              <w:rPr>
                <w:rFonts w:asciiTheme="minorHAnsi" w:hAnsiTheme="minorHAnsi" w:eastAsiaTheme="minorEastAsia" w:cstheme="minorBidi"/>
                <w:sz w:val="18"/>
                <w:szCs w:val="18"/>
                <w:lang w:val="en-US" w:eastAsia="en-US" w:bidi="ar-SA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Overweight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776230A0">
            <w:pPr>
              <w:spacing w:before="0" w:after="0" w:line="240" w:lineRule="auto"/>
              <w:jc w:val="center"/>
              <w:rPr>
                <w:rFonts w:asciiTheme="minorHAnsi" w:hAnsiTheme="minorHAnsi" w:eastAsiaTheme="minorEastAsia" w:cstheme="minorBidi"/>
                <w:sz w:val="18"/>
                <w:szCs w:val="18"/>
                <w:lang w:val="en-US" w:eastAsia="en-US" w:bidi="ar-SA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2387 (29.142)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4C2B0F70">
            <w:pPr>
              <w:spacing w:before="0" w:after="0" w:line="240" w:lineRule="auto"/>
              <w:jc w:val="center"/>
              <w:rPr>
                <w:rFonts w:asciiTheme="minorHAnsi" w:hAnsiTheme="minorHAnsi" w:eastAsiaTheme="minorEastAsia" w:cstheme="minorBidi"/>
                <w:sz w:val="18"/>
                <w:szCs w:val="18"/>
                <w:lang w:val="en-US" w:eastAsia="en-US" w:bidi="ar-SA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465 (28.423)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4C3EBEAC">
            <w:pPr>
              <w:spacing w:before="0" w:after="0" w:line="240" w:lineRule="auto"/>
              <w:jc w:val="center"/>
              <w:rPr>
                <w:rFonts w:asciiTheme="minorHAnsi" w:hAnsiTheme="minorHAnsi" w:eastAsiaTheme="minorEastAsia" w:cstheme="minorBidi"/>
                <w:sz w:val="18"/>
                <w:szCs w:val="18"/>
                <w:lang w:val="en-US" w:eastAsia="en-US" w:bidi="ar-SA"/>
              </w:rPr>
            </w:pPr>
          </w:p>
        </w:tc>
      </w:tr>
      <w:tr w14:paraId="4CB22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shd w:val="clear" w:color="auto" w:fill="auto"/>
            <w:vAlign w:val="top"/>
          </w:tcPr>
          <w:p w14:paraId="6CC59699">
            <w:pPr>
              <w:spacing w:before="0" w:after="0" w:line="240" w:lineRule="auto"/>
              <w:ind w:left="288" w:leftChars="0"/>
              <w:jc w:val="left"/>
              <w:rPr>
                <w:rFonts w:asciiTheme="minorHAnsi" w:hAnsiTheme="minorHAnsi" w:eastAsiaTheme="minorEastAsia" w:cstheme="minorBidi"/>
                <w:sz w:val="18"/>
                <w:szCs w:val="18"/>
                <w:lang w:val="en-US" w:eastAsia="en-US" w:bidi="ar-SA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Obese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7A7A1550">
            <w:pPr>
              <w:spacing w:before="0" w:after="0" w:line="240" w:lineRule="auto"/>
              <w:jc w:val="center"/>
              <w:rPr>
                <w:rFonts w:asciiTheme="minorHAnsi" w:hAnsiTheme="minorHAnsi" w:eastAsiaTheme="minorEastAsia" w:cstheme="minorBidi"/>
                <w:sz w:val="18"/>
                <w:szCs w:val="18"/>
                <w:lang w:val="en-US" w:eastAsia="en-US" w:bidi="ar-SA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921 (11.244)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0ED7F7FE">
            <w:pPr>
              <w:spacing w:before="0" w:after="0" w:line="240" w:lineRule="auto"/>
              <w:jc w:val="center"/>
              <w:rPr>
                <w:rFonts w:asciiTheme="minorHAnsi" w:hAnsiTheme="minorHAnsi" w:eastAsiaTheme="minorEastAsia" w:cstheme="minorBidi"/>
                <w:sz w:val="18"/>
                <w:szCs w:val="18"/>
                <w:lang w:val="en-US" w:eastAsia="en-US" w:bidi="ar-SA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238 (14.548)</w:t>
            </w:r>
          </w:p>
        </w:tc>
        <w:tc>
          <w:tcPr>
            <w:tcW w:w="1008" w:type="dxa"/>
            <w:vAlign w:val="center"/>
          </w:tcPr>
          <w:p w14:paraId="17DB1F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14:paraId="16BE9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top"/>
          </w:tcPr>
          <w:p w14:paraId="7ADC230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Comorbidity count, n (%)</w:t>
            </w:r>
          </w:p>
        </w:tc>
        <w:tc>
          <w:tcPr>
            <w:tcW w:w="1872" w:type="dxa"/>
            <w:vAlign w:val="center"/>
          </w:tcPr>
          <w:p w14:paraId="3BAB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72" w:type="dxa"/>
            <w:vAlign w:val="center"/>
          </w:tcPr>
          <w:p w14:paraId="33ED008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vAlign w:val="center"/>
          </w:tcPr>
          <w:p w14:paraId="1B96EBB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 w:val="0"/>
                <w:sz w:val="18"/>
                <w:szCs w:val="18"/>
                <w:lang w:val="en-US" w:eastAsia="zh-CN"/>
              </w:rPr>
              <w:t>&lt;</w:t>
            </w:r>
            <w:r>
              <w:rPr>
                <w:rFonts w:ascii="Times New Roman" w:hAnsi="Times New Roman"/>
                <w:b w:val="0"/>
                <w:sz w:val="18"/>
                <w:szCs w:val="18"/>
              </w:rPr>
              <w:t>0.00</w:t>
            </w:r>
            <w:r>
              <w:rPr>
                <w:rFonts w:hint="eastAsia" w:ascii="Times New Roman" w:hAnsi="Times New Roman" w:eastAsia="宋体"/>
                <w:b w:val="0"/>
                <w:sz w:val="18"/>
                <w:szCs w:val="18"/>
                <w:lang w:val="en-US" w:eastAsia="zh-CN"/>
              </w:rPr>
              <w:t>1</w:t>
            </w:r>
          </w:p>
        </w:tc>
      </w:tr>
      <w:tr w14:paraId="3A246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top"/>
          </w:tcPr>
          <w:p w14:paraId="26279532">
            <w:pPr>
              <w:spacing w:before="0" w:after="0" w:line="240" w:lineRule="auto"/>
              <w:ind w:left="288" w:leftChars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0</w:t>
            </w:r>
          </w:p>
        </w:tc>
        <w:tc>
          <w:tcPr>
            <w:tcW w:w="1872" w:type="dxa"/>
            <w:vAlign w:val="center"/>
          </w:tcPr>
          <w:p w14:paraId="2C029F1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3135 (38.274)</w:t>
            </w:r>
          </w:p>
        </w:tc>
        <w:tc>
          <w:tcPr>
            <w:tcW w:w="1872" w:type="dxa"/>
            <w:vAlign w:val="center"/>
          </w:tcPr>
          <w:p w14:paraId="452EFD6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253 (15.465)</w:t>
            </w:r>
          </w:p>
        </w:tc>
        <w:tc>
          <w:tcPr>
            <w:tcW w:w="1008" w:type="dxa"/>
            <w:vAlign w:val="center"/>
          </w:tcPr>
          <w:p w14:paraId="4C6AC92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14:paraId="450D3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top"/>
          </w:tcPr>
          <w:p w14:paraId="0E550787">
            <w:pPr>
              <w:spacing w:before="0" w:after="0" w:line="240" w:lineRule="auto"/>
              <w:ind w:left="288" w:leftChars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1</w:t>
            </w:r>
          </w:p>
        </w:tc>
        <w:tc>
          <w:tcPr>
            <w:tcW w:w="1872" w:type="dxa"/>
            <w:vAlign w:val="center"/>
          </w:tcPr>
          <w:p w14:paraId="4026EDD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2598 (31.718)</w:t>
            </w:r>
          </w:p>
        </w:tc>
        <w:tc>
          <w:tcPr>
            <w:tcW w:w="1872" w:type="dxa"/>
            <w:vAlign w:val="center"/>
          </w:tcPr>
          <w:p w14:paraId="14A43D8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524 (32.029)</w:t>
            </w:r>
          </w:p>
        </w:tc>
        <w:tc>
          <w:tcPr>
            <w:tcW w:w="1008" w:type="dxa"/>
            <w:vAlign w:val="center"/>
          </w:tcPr>
          <w:p w14:paraId="401389B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14:paraId="03364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top"/>
          </w:tcPr>
          <w:p w14:paraId="0BE4E3AD">
            <w:pPr>
              <w:spacing w:before="0" w:after="0" w:line="240" w:lineRule="auto"/>
              <w:ind w:left="288" w:leftChars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≥2</w:t>
            </w:r>
          </w:p>
        </w:tc>
        <w:tc>
          <w:tcPr>
            <w:tcW w:w="1872" w:type="dxa"/>
            <w:vAlign w:val="center"/>
          </w:tcPr>
          <w:p w14:paraId="6019C71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2458 (30.009)</w:t>
            </w:r>
          </w:p>
        </w:tc>
        <w:tc>
          <w:tcPr>
            <w:tcW w:w="1872" w:type="dxa"/>
            <w:vAlign w:val="center"/>
          </w:tcPr>
          <w:p w14:paraId="27A1F98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859 (52.506)</w:t>
            </w:r>
          </w:p>
        </w:tc>
        <w:tc>
          <w:tcPr>
            <w:tcW w:w="1008" w:type="dxa"/>
            <w:vAlign w:val="center"/>
          </w:tcPr>
          <w:p w14:paraId="6E306CD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14:paraId="79702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top"/>
          </w:tcPr>
          <w:p w14:paraId="3A1FCA8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Hip fracture during follow-up, n (%)</w:t>
            </w:r>
          </w:p>
        </w:tc>
        <w:tc>
          <w:tcPr>
            <w:tcW w:w="1872" w:type="dxa"/>
            <w:vAlign w:val="center"/>
          </w:tcPr>
          <w:p w14:paraId="0D812F5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72" w:type="dxa"/>
            <w:vAlign w:val="center"/>
          </w:tcPr>
          <w:p w14:paraId="05F700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vAlign w:val="center"/>
          </w:tcPr>
          <w:p w14:paraId="13FBF48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 w:val="0"/>
                <w:sz w:val="18"/>
                <w:szCs w:val="18"/>
                <w:lang w:val="en-US" w:eastAsia="zh-CN"/>
              </w:rPr>
              <w:t>&lt;</w:t>
            </w:r>
            <w:r>
              <w:rPr>
                <w:rFonts w:ascii="Times New Roman" w:hAnsi="Times New Roman"/>
                <w:b w:val="0"/>
                <w:sz w:val="18"/>
                <w:szCs w:val="18"/>
              </w:rPr>
              <w:t>0.00</w:t>
            </w:r>
            <w:r>
              <w:rPr>
                <w:rFonts w:hint="eastAsia" w:ascii="Times New Roman" w:hAnsi="Times New Roman" w:eastAsia="宋体"/>
                <w:b w:val="0"/>
                <w:sz w:val="18"/>
                <w:szCs w:val="18"/>
                <w:lang w:val="en-US" w:eastAsia="zh-CN"/>
              </w:rPr>
              <w:t>1</w:t>
            </w:r>
          </w:p>
        </w:tc>
      </w:tr>
      <w:tr w14:paraId="74552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top"/>
          </w:tcPr>
          <w:p w14:paraId="3215F792">
            <w:pPr>
              <w:spacing w:before="0" w:after="0" w:line="240" w:lineRule="auto"/>
              <w:ind w:left="288" w:leftChars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No</w:t>
            </w:r>
          </w:p>
        </w:tc>
        <w:tc>
          <w:tcPr>
            <w:tcW w:w="1872" w:type="dxa"/>
            <w:vAlign w:val="center"/>
          </w:tcPr>
          <w:p w14:paraId="735C5C0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7943 (96.972)</w:t>
            </w:r>
          </w:p>
        </w:tc>
        <w:tc>
          <w:tcPr>
            <w:tcW w:w="1872" w:type="dxa"/>
            <w:vAlign w:val="center"/>
          </w:tcPr>
          <w:p w14:paraId="21CD244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1520 (92.910)</w:t>
            </w:r>
          </w:p>
        </w:tc>
        <w:tc>
          <w:tcPr>
            <w:tcW w:w="1008" w:type="dxa"/>
            <w:vAlign w:val="center"/>
          </w:tcPr>
          <w:p w14:paraId="7DA77EC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14:paraId="5BABB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top"/>
          </w:tcPr>
          <w:p w14:paraId="157FAA23">
            <w:pPr>
              <w:spacing w:before="0" w:after="0" w:line="240" w:lineRule="auto"/>
              <w:ind w:left="288" w:leftChars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Yes</w:t>
            </w:r>
          </w:p>
        </w:tc>
        <w:tc>
          <w:tcPr>
            <w:tcW w:w="1872" w:type="dxa"/>
            <w:vAlign w:val="center"/>
          </w:tcPr>
          <w:p w14:paraId="3264775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248 (3.028)</w:t>
            </w:r>
          </w:p>
        </w:tc>
        <w:tc>
          <w:tcPr>
            <w:tcW w:w="1872" w:type="dxa"/>
            <w:vAlign w:val="center"/>
          </w:tcPr>
          <w:p w14:paraId="3B6C19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116 (7.090)</w:t>
            </w:r>
          </w:p>
        </w:tc>
        <w:tc>
          <w:tcPr>
            <w:tcW w:w="1008" w:type="dxa"/>
            <w:vAlign w:val="center"/>
          </w:tcPr>
          <w:p w14:paraId="3F257AF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49A5914C">
      <w:pPr>
        <w:spacing w:before="20"/>
        <w:jc w:val="left"/>
        <w:rPr>
          <w:i w:val="0"/>
          <w:iCs/>
          <w:sz w:val="18"/>
          <w:szCs w:val="18"/>
        </w:rPr>
      </w:pPr>
      <w:r>
        <w:rPr>
          <w:rFonts w:ascii="Times New Roman" w:hAnsi="Times New Roman"/>
          <w:i w:val="0"/>
          <w:iCs/>
          <w:sz w:val="18"/>
          <w:szCs w:val="18"/>
        </w:rPr>
        <w:t>P values were derived from Wilcoxon rank-sum test (PEF), t-test (age), and chi-square tests (categorical variables).</w:t>
      </w:r>
    </w:p>
    <w:p w14:paraId="157C9C6D">
      <w:pPr>
        <w:spacing w:before="20"/>
        <w:jc w:val="left"/>
        <w:rPr>
          <w:rFonts w:hint="eastAsia" w:ascii="Times New Roman" w:hAnsi="Times New Roman" w:eastAsia="宋体"/>
          <w:i w:val="0"/>
          <w:iCs/>
          <w:sz w:val="18"/>
          <w:szCs w:val="18"/>
          <w:lang w:eastAsia="zh-CN"/>
        </w:rPr>
      </w:pPr>
      <w:r>
        <w:rPr>
          <w:rFonts w:ascii="Times New Roman" w:hAnsi="Times New Roman"/>
          <w:i w:val="0"/>
          <w:iCs/>
          <w:sz w:val="18"/>
          <w:szCs w:val="18"/>
        </w:rPr>
        <w:t>Abbreviations:</w:t>
      </w:r>
      <w:r>
        <w:rPr>
          <w:rFonts w:hint="eastAsia" w:ascii="Times New Roman" w:hAnsi="Times New Roman"/>
          <w:i w:val="0"/>
          <w:iCs/>
          <w:sz w:val="18"/>
          <w:szCs w:val="18"/>
        </w:rPr>
        <w:t xml:space="preserve"> ADL, activities of daily living</w:t>
      </w:r>
      <w:r>
        <w:rPr>
          <w:rFonts w:ascii="Times New Roman" w:hAnsi="Times New Roman"/>
          <w:i w:val="0"/>
          <w:iCs/>
          <w:sz w:val="18"/>
          <w:szCs w:val="18"/>
        </w:rPr>
        <w:t>; PEF, peak expiratory flow; BMI, body mass index</w:t>
      </w:r>
    </w:p>
    <w:sectPr>
      <w:pgSz w:w="12240" w:h="15840"/>
      <w:pgMar w:top="1440" w:right="1800" w:bottom="1440" w:left="18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38403CC"/>
    <w:rsid w:val="19BE0D6B"/>
    <w:rsid w:val="3C2974B3"/>
    <w:rsid w:val="3D8B4558"/>
    <w:rsid w:val="4BE92324"/>
    <w:rsid w:val="4FE44B06"/>
    <w:rsid w:val="6DF6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337</Words>
  <Characters>1899</Characters>
  <Lines>0</Lines>
  <Paragraphs>0</Paragraphs>
  <TotalTime>8</TotalTime>
  <ScaleCrop>false</ScaleCrop>
  <LinksUpToDate>false</LinksUpToDate>
  <CharactersWithSpaces>2068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乐</cp:lastModifiedBy>
  <dcterms:modified xsi:type="dcterms:W3CDTF">2026-07-22T14:16:25Z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eyJoZGlkIjoiNDQ1Y2YwOThiMDBlMjlmZDQzYjMxYmFhM2VjNWExNDMiLCJ1c2VySWQiOiI2MzE1MjI2NTIifQ==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AD67DCEB0EBC4835B3CDE7FA3E074B22_13</vt:lpwstr>
  </property>
</Properties>
</file>