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Times New Roman" w:hAnsi="Times New Roman" w:eastAsia="Times New Roman"/>
          <w:b/>
          <w:sz w:val="28"/>
        </w:rPr>
        <w:t>Supplementary tables and figure legends</w:t>
      </w:r>
    </w:p>
    <w:p>
      <w:r>
        <w:rPr>
          <w:rFonts w:ascii="Times New Roman" w:hAnsi="Times New Roman" w:eastAsia="Times New Roman"/>
          <w:b/>
        </w:rPr>
        <w:t>Table S1. Distribution and mortality of major adverse cardiovascular events</w:t>
      </w:r>
    </w:p>
    <w:p>
      <w:r>
        <w:rPr>
          <w:rFonts w:ascii="Times New Roman" w:hAnsi="Times New Roman" w:eastAsia="Times New Roman"/>
          <w:b/>
        </w:rPr>
        <w:t xml:space="preserve">Note: </w:t>
      </w:r>
      <w:r>
        <w:rPr>
          <w:rFonts w:ascii="Times New Roman" w:hAnsi="Times New Roman" w:eastAsia="Times New Roman"/>
        </w:rPr>
        <w:t>MACE was defined as a composite of all-cause death and acute coronary syndrome. Event categories are not mutually exclusive; patients may have experienced more than one event type. Deaths in the unstable angina and acute myocardial infarction subgroups are included in the all-cause death total.</w:t>
      </w:r>
    </w:p>
    <w:p>
      <w:r>
        <w:rPr>
          <w:rFonts w:ascii="Times New Roman" w:hAnsi="Times New Roman" w:eastAsia="Times New Roman"/>
          <w:b/>
        </w:rPr>
        <w:t>Table S2. ROC analysis of hs-cTnI for predicting MACE</w:t>
      </w:r>
    </w:p>
    <w:p>
      <w:r>
        <w:rPr>
          <w:rFonts w:ascii="Times New Roman" w:hAnsi="Times New Roman" w:eastAsia="Times New Roman"/>
          <w:b/>
        </w:rPr>
        <w:t xml:space="preserve">Note: </w:t>
      </w:r>
      <w:r>
        <w:rPr>
          <w:rFonts w:ascii="Times New Roman" w:hAnsi="Times New Roman" w:eastAsia="Times New Roman"/>
        </w:rPr>
        <w:t>ROC, receiver operating characteristic; AUC, area under the curve; CI, confidence interval; MACE, major adverse cardiovascular events; hs-cTnI, high-sensitivity cardiac troponin I.</w:t>
      </w:r>
    </w:p>
    <w:p>
      <w:r>
        <w:rPr>
          <w:rFonts w:ascii="Times New Roman" w:hAnsi="Times New Roman" w:eastAsia="Times New Roman"/>
          <w:b/>
        </w:rPr>
        <w:t>Table S3. Baseline characteristics stratified by hs-cTnI group</w:t>
      </w:r>
    </w:p>
    <w:p>
      <w:r>
        <w:rPr>
          <w:rFonts w:ascii="Times New Roman" w:hAnsi="Times New Roman" w:eastAsia="Times New Roman"/>
          <w:b/>
        </w:rPr>
        <w:t xml:space="preserve">Note: </w:t>
      </w:r>
      <w:r>
        <w:rPr>
          <w:rFonts w:ascii="Times New Roman" w:hAnsi="Times New Roman" w:eastAsia="Times New Roman"/>
        </w:rPr>
        <w:t>Continuous variables are presented as median (Q1, Q3), and categorical variables as n (%). The low hs-cTnI group was defined as ≤3.5 ng/L and the high group as &gt;3.5 ng/L. HDL-C, high-density lipoprotein cholesterol; LDL-C, low-density lipoprotein cholesterol; ALT, alanine aminotransferase; AST, aspartate aminotransferase; BNP, B-type natriuretic peptide; MACE, major adverse cardiovascular events.</w:t>
      </w:r>
    </w:p>
    <w:p>
      <w:r>
        <w:rPr>
          <w:rFonts w:ascii="Times New Roman" w:hAnsi="Times New Roman" w:eastAsia="Times New Roman"/>
          <w:b/>
        </w:rPr>
        <w:t>Table S4. Cumulative MACE-free survival by hs-cTnI group</w:t>
      </w:r>
    </w:p>
    <w:p>
      <w:r>
        <w:rPr>
          <w:rFonts w:ascii="Times New Roman" w:hAnsi="Times New Roman" w:eastAsia="Times New Roman"/>
          <w:b/>
        </w:rPr>
        <w:t xml:space="preserve">Note: </w:t>
      </w:r>
      <w:r>
        <w:rPr>
          <w:rFonts w:ascii="Times New Roman" w:hAnsi="Times New Roman" w:eastAsia="Times New Roman"/>
        </w:rPr>
        <w:t>The low hs-cTnI group was defined as ≤3.5 ng/L and the high group as &gt;3.5 ng/L. Between-group survival was compared using the log-rank test (χ²=54.6, P=1.52×10⁻¹³). Confidence intervals were estimated using the Greenwood formula. The reduction in numbers at risk reflects censoring and the end of observed follow-up.</w:t>
      </w:r>
    </w:p>
    <w:p>
      <w:r>
        <w:rPr>
          <w:rFonts w:ascii="Times New Roman" w:hAnsi="Times New Roman" w:eastAsia="Times New Roman"/>
          <w:b/>
        </w:rPr>
        <w:t>Table S5. Performance and internal validation of three nested Cox models</w:t>
      </w:r>
    </w:p>
    <w:p>
      <w:r>
        <w:rPr>
          <w:rFonts w:ascii="Times New Roman" w:hAnsi="Times New Roman" w:eastAsia="Times New Roman"/>
          <w:b/>
        </w:rPr>
        <w:t xml:space="preserve">Note: </w:t>
      </w:r>
      <w:r>
        <w:rPr>
          <w:rFonts w:ascii="Times New Roman" w:hAnsi="Times New Roman" w:eastAsia="Times New Roman"/>
        </w:rPr>
        <w:t>Model A included age, sex, BMI, smoking, hypertension, history of stroke, HbA1c, LDL-C, and creatinine. Model B added continuous hs-cTnI to Model A. Model C added binary hs-cTnI (&gt;3.5 vs ≤3.5 ng/L) to Model A. AIC, Akaike information criterion; LR, likelihood ratio; AUC, area under the curve; BMI, body mass index; HbA1c, glycated hemoglobin; LDL-C, low-density lipoprotein cholesterol; hs-cTnI, high-sensitivity cardiac troponin I.</w:t>
      </w:r>
    </w:p>
    <w:p>
      <w:pPr>
        <w:pStyle w:val="Heading1"/>
      </w:pPr>
      <w:r>
        <w:rPr>
          <w:rFonts w:ascii="Times New Roman" w:hAnsi="Times New Roman" w:eastAsia="Times New Roman"/>
        </w:rPr>
        <w:t>Supplementary figure legends</w:t>
      </w:r>
    </w:p>
    <w:p>
      <w:r>
        <w:rPr>
          <w:rFonts w:ascii="Times New Roman" w:hAnsi="Times New Roman" w:eastAsia="Times New Roman"/>
          <w:b/>
        </w:rPr>
        <w:t xml:space="preserve">Figure S1. </w:t>
      </w:r>
      <w:r>
        <w:rPr>
          <w:rFonts w:ascii="Times New Roman" w:hAnsi="Times New Roman" w:eastAsia="Times New Roman"/>
        </w:rPr>
        <w:t>Flow diagram of patient selection. The 30 patients excluded during follow-up verification were found to have pre-existing CHD that had not been identified at baseline. T2DM, type 2 diabetes mellitus; T1DM, type 1 diabetes mellitus; hs-cTnI, high-sensitivity cardiac troponin I; CHD, coronary heart disease.</w:t>
      </w:r>
    </w:p>
    <w:p>
      <w:r>
        <w:rPr>
          <w:rFonts w:ascii="Times New Roman" w:hAnsi="Times New Roman" w:eastAsia="Times New Roman"/>
          <w:b/>
        </w:rPr>
        <w:t xml:space="preserve">Figure S2. </w:t>
      </w:r>
      <w:r>
        <w:rPr>
          <w:rFonts w:ascii="Times New Roman" w:hAnsi="Times New Roman" w:eastAsia="Times New Roman"/>
        </w:rPr>
        <w:t>Receiver operating characteristic curve for baseline hs-cTnI in predicting MACE. The optimal cut-off was 3.5 ng/L. AUC, area under the curve; CI, confidence interval; MACE, major adverse cardiovascular events; hs-cTnI, high-sensitivity cardiac troponin I.</w:t>
      </w:r>
    </w:p>
    <w:p>
      <w:r>
        <w:rPr>
          <w:rFonts w:ascii="Times New Roman" w:hAnsi="Times New Roman" w:eastAsia="Times New Roman"/>
          <w:b/>
        </w:rPr>
        <w:t xml:space="preserve">Figure S3. </w:t>
      </w:r>
      <w:r>
        <w:rPr>
          <w:rFonts w:ascii="Times New Roman" w:hAnsi="Times New Roman" w:eastAsia="Times New Roman"/>
        </w:rPr>
        <w:t>Sex-stratified distributions of baseline hs-cTnI. Density curves and rug marks show the distribution in males and females. hs-cTnI, high-sensitivity cardiac troponin I.</w:t>
      </w:r>
    </w:p>
    <w:p>
      <w:r>
        <w:rPr>
          <w:rFonts w:ascii="Times New Roman" w:hAnsi="Times New Roman" w:eastAsia="Times New Roman"/>
          <w:b/>
        </w:rPr>
        <w:t xml:space="preserve">Figure S4. </w:t>
      </w:r>
      <w:r>
        <w:rPr>
          <w:rFonts w:ascii="Times New Roman" w:hAnsi="Times New Roman" w:eastAsia="Times New Roman"/>
        </w:rPr>
        <w:t>Correlation heatmap of continuous baseline variables. Values in cells are correlation coefficients; red indicates positive correlation and blue indicates negative correlation.</w:t>
      </w:r>
    </w:p>
    <w:p>
      <w:r>
        <w:rPr>
          <w:rFonts w:ascii="Times New Roman" w:hAnsi="Times New Roman" w:eastAsia="Times New Roman"/>
          <w:b/>
        </w:rPr>
        <w:t xml:space="preserve">Figure S5. </w:t>
      </w:r>
      <w:r>
        <w:rPr>
          <w:rFonts w:ascii="Times New Roman" w:hAnsi="Times New Roman" w:eastAsia="Times New Roman"/>
        </w:rPr>
        <w:t>Calibration plots for the 1-, 3-, and 5-year MACE-free survival predictions. Apparent and bootstrap bias-corrected estimates are compared with the ideal 45-degree line. MACE, major adverse cardiovascular events.</w:t>
      </w:r>
    </w:p>
    <w:p>
      <w:r>
        <w:rPr>
          <w:rFonts w:ascii="Times New Roman" w:hAnsi="Times New Roman" w:eastAsia="Times New Roman"/>
          <w:b/>
        </w:rPr>
        <w:t xml:space="preserve">Figure S6. </w:t>
      </w:r>
      <w:r>
        <w:rPr>
          <w:rFonts w:ascii="Times New Roman" w:hAnsi="Times New Roman" w:eastAsia="Times New Roman"/>
        </w:rPr>
        <w:t>Decision-curve analyses for 1-, 3-, and 5-year MACE-free survival predictions. Net benefit of the prediction model is compared with treat-all and treat-none strategies. MACE, major adverse cardiovascular events.</w:t>
      </w:r>
    </w:p>
    <w:sectPr w:rsidR="00FC693F" w:rsidRPr="0006063C" w:rsidSect="00034616">
      <w:pgSz w:w="15840" w:h="12240" w:orient="landscape"/>
      <w:pgMar w:top="792" w:right="792" w:bottom="792" w:left="792" w:header="720" w:footer="720" w:gutter="0"/>
      <w:cols w:space="720"/>
      <w:docGrid w:linePitch="360"/>
    </w:sectPr>
    <w:tbl>
      <w:tblPr>
        <w:tblStyle w:val="TableGrid"/>
        <w:tblW w:w="8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84"/>
        <w:gridCol w:w="424"/>
        <w:gridCol w:w="1744"/>
        <w:gridCol w:w="1069"/>
        <w:gridCol w:w="1454"/>
        <w:gridCol w:w="1129"/>
      </w:tblGrid>
      <w:tr w14:paraId="0D05C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  <w:tblHeader w:val="true"/>
        </w:trPr>
        <w:tc>
          <w:tcPr>
            <w:tcW w:w="0" w:type="auto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  <w:t>Event</w:t>
            </w:r>
          </w:p>
        </w:tc>
        <w:tc>
          <w:tcPr>
            <w:tcW w:w="0" w:type="auto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  <w:t>n</w:t>
            </w:r>
          </w:p>
        </w:tc>
        <w:tc>
          <w:tcPr>
            <w:tcW w:w="0" w:type="auto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  <w:t>% of MACE</w:t>
            </w:r>
          </w:p>
        </w:tc>
        <w:tc>
          <w:tcPr>
            <w:tcW w:w="0" w:type="auto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  <w:t>Deaths, n</w:t>
            </w:r>
          </w:p>
        </w:tc>
        <w:tc>
          <w:tcPr>
            <w:tcW w:w="0" w:type="auto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  <w:t>% of subgroup</w:t>
            </w:r>
          </w:p>
        </w:tc>
        <w:tc>
          <w:tcPr>
            <w:tcW w:w="1129" w:type="dxa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  <w:t>% of MACE</w:t>
            </w:r>
          </w:p>
        </w:tc>
      </w:tr>
      <w:tr w14:paraId="7FF4C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E367D22">
            <w:pPr>
              <w:snapToGrid w:val="0"/>
              <w:spacing w:beforeAutospacing="0" w:afterAutospacing="0"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i w:val="0"/>
                <w:color w:val="08090C"/>
                <w:sz w:val="17"/>
                <w:szCs w:val="16"/>
              </w:rPr>
              <w:t>All-cause death</w:t>
            </w:r>
          </w:p>
        </w:tc>
        <w:tc>
          <w:tcPr>
            <w:tcW w:w="0" w:type="auto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BAE652A">
            <w:pPr>
              <w:snapToGrid w:val="0"/>
              <w:spacing w:beforeAutospacing="0" w:afterAutospacing="0"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i w:val="0"/>
                <w:color w:val="08090C"/>
                <w:sz w:val="17"/>
                <w:szCs w:val="16"/>
              </w:rPr>
              <w:t>75</w:t>
            </w:r>
          </w:p>
        </w:tc>
        <w:tc>
          <w:tcPr>
            <w:tcW w:w="0" w:type="auto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E523F6B">
            <w:pPr>
              <w:snapToGrid w:val="0"/>
              <w:spacing w:beforeAutospacing="0" w:afterAutospacing="0"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i w:val="0"/>
                <w:color w:val="08090C"/>
                <w:sz w:val="17"/>
                <w:szCs w:val="16"/>
              </w:rPr>
              <w:t>70.1%</w:t>
            </w:r>
          </w:p>
        </w:tc>
        <w:tc>
          <w:tcPr>
            <w:tcW w:w="0" w:type="auto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990B7BA">
            <w:pPr>
              <w:snapToGrid w:val="0"/>
              <w:spacing w:beforeAutospacing="0" w:afterAutospacing="0" w:before="0"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i w:val="0"/>
                <w:color w:val="08090C"/>
                <w:sz w:val="17"/>
                <w:szCs w:val="16"/>
              </w:rPr>
              <w:t>75</w:t>
            </w:r>
          </w:p>
        </w:tc>
        <w:tc>
          <w:tcPr>
            <w:tcW w:w="0" w:type="auto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16A3F75">
            <w:pPr>
              <w:snapToGrid w:val="0"/>
              <w:spacing w:beforeAutospacing="0" w:afterAutospacing="0"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i w:val="0"/>
                <w:color w:val="08090C"/>
                <w:sz w:val="17"/>
                <w:szCs w:val="16"/>
              </w:rPr>
              <w:t>100.0%</w:t>
            </w:r>
          </w:p>
        </w:tc>
        <w:tc>
          <w:tcPr>
            <w:tcW w:w="1129" w:type="dxa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A5B762C">
            <w:pPr>
              <w:snapToGrid w:val="0"/>
              <w:spacing w:beforeAutospacing="0" w:afterAutospacing="0" w:before="0"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i w:val="0"/>
                <w:color w:val="08090C"/>
                <w:sz w:val="17"/>
                <w:szCs w:val="16"/>
              </w:rPr>
              <w:t>70.1%</w:t>
            </w:r>
          </w:p>
        </w:tc>
      </w:tr>
      <w:tr w14:paraId="73DE6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D1A16EC">
            <w:pPr>
              <w:snapToGrid w:val="0"/>
              <w:spacing w:beforeAutospacing="0" w:afterAutospacing="0"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i w:val="0"/>
                <w:color w:val="08090C"/>
                <w:sz w:val="17"/>
                <w:szCs w:val="16"/>
              </w:rPr>
              <w:t>Acute coronary syndrome (ACS)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AD941D3">
            <w:pPr>
              <w:snapToGrid w:val="0"/>
              <w:spacing w:beforeAutospacing="0" w:afterAutospacing="0"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i w:val="0"/>
                <w:color w:val="08090C"/>
                <w:sz w:val="17"/>
                <w:szCs w:val="16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3E0B76D">
            <w:pPr>
              <w:snapToGrid w:val="0"/>
              <w:spacing w:beforeAutospacing="0" w:afterAutospacing="0"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i w:val="0"/>
                <w:color w:val="08090C"/>
                <w:sz w:val="17"/>
                <w:szCs w:val="16"/>
              </w:rPr>
              <w:t>53.3%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5E0B78A">
            <w:pPr>
              <w:snapToGrid w:val="0"/>
              <w:spacing w:beforeAutospacing="0" w:afterAutospacing="0" w:before="0"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i w:val="0"/>
                <w:color w:val="08090C"/>
                <w:sz w:val="17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B186D26">
            <w:pPr>
              <w:snapToGrid w:val="0"/>
              <w:spacing w:beforeAutospacing="0" w:afterAutospacing="0"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i w:val="0"/>
                <w:color w:val="08090C"/>
                <w:sz w:val="17"/>
                <w:szCs w:val="16"/>
              </w:rPr>
              <w:t>43.9%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4B94B66">
            <w:pPr>
              <w:snapToGrid w:val="0"/>
              <w:spacing w:beforeAutospacing="0" w:afterAutospacing="0" w:before="0"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i w:val="0"/>
                <w:color w:val="08090C"/>
                <w:sz w:val="17"/>
                <w:szCs w:val="16"/>
              </w:rPr>
              <w:t>23.4%</w:t>
            </w:r>
          </w:p>
        </w:tc>
      </w:tr>
      <w:tr w14:paraId="6E9CC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BB697FA">
            <w:pPr>
              <w:snapToGrid w:val="0"/>
              <w:spacing w:beforeAutospacing="0" w:afterAutospacing="0"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i w:val="0"/>
                <w:color w:val="08090C"/>
                <w:sz w:val="17"/>
                <w:szCs w:val="16"/>
              </w:rPr>
              <w:t>Unstable angina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1D35773">
            <w:pPr>
              <w:snapToGrid w:val="0"/>
              <w:spacing w:beforeAutospacing="0" w:afterAutospacing="0"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i w:val="0"/>
                <w:color w:val="08090C"/>
                <w:sz w:val="17"/>
                <w:szCs w:val="16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290CBE2">
            <w:pPr>
              <w:snapToGrid w:val="0"/>
              <w:spacing w:beforeAutospacing="0" w:afterAutospacing="0"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i w:val="0"/>
                <w:color w:val="08090C"/>
                <w:sz w:val="17"/>
                <w:szCs w:val="16"/>
              </w:rPr>
              <w:t>34.6%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6793972">
            <w:pPr>
              <w:snapToGrid w:val="0"/>
              <w:spacing w:beforeAutospacing="0" w:afterAutospacing="0" w:before="0"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i w:val="0"/>
                <w:color w:val="08090C"/>
                <w:sz w:val="17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E843E0A">
            <w:pPr>
              <w:snapToGrid w:val="0"/>
              <w:spacing w:beforeAutospacing="0" w:afterAutospacing="0"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i w:val="0"/>
                <w:color w:val="08090C"/>
                <w:sz w:val="17"/>
                <w:szCs w:val="16"/>
              </w:rPr>
              <w:t>51.4%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D83D8A4">
            <w:pPr>
              <w:snapToGrid w:val="0"/>
              <w:spacing w:beforeAutospacing="0" w:afterAutospacing="0" w:before="0"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i w:val="0"/>
                <w:color w:val="08090C"/>
                <w:sz w:val="17"/>
                <w:szCs w:val="16"/>
              </w:rPr>
              <w:t>17.8%</w:t>
            </w:r>
          </w:p>
        </w:tc>
      </w:tr>
      <w:tr w14:paraId="21A2D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684" w:type="dxa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4B9D17F">
            <w:pPr>
              <w:snapToGrid w:val="0"/>
              <w:spacing w:beforeAutospacing="0" w:afterAutospacing="0"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i w:val="0"/>
                <w:color w:val="08090C"/>
                <w:sz w:val="17"/>
                <w:szCs w:val="16"/>
              </w:rPr>
              <w:t>Acute myocardial infarction</w:t>
            </w:r>
          </w:p>
        </w:tc>
        <w:tc>
          <w:tcPr>
            <w:tcW w:w="424" w:type="dxa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E950468">
            <w:pPr>
              <w:snapToGrid w:val="0"/>
              <w:spacing w:beforeAutospacing="0" w:afterAutospacing="0"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i w:val="0"/>
                <w:color w:val="08090C"/>
                <w:sz w:val="17"/>
                <w:szCs w:val="16"/>
              </w:rPr>
              <w:t>20</w:t>
            </w:r>
          </w:p>
        </w:tc>
        <w:tc>
          <w:tcPr>
            <w:tcW w:w="1744" w:type="dxa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7E63742">
            <w:pPr>
              <w:snapToGrid w:val="0"/>
              <w:spacing w:beforeAutospacing="0" w:afterAutospacing="0"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i w:val="0"/>
                <w:color w:val="08090C"/>
                <w:sz w:val="17"/>
                <w:szCs w:val="16"/>
              </w:rPr>
              <w:t>18.7%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E01FB6E">
            <w:pPr>
              <w:snapToGrid w:val="0"/>
              <w:spacing w:beforeAutospacing="0" w:afterAutospacing="0" w:before="0" w:after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i w:val="0"/>
                <w:color w:val="08090C"/>
                <w:sz w:val="17"/>
                <w:szCs w:val="16"/>
              </w:rPr>
              <w:t>6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87C1DC1">
            <w:pPr>
              <w:snapToGrid w:val="0"/>
              <w:spacing w:beforeAutospacing="0" w:afterAutospacing="0"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i w:val="0"/>
                <w:color w:val="08090C"/>
                <w:sz w:val="17"/>
                <w:szCs w:val="16"/>
              </w:rPr>
              <w:t>30.0%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0AF7B82">
            <w:pPr>
              <w:snapToGrid w:val="0"/>
              <w:spacing w:beforeAutospacing="0" w:after="0" w:afterAutospacing="0" w:before="0" w:line="240" w:lineRule="auto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i w:val="0"/>
                <w:color w:val="08090C"/>
                <w:sz w:val="17"/>
                <w:szCs w:val="16"/>
              </w:rPr>
              <w:t>5.6%</w:t>
            </w:r>
          </w:p>
        </w:tc>
      </w:tr>
    </w:tbl>
    <w:tbl>
      <w:tblPr>
        <w:tblStyle w:val="TableGrid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00"/>
        <w:gridCol w:w="800"/>
        <w:gridCol w:w="900"/>
        <w:gridCol w:w="900"/>
        <w:gridCol w:w="1400"/>
        <w:gridCol w:w="1000"/>
        <w:gridCol w:w="1000"/>
      </w:tblGrid>
      <w:tr w14:paraId="25311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  <w:tblHeader w:val="true"/>
        </w:trPr>
        <w:tc>
          <w:tcPr>
            <w:tcW w:w="1200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  <w:t>Group</w:t>
            </w:r>
          </w:p>
        </w:tc>
        <w:tc>
          <w:tcPr>
            <w:tcW w:w="800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  <w:t>N</w:t>
            </w:r>
          </w:p>
        </w:tc>
        <w:tc>
          <w:tcPr>
            <w:tcW w:w="900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  <w:t>Events</w:t>
            </w:r>
          </w:p>
        </w:tc>
        <w:tc>
          <w:tcPr>
            <w:tcW w:w="900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  <w:t>AUC</w:t>
            </w:r>
          </w:p>
        </w:tc>
        <w:tc>
          <w:tcPr>
            <w:tcW w:w="1400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  <w:t>95% CI</w:t>
            </w:r>
          </w:p>
        </w:tc>
        <w:tc>
          <w:tcPr>
            <w:tcW w:w="1000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  <w:t>Sensitivity</w:t>
            </w:r>
          </w:p>
        </w:tc>
        <w:tc>
          <w:tcPr>
            <w:tcW w:w="1000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  <w:t>Specificity</w:t>
            </w:r>
          </w:p>
        </w:tc>
      </w:tr>
      <w:tr w14:paraId="7442F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2EF3B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sz w:val="17"/>
                <w:szCs w:val="16"/>
                <w:lang w:val="en-US" w:eastAsia="zh-CN"/>
              </w:rPr>
              <w:t>Overall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38385">
            <w:pPr>
              <w:spacing w:before="0" w:after="0"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sz w:val="17"/>
                <w:szCs w:val="16"/>
              </w:rPr>
              <w:t>6</w:t>
            </w:r>
            <w:r>
              <w:rPr>
                <w:rFonts w:hint="default" w:ascii="Times New Roman" w:hAnsi="Times New Roman" w:eastAsia="Times New Roman" w:cs="Times New Roman"/>
                <w:b w:val="0"/>
                <w:sz w:val="17"/>
                <w:szCs w:val="16"/>
                <w:lang w:val="en-US" w:eastAsia="zh-CN"/>
              </w:rPr>
              <w:t>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95C65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sz w:val="17"/>
                <w:szCs w:val="16"/>
                <w:lang w:val="en-US" w:eastAsia="zh-CN"/>
              </w:rPr>
              <w:t>107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A0A75">
            <w:pPr>
              <w:spacing w:before="0" w:after="0"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sz w:val="17"/>
                <w:szCs w:val="16"/>
              </w:rPr>
              <w:t>0.73</w:t>
            </w:r>
            <w:r>
              <w:rPr>
                <w:rFonts w:hint="default" w:ascii="Times New Roman" w:hAnsi="Times New Roman" w:eastAsia="Times New Roman" w:cs="Times New Roman"/>
                <w:b w:val="0"/>
                <w:sz w:val="17"/>
                <w:szCs w:val="16"/>
                <w:lang w:val="en-US" w:eastAsia="zh-CN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44DFC">
            <w:pPr>
              <w:spacing w:before="0" w:after="0"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sz w:val="17"/>
                <w:szCs w:val="16"/>
              </w:rPr>
              <w:t>0.68</w:t>
            </w:r>
            <w:r>
              <w:rPr>
                <w:rFonts w:hint="default" w:ascii="Times New Roman" w:hAnsi="Times New Roman" w:eastAsia="Times New Roman" w:cs="Times New Roman"/>
                <w:b w:val="0"/>
                <w:sz w:val="17"/>
                <w:szCs w:val="16"/>
                <w:lang w:val="en-US" w:eastAsia="zh-CN"/>
              </w:rPr>
              <w:t>4</w:t>
            </w:r>
            <w:r>
              <w:rPr>
                <w:rFonts w:hint="default" w:ascii="Times New Roman" w:hAnsi="Times New Roman" w:eastAsia="Times New Roman" w:cs="Times New Roman"/>
                <w:b w:val="0"/>
                <w:sz w:val="17"/>
                <w:szCs w:val="16"/>
              </w:rPr>
              <w:t>-0.78</w:t>
            </w:r>
            <w:r>
              <w:rPr>
                <w:rFonts w:hint="default" w:ascii="Times New Roman" w:hAnsi="Times New Roman" w:eastAsia="Times New Roman" w:cs="Times New Roman"/>
                <w:b w:val="0"/>
                <w:sz w:val="17"/>
                <w:szCs w:val="16"/>
                <w:lang w:val="en-US" w:eastAsia="zh-CN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74.8%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0C845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sz w:val="17"/>
                <w:szCs w:val="16"/>
              </w:rPr>
              <w:t>6</w:t>
            </w:r>
            <w:r>
              <w:rPr>
                <w:rFonts w:hint="default" w:ascii="Times New Roman" w:hAnsi="Times New Roman" w:eastAsia="Times New Roman" w:cs="Times New Roman"/>
                <w:b w:val="0"/>
                <w:sz w:val="17"/>
                <w:szCs w:val="16"/>
                <w:lang w:val="en-US" w:eastAsia="zh-CN"/>
              </w:rPr>
              <w:t>4</w:t>
            </w:r>
            <w:r>
              <w:rPr>
                <w:rFonts w:hint="default" w:ascii="Times New Roman" w:hAnsi="Times New Roman" w:eastAsia="Times New Roman" w:cs="Times New Roman"/>
                <w:b w:val="0"/>
                <w:sz w:val="17"/>
                <w:szCs w:val="16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b w:val="0"/>
                <w:sz w:val="17"/>
                <w:szCs w:val="16"/>
                <w:lang w:val="en-US" w:eastAsia="zh-CN"/>
              </w:rPr>
              <w:t>4</w:t>
            </w:r>
            <w:r>
              <w:rPr>
                <w:rFonts w:hint="default" w:ascii="Times New Roman" w:hAnsi="Times New Roman" w:eastAsia="Times New Roman" w:cs="Times New Roman"/>
                <w:b w:val="0"/>
                <w:sz w:val="17"/>
                <w:szCs w:val="16"/>
              </w:rPr>
              <w:t>%</w:t>
            </w:r>
          </w:p>
        </w:tc>
      </w:tr>
      <w:tr w14:paraId="1A985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F6EF1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sz w:val="17"/>
                <w:szCs w:val="16"/>
                <w:lang w:val="en-US" w:eastAsia="zh-CN"/>
              </w:rPr>
              <w:t>Male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0EE5F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sz w:val="17"/>
                <w:szCs w:val="16"/>
                <w:lang w:val="en-US" w:eastAsia="zh-CN"/>
              </w:rPr>
              <w:t>331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4DF6D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sz w:val="17"/>
                <w:szCs w:val="16"/>
                <w:lang w:val="en-US" w:eastAsia="zh-CN"/>
              </w:rPr>
              <w:t>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42697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sz w:val="17"/>
                <w:szCs w:val="16"/>
              </w:rPr>
              <w:t>0.712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19D75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sz w:val="17"/>
                <w:szCs w:val="16"/>
              </w:rPr>
              <w:t>0.64</w:t>
            </w:r>
            <w:r>
              <w:rPr>
                <w:rFonts w:hint="default" w:ascii="Times New Roman" w:hAnsi="Times New Roman" w:eastAsia="Times New Roman" w:cs="Times New Roman"/>
                <w:b w:val="0"/>
                <w:sz w:val="17"/>
                <w:szCs w:val="16"/>
                <w:lang w:val="en-US" w:eastAsia="zh-CN"/>
              </w:rPr>
              <w:t>6</w:t>
            </w:r>
            <w:r>
              <w:rPr>
                <w:rFonts w:hint="default" w:ascii="Times New Roman" w:hAnsi="Times New Roman" w:eastAsia="Times New Roman" w:cs="Times New Roman"/>
                <w:b w:val="0"/>
                <w:sz w:val="17"/>
                <w:szCs w:val="16"/>
              </w:rPr>
              <w:t>-0.7</w:t>
            </w:r>
            <w:r>
              <w:rPr>
                <w:rFonts w:hint="default" w:ascii="Times New Roman" w:hAnsi="Times New Roman" w:eastAsia="Times New Roman" w:cs="Times New Roman"/>
                <w:b w:val="0"/>
                <w:sz w:val="17"/>
                <w:szCs w:val="16"/>
                <w:lang w:val="en-US" w:eastAsia="zh-CN"/>
              </w:rPr>
              <w:t>78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9BB1C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sz w:val="17"/>
                <w:szCs w:val="16"/>
                <w:lang w:val="en-US" w:eastAsia="zh-CN"/>
              </w:rPr>
              <w:t>82.1</w:t>
            </w:r>
            <w:r>
              <w:rPr>
                <w:rFonts w:hint="default" w:ascii="Times New Roman" w:hAnsi="Times New Roman" w:eastAsia="Times New Roman" w:cs="Times New Roman"/>
                <w:b w:val="0"/>
                <w:sz w:val="17"/>
                <w:szCs w:val="16"/>
              </w:rPr>
              <w:t>%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21033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sz w:val="17"/>
                <w:szCs w:val="16"/>
                <w:lang w:val="en-US" w:eastAsia="zh-CN"/>
              </w:rPr>
              <w:t>52.0</w:t>
            </w:r>
            <w:r>
              <w:rPr>
                <w:rFonts w:hint="default" w:ascii="Times New Roman" w:hAnsi="Times New Roman" w:eastAsia="Times New Roman" w:cs="Times New Roman"/>
                <w:b w:val="0"/>
                <w:sz w:val="17"/>
                <w:szCs w:val="16"/>
              </w:rPr>
              <w:t>%</w:t>
            </w:r>
          </w:p>
        </w:tc>
      </w:tr>
      <w:tr w14:paraId="2F9DC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1200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5171EEDB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sz w:val="17"/>
                <w:szCs w:val="16"/>
                <w:lang w:val="en-US" w:eastAsia="zh-CN"/>
              </w:rPr>
              <w:t>Female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02D6CFF3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sz w:val="17"/>
                <w:szCs w:val="16"/>
                <w:lang w:val="en-US" w:eastAsia="zh-CN"/>
              </w:rPr>
              <w:t>326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72CBBE83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sz w:val="17"/>
                <w:szCs w:val="16"/>
                <w:lang w:val="en-US" w:eastAsia="zh-CN"/>
              </w:rPr>
              <w:t>51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5BC9129A">
            <w:pPr>
              <w:spacing w:before="0" w:after="0"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sz w:val="17"/>
                <w:szCs w:val="16"/>
              </w:rPr>
              <w:t>0.75</w:t>
            </w:r>
            <w:r>
              <w:rPr>
                <w:rFonts w:hint="default" w:ascii="Times New Roman" w:hAnsi="Times New Roman" w:eastAsia="Times New Roman" w:cs="Times New Roman"/>
                <w:b w:val="0"/>
                <w:sz w:val="17"/>
                <w:szCs w:val="16"/>
                <w:lang w:val="en-US" w:eastAsia="zh-CN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017EEC01">
            <w:pPr>
              <w:spacing w:before="0" w:after="0" w:line="24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sz w:val="17"/>
                <w:szCs w:val="16"/>
              </w:rPr>
              <w:t>0.68</w:t>
            </w:r>
            <w:r>
              <w:rPr>
                <w:rFonts w:hint="default" w:ascii="Times New Roman" w:hAnsi="Times New Roman" w:eastAsia="Times New Roman" w:cs="Times New Roman"/>
                <w:b w:val="0"/>
                <w:sz w:val="17"/>
                <w:szCs w:val="16"/>
                <w:lang w:val="en-US" w:eastAsia="zh-CN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b w:val="0"/>
                <w:sz w:val="17"/>
                <w:szCs w:val="16"/>
              </w:rPr>
              <w:t>-0.8</w:t>
            </w:r>
            <w:r>
              <w:rPr>
                <w:rFonts w:hint="default" w:ascii="Times New Roman" w:hAnsi="Times New Roman" w:eastAsia="Times New Roman" w:cs="Times New Roman"/>
                <w:b w:val="0"/>
                <w:sz w:val="17"/>
                <w:szCs w:val="16"/>
                <w:lang w:val="en-US" w:eastAsia="zh-CN"/>
              </w:rPr>
              <w:t>26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69788E30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sz w:val="17"/>
                <w:szCs w:val="16"/>
                <w:lang w:val="en-US" w:eastAsia="zh-CN"/>
              </w:rPr>
              <w:t>78.4</w:t>
            </w:r>
            <w:r>
              <w:rPr>
                <w:rFonts w:hint="default" w:ascii="Times New Roman" w:hAnsi="Times New Roman" w:eastAsia="Times New Roman" w:cs="Times New Roman"/>
                <w:b w:val="0"/>
                <w:sz w:val="17"/>
                <w:szCs w:val="16"/>
              </w:rPr>
              <w:t>%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000000" w:sz="12" w:space="0"/>
              <w:right w:val="nil"/>
            </w:tcBorders>
            <w:vAlign w:val="center"/>
          </w:tcPr>
          <w:p w14:paraId="3D50B628">
            <w:pPr>
              <w:spacing w:before="0"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sz w:val="17"/>
                <w:szCs w:val="16"/>
                <w:lang w:val="en-US" w:eastAsia="zh-CN"/>
              </w:rPr>
              <w:t>66.9</w:t>
            </w:r>
            <w:r>
              <w:rPr>
                <w:rFonts w:hint="default" w:ascii="Times New Roman" w:hAnsi="Times New Roman" w:eastAsia="Times New Roman" w:cs="Times New Roman"/>
                <w:b w:val="0"/>
                <w:sz w:val="17"/>
                <w:szCs w:val="16"/>
              </w:rPr>
              <w:t>%</w:t>
            </w:r>
          </w:p>
        </w:tc>
      </w:tr>
    </w:tbl>
    <w:tbl>
      <w:tblPr>
        <w:tblStyle w:val="TableGrid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95"/>
        <w:gridCol w:w="1609"/>
        <w:gridCol w:w="1778"/>
        <w:gridCol w:w="1836"/>
        <w:gridCol w:w="804"/>
      </w:tblGrid>
      <w:tr w14:paraId="76D66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  <w:tblHeader w:val="true"/>
        </w:trPr>
        <w:tc>
          <w:tcPr>
            <w:tcW w:w="2495" w:type="dxa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  <w:t>Variable</w:t>
            </w:r>
          </w:p>
        </w:tc>
        <w:tc>
          <w:tcPr>
            <w:tcW w:w="1609" w:type="dxa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  <w:t>Overall</w:t>
            </w:r>
          </w:p>
        </w:tc>
        <w:tc>
          <w:tcPr>
            <w:tcW w:w="1778" w:type="dxa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  <w:t>Low hs-cTnI group</w:t>
            </w:r>
          </w:p>
        </w:tc>
        <w:tc>
          <w:tcPr>
            <w:tcW w:w="1836" w:type="dxa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  <w:t>High hs-cTnI group</w:t>
            </w:r>
          </w:p>
        </w:tc>
        <w:tc>
          <w:tcPr>
            <w:tcW w:w="804" w:type="dxa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  <w:t>P value</w:t>
            </w:r>
          </w:p>
        </w:tc>
      </w:tr>
      <w:tr w14:paraId="2CED4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95" w:type="dxa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F08BC3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Age (years)</w:t>
            </w:r>
          </w:p>
        </w:tc>
        <w:tc>
          <w:tcPr>
            <w:tcW w:w="1609" w:type="dxa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5ED9ED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63.00 (55.00, 72.00)</w:t>
            </w:r>
          </w:p>
        </w:tc>
        <w:tc>
          <w:tcPr>
            <w:tcW w:w="1778" w:type="dxa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671585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59.00 (52.00, 66.00)</w:t>
            </w:r>
          </w:p>
        </w:tc>
        <w:tc>
          <w:tcPr>
            <w:tcW w:w="1836" w:type="dxa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910A2A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70.00 (60.00, 78.00)</w:t>
            </w:r>
          </w:p>
        </w:tc>
        <w:tc>
          <w:tcPr>
            <w:tcW w:w="804" w:type="dxa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40828E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&lt;0.001</w:t>
            </w:r>
          </w:p>
        </w:tc>
      </w:tr>
      <w:tr w14:paraId="5672D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Body mass index (kg/m²)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A2C112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24.51 (22.38, 27.06)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5B9D0F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24.45 (22.15, 26.84)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0DB41A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24.51 (22.80, 27.64)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7F0C76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0.033</w:t>
            </w:r>
          </w:p>
        </w:tc>
      </w:tr>
      <w:tr w14:paraId="37134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Heart rate (beats/min)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CD16E0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82.00 (73.00, 91.00)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CEE61E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82.00 (74.00, 91.00)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26D33C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82.00 (71.00, 90.00)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95AA79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0.295</w:t>
            </w:r>
          </w:p>
        </w:tc>
      </w:tr>
      <w:tr w14:paraId="0B994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Systolic blood pressure (mmHg)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0C6CC9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135.00 (122.00, 147.00)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7B0470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132.00 (121.00, 143.00)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CE6E62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140.00 (127.00, 154.00)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848DC6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&lt;0.001</w:t>
            </w:r>
          </w:p>
        </w:tc>
      </w:tr>
      <w:tr w14:paraId="6FE67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Diastolic blood pressure (mmHg)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CE08E3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81.00 (73.00, 88.00)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F111D7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82.00 (74.00, 89.00)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25742D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80.00 (71.00, 88.00)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D07ED5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0.023</w:t>
            </w:r>
          </w:p>
        </w:tc>
      </w:tr>
      <w:tr w14:paraId="16F13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White blood cells (×10⁹/L)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A025F5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6.70 (5.64, 8.31)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D0EE74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6.50 (5.60, 7.87)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0EB730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7.20 (5.90, 9.12)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26FC27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&lt;0.001</w:t>
            </w:r>
          </w:p>
        </w:tc>
      </w:tr>
      <w:tr w14:paraId="6DB39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Red blood cells (×10¹²/L)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82A160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4.40 (3.90, 4.80)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D5EAE8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4.50 (4.10, 4.90)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452C50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4.20 (3.70, 4.68)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1B3F16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&lt;0.001</w:t>
            </w:r>
          </w:p>
        </w:tc>
      </w:tr>
      <w:tr w14:paraId="018D3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ECE49E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Hemoglobin (g/L)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B5F4A4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126.00 (115.00, 140.00)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31B537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130.00 (120.00, 142.00)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65CFFA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121.50 (109.00, 136.00)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892C92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&lt;0.001</w:t>
            </w:r>
          </w:p>
        </w:tc>
      </w:tr>
      <w:tr w14:paraId="46227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597DA9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Platelets (×10⁹/L)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D8C6C5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238.00 (195.00, 282.00)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1FB051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239.00 (198.00, 280.00)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E413EB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235.50 (191.75, 284.25)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E58AB0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0.509</w:t>
            </w:r>
          </w:p>
        </w:tc>
      </w:tr>
      <w:tr w14:paraId="02CB6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HbA1c (%)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7236C9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8.70 (7.00, 11.10)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0F6813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8.80 (7.20, 11.40)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F715EE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8.20 (6.70, 10.50)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2041A8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0.001</w:t>
            </w:r>
          </w:p>
        </w:tc>
      </w:tr>
      <w:tr w14:paraId="7341E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FFBCA4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Total Cholesterol (mmol/L)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07A0C5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4.58 (3.81, 5.47)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F6906D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4.63 (3.88, 5.45)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68AC33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4.50 (3.62, 5.48)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0C9DF0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0.125</w:t>
            </w:r>
          </w:p>
        </w:tc>
      </w:tr>
      <w:tr w14:paraId="10F4B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DCD504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Triglycerides (mmol/L)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707B2F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1.47 (1.02, 2.15)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AB8C91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1.48 (1.07, 2.23)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865B1F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1.45 (0.96, 2.01)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2298F4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0.137</w:t>
            </w:r>
          </w:p>
        </w:tc>
      </w:tr>
      <w:tr w14:paraId="025BD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092A49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HDL-C (mmol/L)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0C2693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1.01 (0.85, 1.19)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54C0AF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1.02 (0.85, 1.19)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3287FD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1.01 (0.84, 1.20)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7E65B0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0.861</w:t>
            </w:r>
          </w:p>
        </w:tc>
      </w:tr>
      <w:tr w14:paraId="35EA9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F794B6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LDL-C (mmol/L)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54123A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2.99 (2.22, 3.72)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76A775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3.10 (2.31, 3.74)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AF1B6C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2.75 (2.13, 3.72)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119466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0.046</w:t>
            </w:r>
          </w:p>
        </w:tc>
      </w:tr>
      <w:tr w14:paraId="28584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Fasting plasma glucose (mmol/L)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92BA96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7.23 (5.29, 10.50)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48C2E3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7.75 (5.68, 10.77)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89A255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6.56 (5.01, 10.04)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70F220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0.001</w:t>
            </w:r>
          </w:p>
        </w:tc>
      </w:tr>
      <w:tr w14:paraId="25211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70FD52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ALT (U/L)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5042EE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15.00 (10.00, 22.00)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58C530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16.00 (11.00, 24.00)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B71D39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14.00 (9.00, 20.00)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D07507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0.001</w:t>
            </w:r>
          </w:p>
        </w:tc>
      </w:tr>
      <w:tr w14:paraId="30A6E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B6B3D7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AST (U/L)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6FA2AF2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15.00 (12.00, 20.00)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43181C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15.00 (12.00, 20.00)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E0EAFD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15.50 (12.00, 21.00)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BF5936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0.318</w:t>
            </w:r>
          </w:p>
        </w:tc>
      </w:tr>
      <w:tr w14:paraId="16410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Total bilirubin (μmol/L)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5BA485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8.50 (6.10, 12.00)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53056A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8.80 (6.70, 12.00)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D78F85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8.05 (5.50, 11.95)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0E288F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0.008</w:t>
            </w:r>
          </w:p>
        </w:tc>
      </w:tr>
      <w:tr w14:paraId="08E29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Creatinine (μmol/L)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7EC042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77.00 (64.00, 95.00)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F70F2E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69.00 (61.00, 84.00)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7F1780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88.50 (74.00, 118.25)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28D5F5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&lt;0.001</w:t>
            </w:r>
          </w:p>
        </w:tc>
      </w:tr>
      <w:tr w14:paraId="49D35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Uric acid (μmol/L)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278CA6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346.00 (274.00, 424.00)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C9F431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325.00 (263.00, 395.00)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2613C1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373.50 (290.50, 460.25)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35603E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&lt;0.001</w:t>
            </w:r>
          </w:p>
        </w:tc>
      </w:tr>
      <w:tr w14:paraId="04E6C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5E9BD6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hs-cTnI (ng/L)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E0ADA6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3.00 (1.00, 6.00)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A03E7C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2.00 (1.00, 2.00)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26A8D2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7.00 (5.00, 11.00)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A025B5E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&lt;0.001</w:t>
            </w:r>
          </w:p>
        </w:tc>
      </w:tr>
      <w:tr w14:paraId="2C06D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9A08AC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BNP (ng/L)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468302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34.00 (22.70, 51.80)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ABD1CE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34.00 (18.00, 34.00)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19424D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43.70 (32.08, 85.75)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39843E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&lt;0.001</w:t>
            </w:r>
          </w:p>
        </w:tc>
      </w:tr>
      <w:tr w14:paraId="09349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021FBA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Female, n (%)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5332C7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326 (49.6)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EC469D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195 (51.2)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C5CA9A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131 (47.5)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254B57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0.389</w:t>
            </w:r>
          </w:p>
        </w:tc>
      </w:tr>
      <w:tr w14:paraId="555D9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D16A61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History of Hypertension, n (%)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13B884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346 (52.7)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A7B749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144 (37.8)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70A596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202 (73.2)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534A9E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&lt;0.001</w:t>
            </w:r>
          </w:p>
        </w:tc>
      </w:tr>
      <w:tr w14:paraId="2145A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89788B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History of Stroke, n (%)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BDB4A6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44 (6.7)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60668B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11 (2.9)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E664E2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33 (12.0)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4B4DE4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&lt;0.001</w:t>
            </w:r>
          </w:p>
        </w:tc>
      </w:tr>
      <w:tr w14:paraId="4FD4C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D69D51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Smoking, n (%)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75711D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130 (19.8)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9315D6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76 (19.9)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9F7058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54 (19.6)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4D7E16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0.982</w:t>
            </w:r>
          </w:p>
        </w:tc>
      </w:tr>
      <w:tr w14:paraId="17D22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Antihypertensive medication, n (%)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53A298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313 (47.6)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C8DAC1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119 (31.2)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E4833C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194 (70.3)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797CA5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&lt;0.001</w:t>
            </w:r>
          </w:p>
        </w:tc>
      </w:tr>
      <w:tr w14:paraId="0F5B1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 w:val="0"/>
                <w:sz w:val="17"/>
              </w:rPr>
              <w:t>Lipid-lowering medication, n (%)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587B58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445 (67.7)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AE8CEB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250 (65.6)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5E6A62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195 (70.7)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6A59E9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0.201</w:t>
            </w:r>
          </w:p>
        </w:tc>
      </w:tr>
      <w:tr w14:paraId="7049A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396B99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  <w:lang w:val="en-US" w:eastAsia="zh-CN"/>
              </w:rPr>
              <w:t>MACE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n (%)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F17366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  <w:lang w:val="en-US" w:eastAsia="zh-CN"/>
              </w:rPr>
              <w:t>107(16.3)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5AD3AF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  <w:lang w:val="en-US" w:eastAsia="zh-CN"/>
              </w:rPr>
              <w:t>27(7.1)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3584CB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  <w:lang w:val="en-US" w:eastAsia="zh-CN"/>
              </w:rPr>
              <w:t>80(29.0)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32D61B">
            <w:pPr>
              <w:snapToGrid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8090C"/>
                <w:sz w:val="17"/>
                <w:szCs w:val="16"/>
              </w:rPr>
              <w:t>&lt;0.001</w:t>
            </w:r>
          </w:p>
        </w:tc>
      </w:tr>
    </w:tbl>
    <w:tbl>
      <w:tblPr>
        <w:tblStyle w:val="TableGrid"/>
        <w:tblW w:w="5000" w:type="pct"/>
        <w:tblInd w:w="0" w:type="dxa"/>
        <w:tblBorders>
          <w:top w:val="single" w:color="000000" w:sz="16" w:space="0"/>
          <w:left w:val="single" w:color="000000" w:sz="16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84"/>
        <w:gridCol w:w="2887"/>
        <w:gridCol w:w="2897"/>
        <w:gridCol w:w="1854"/>
      </w:tblGrid>
      <w:tr w14:paraId="325C1327">
        <w:tblPrEx>
          <w:tblBorders>
            <w:top w:val="single" w:color="000000" w:sz="16" w:space="0"/>
            <w:left w:val="single" w:color="000000" w:sz="1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 w:val="true"/>
        </w:trPr>
        <w:tc>
          <w:tcPr>
            <w:tcW w:w="0" w:type="auto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  <w:t>Time point</w:t>
            </w:r>
          </w:p>
        </w:tc>
        <w:tc>
          <w:tcPr>
            <w:tcW w:w="0" w:type="auto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  <w:t>Low hs-cTnI group survival (95% CI)</w:t>
            </w:r>
          </w:p>
        </w:tc>
        <w:tc>
          <w:tcPr>
            <w:tcW w:w="0" w:type="auto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  <w:t>High hs-cTnI group survival (95% CI)</w:t>
            </w:r>
          </w:p>
        </w:tc>
        <w:tc>
          <w:tcPr>
            <w:tcW w:w="0" w:type="auto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  <w:t>Between-group difference</w:t>
            </w:r>
          </w:p>
        </w:tc>
      </w:tr>
      <w:tr w14:paraId="4BD723FE">
        <w:tblPrEx>
          <w:tblBorders>
            <w:top w:val="single" w:color="000000" w:sz="16" w:space="0"/>
            <w:left w:val="single" w:color="000000" w:sz="1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1579D35">
            <w:pPr>
              <w:spacing w:before="0" w:after="0" w:line="240" w:lineRule="auto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  <w:lang w:eastAsia="zh-CN"/>
              </w:rPr>
              <w:t>1-year</w:t>
            </w:r>
          </w:p>
        </w:tc>
        <w:tc>
          <w:tcPr>
            <w:tcW w:w="0" w:type="auto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936AC27">
            <w:pPr>
              <w:spacing w:before="0" w:after="0" w:line="240" w:lineRule="auto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99.0% (97.9–100.0)</w:t>
            </w:r>
          </w:p>
        </w:tc>
        <w:tc>
          <w:tcPr>
            <w:tcW w:w="0" w:type="auto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1775352">
            <w:pPr>
              <w:spacing w:before="0" w:after="0" w:line="240" w:lineRule="auto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90.9% (87.6–94.4)</w:t>
            </w:r>
          </w:p>
        </w:tc>
        <w:tc>
          <w:tcPr>
            <w:tcW w:w="0" w:type="auto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9C453FF">
            <w:pPr>
              <w:spacing w:before="0" w:after="0" w:line="240" w:lineRule="auto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8.1%</w:t>
            </w:r>
          </w:p>
        </w:tc>
      </w:tr>
      <w:tr w14:paraId="4767F546">
        <w:tblPrEx>
          <w:tblBorders>
            <w:top w:val="single" w:color="000000" w:sz="16" w:space="0"/>
            <w:left w:val="single" w:color="000000" w:sz="1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78CB69F">
            <w:pPr>
              <w:spacing w:before="0" w:after="0" w:line="240" w:lineRule="auto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  <w:lang w:eastAsia="zh-CN"/>
              </w:rPr>
              <w:t>2-year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C46A218">
            <w:pPr>
              <w:spacing w:before="0" w:after="0" w:line="240" w:lineRule="auto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98.2% (96.8–99.5)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CC52C44">
            <w:pPr>
              <w:spacing w:before="0" w:after="0" w:line="240" w:lineRule="auto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83.0% (78.7–87.5)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33FF35D">
            <w:pPr>
              <w:spacing w:before="0" w:after="0" w:line="240" w:lineRule="auto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15.2%</w:t>
            </w:r>
          </w:p>
        </w:tc>
      </w:tr>
      <w:tr w14:paraId="7AA60C6A">
        <w:tblPrEx>
          <w:tblBorders>
            <w:top w:val="single" w:color="000000" w:sz="16" w:space="0"/>
            <w:left w:val="single" w:color="000000" w:sz="1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A396B00">
            <w:pPr>
              <w:spacing w:before="0" w:after="0" w:line="240" w:lineRule="auto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  <w:lang w:eastAsia="zh-CN"/>
              </w:rPr>
              <w:t>3-year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7CAD76A">
            <w:pPr>
              <w:spacing w:before="0" w:after="0" w:line="240" w:lineRule="auto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95.4% (93.2–97.6)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BB6AD17">
            <w:pPr>
              <w:spacing w:before="0" w:after="0" w:line="240" w:lineRule="auto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78.6% (73.9–83.7)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A1B0BF1">
            <w:pPr>
              <w:spacing w:before="0" w:after="0" w:line="240" w:lineRule="auto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16.8%</w:t>
            </w:r>
          </w:p>
        </w:tc>
      </w:tr>
      <w:tr w14:paraId="55487DA6">
        <w:tblPrEx>
          <w:tblBorders>
            <w:top w:val="single" w:color="000000" w:sz="16" w:space="0"/>
            <w:left w:val="single" w:color="000000" w:sz="1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F37460D">
            <w:pPr>
              <w:spacing w:before="0" w:after="0" w:line="240" w:lineRule="auto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  <w:lang w:eastAsia="zh-CN"/>
              </w:rPr>
              <w:t>4-year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6875131">
            <w:pPr>
              <w:spacing w:before="0" w:after="0" w:line="240" w:lineRule="auto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91.3% (88.1–94.6)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04290ED">
            <w:pPr>
              <w:spacing w:before="0" w:after="0" w:line="240" w:lineRule="auto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70.5% (64.9–76.7)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4BEC2EA">
            <w:pPr>
              <w:spacing w:before="0" w:after="0" w:line="240" w:lineRule="auto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20.8%</w:t>
            </w:r>
          </w:p>
        </w:tc>
      </w:tr>
      <w:tr w14:paraId="4968DEAB">
        <w:tblPrEx>
          <w:tblBorders>
            <w:top w:val="single" w:color="000000" w:sz="16" w:space="0"/>
            <w:left w:val="single" w:color="000000" w:sz="1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9091FD8">
            <w:pPr>
              <w:spacing w:before="0" w:after="0" w:line="240" w:lineRule="auto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5-year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E1799CE">
            <w:pPr>
              <w:spacing w:before="0" w:after="0" w:line="240" w:lineRule="auto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91.3% (88.1–94.6)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A7442BB">
            <w:pPr>
              <w:spacing w:before="0" w:after="0" w:line="240" w:lineRule="auto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66.5% (60.0–73.6)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themeColor="dark1" w:sz="12" w:space="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9310A66">
            <w:pPr>
              <w:spacing w:before="0" w:after="0" w:line="240" w:lineRule="auto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24.8%</w:t>
            </w:r>
          </w:p>
        </w:tc>
      </w:tr>
    </w:tbl>
    <w:tbl>
      <w:tblPr>
        <w:tblStyle w:val="TableGrid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33"/>
        <w:gridCol w:w="1805"/>
        <w:gridCol w:w="1996"/>
        <w:gridCol w:w="2412"/>
      </w:tblGrid>
      <w:tr w14:paraId="26411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 w:val="true"/>
        </w:trPr>
        <w:tc>
          <w:tcPr>
            <w:tcW w:w="0" w:type="auto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  <w:t>Performance metric</w:t>
            </w:r>
          </w:p>
        </w:tc>
        <w:tc>
          <w:tcPr>
            <w:tcW w:w="0" w:type="auto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  <w:t>Model A: clinical baseline</w:t>
            </w:r>
          </w:p>
        </w:tc>
        <w:tc>
          <w:tcPr>
            <w:tcW w:w="1168" w:type="pct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  <w:t>Model B: Model A + continuous hs-cTnI</w:t>
            </w:r>
          </w:p>
        </w:tc>
        <w:tc>
          <w:tcPr>
            <w:tcW w:w="1411" w:type="pct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b/>
                <w:sz w:val="17"/>
              </w:rPr>
              <w:t>Model C: Model A + binary hs-cTnI</w:t>
            </w:r>
          </w:p>
        </w:tc>
      </w:tr>
      <w:tr w14:paraId="70D65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7F8E58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Number of Variables Included</w:t>
            </w:r>
          </w:p>
        </w:tc>
        <w:tc>
          <w:tcPr>
            <w:tcW w:w="0" w:type="auto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EFFC10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9</w:t>
            </w:r>
          </w:p>
        </w:tc>
        <w:tc>
          <w:tcPr>
            <w:tcW w:w="1168" w:type="pct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3642FD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10</w:t>
            </w:r>
          </w:p>
        </w:tc>
        <w:tc>
          <w:tcPr>
            <w:tcW w:w="1411" w:type="pct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8BF4443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10</w:t>
            </w:r>
          </w:p>
        </w:tc>
      </w:tr>
      <w:tr w14:paraId="32F09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98AEE8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AIC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6ED27F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1238.76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C3A0F3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1235.37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8A1768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1228.81</w:t>
            </w:r>
          </w:p>
        </w:tc>
      </w:tr>
      <w:tr w14:paraId="64A03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581EB0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ΔAIC vs Model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4028B9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—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E08176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−3.39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E901A3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−9.95</w:t>
            </w:r>
          </w:p>
        </w:tc>
      </w:tr>
      <w:tr w14:paraId="55A7C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EA19F7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LR test vs Model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AB3C00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—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FBB8C1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χ²=5.39, P=0.020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16B05E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χ²=11.95, P&lt;0.001</w:t>
            </w:r>
          </w:p>
        </w:tc>
      </w:tr>
      <w:tr w14:paraId="59018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5A2583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Apparent C-index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D424C4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0.758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DBAA3E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0.769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2E1615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0.776</w:t>
            </w:r>
          </w:p>
        </w:tc>
      </w:tr>
      <w:tr w14:paraId="77A18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C0D7EA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 xml:space="preserve">Bootstrap Corrected C-index </w:t>
            </w:r>
            <m:oMath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08090C"/>
                  <w:sz w:val="16"/>
                  <w:szCs w:val="16"/>
                </w:rPr>
                <m:t>B=1000</m:t>
              </m:r>
            </m:oMath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E845F5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0.742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88ADBE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0.751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047E81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0.758</w:t>
            </w:r>
          </w:p>
        </w:tc>
      </w:tr>
      <w:tr w14:paraId="4A17E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10424D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Optimism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A29F63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0.017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A20882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0.018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770F96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0.018</w:t>
            </w:r>
          </w:p>
        </w:tc>
      </w:tr>
      <w:tr w14:paraId="4C62A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1E08A7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1-year Time-dependent AUC (95% 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D011B6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0.743 (0.648–0.838)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F7689B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0.761 (0.668–0.854)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A696E9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0.781 (0.691–0.872)</w:t>
            </w:r>
          </w:p>
        </w:tc>
      </w:tr>
      <w:tr w14:paraId="7E893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B60CAB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3-year Time-dependent AUC (95% 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1A1035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0.795 (0.741–0.850)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665B39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0.801 (0.748–0.855)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25F883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0.805 (0.750–0.861)</w:t>
            </w:r>
          </w:p>
        </w:tc>
      </w:tr>
      <w:tr w14:paraId="7817A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6ADECB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5-year Time-dependent AUC (95% 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224DC0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0.704 (0.628–0.781)</w:t>
            </w:r>
          </w:p>
        </w:tc>
        <w:tc>
          <w:tcPr>
            <w:tcW w:w="1168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91F962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0.716 (0.640–0.791)</w:t>
            </w:r>
          </w:p>
        </w:tc>
        <w:tc>
          <w:tcPr>
            <w:tcW w:w="1411" w:type="pct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69887B">
            <w:pPr>
              <w:spacing w:before="0" w:after="0" w:line="240" w:lineRule="auto"/>
              <w:jc w:val="left"/>
              <w:rPr>
                <w:rFonts w:hint="default" w:ascii="Times New Roman" w:hAnsi="Times New Roman" w:cs="Times New Roman"/>
                <w:color w:val="08090C"/>
                <w:sz w:val="16"/>
                <w:szCs w:val="16"/>
              </w:rPr>
            </w:pPr>
            <w:r>
              <w:rPr>
                <w:rFonts w:hint="default" w:ascii="Times New Roman" w:hAnsi="Times New Roman" w:cs="Times New Roman" w:eastAsia="Times New Roman"/>
                <w:b w:val="0"/>
                <w:color w:val="08090C"/>
                <w:sz w:val="17"/>
                <w:szCs w:val="16"/>
              </w:rPr>
              <w:t>0.728 (0.656–0.799)</w:t>
            </w:r>
          </w:p>
        </w:tc>
      </w:tr>
    </w:tbl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0" w:line="240" w:lineRule="auto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0" w:line="240" w:lineRule="auto" w:before="12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