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>Table 1. Baseline characteristics of patients with and without MACE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Continuous variables are presented as median (Q1, Q3) and were compared using the Mann–Whitney U test. Categorical variables are presented as n (%) and were compared using the χ² test or Fisher's exact test, as appropriate. MACE, major adverse cardiovascular events; HbA1c, glycated hemoglobin; HDL-C, high-density lipoprotein cholesterol; LDL-C, low-density lipoprotein cholesterol; ALT, alanine aminotransferase; AST, aspartate aminotransferase; hs-cTnI, high-sensitivity cardiac troponin I; BNP, B-type natriuretic peptide; BP, blood pressure.</w:t>
      </w:r>
    </w:p>
    <w:p>
      <w:r>
        <w:rPr>
          <w:rFonts w:ascii="Times New Roman" w:hAnsi="Times New Roman" w:eastAsia="Times New Roman"/>
          <w:b/>
        </w:rPr>
        <w:t>Table 2. Univariable logistic regression analyses for MACE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OR, odds ratio; CI, confidence interval; BMI, body mass index; BP, blood pressure; HbA1c, glycated hemoglobin; HDL-C, high-density lipoprotein cholesterol; LDL-C, low-density lipoprotein cholesterol; ALT, alanine aminotransferase; AST, aspartate aminotransferase; hs-cTnI, high-sensitivity cardiac troponin I; BNP, B-type natriuretic peptide. Each variable was analysed in a separate logistic regression model.</w:t>
      </w:r>
    </w:p>
    <w:p>
      <w:r>
        <w:rPr>
          <w:rFonts w:ascii="Times New Roman" w:hAnsi="Times New Roman" w:eastAsia="Times New Roman"/>
          <w:b/>
        </w:rPr>
        <w:t>Table 3. Multivariable Cox proportional hazards regression analysis for MACE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HR, hazard ratio; CI, confidence interval; BMI, body mass index; HbA1c, glycated hemoglobin; LDL-C, low-density lipoprotein cholesterol; hs-cTnI, high-sensitivity cardiac troponin I. The model included age, sex, BMI, smoking, hypertension, history of stroke, HbA1c, LDL-C, serum creatinine, and the hs-cTnI group (&gt;3.5 vs ≤3.5 ng/L).</w:t>
      </w:r>
    </w:p>
    <w:sectPr w:rsidR="00FC693F" w:rsidRPr="0006063C" w:rsidSect="00034616">
      <w:pgSz w:w="15840" w:h="12240" w:orient="landscape"/>
      <w:pgMar w:top="792" w:right="792" w:bottom="792" w:left="792" w:header="720" w:footer="720" w:gutter="0"/>
      <w:cols w:space="720"/>
      <w:docGrid w:linePitch="360"/>
    </w:sectPr>
    <w:tbl>
      <w:tblPr>
        <w:tblStyle w:val="TableGrid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08"/>
        <w:gridCol w:w="1766"/>
        <w:gridCol w:w="1772"/>
        <w:gridCol w:w="1766"/>
        <w:gridCol w:w="734"/>
      </w:tblGrid>
      <w:tr w14:paraId="0A2A8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 w:val="true"/>
        </w:trPr>
        <w:tc>
          <w:tcPr>
            <w:tcW w:w="0" w:type="auto"/>
            <w:tcBorders>
              <w:top w:val="single" w:color="000000" w:themeColor="text1" w:sz="12" w:space="0"/>
              <w:bottom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Variable</w:t>
            </w: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Overall (n=657)</w:t>
            </w: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Non-MACE group (n=550)</w:t>
            </w: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MACE group (n=107)</w:t>
            </w: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 w14:paraId="751B3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837D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Age (years)</w:t>
            </w:r>
          </w:p>
        </w:tc>
        <w:tc>
          <w:tcPr>
            <w:tcW w:w="0" w:type="auto"/>
            <w:tcBorders>
              <w:top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39E14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63.00 (55.00, 72.00)</w:t>
            </w:r>
          </w:p>
        </w:tc>
        <w:tc>
          <w:tcPr>
            <w:tcW w:w="0" w:type="auto"/>
            <w:tcBorders>
              <w:top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4571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61.00 (54.00, 70.00)</w:t>
            </w:r>
          </w:p>
        </w:tc>
        <w:tc>
          <w:tcPr>
            <w:tcW w:w="0" w:type="auto"/>
            <w:tcBorders>
              <w:top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2D972C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74.00 (63.00, 80.00)</w:t>
            </w:r>
          </w:p>
        </w:tc>
        <w:tc>
          <w:tcPr>
            <w:tcW w:w="0" w:type="auto"/>
            <w:tcBorders>
              <w:top w:val="single" w:color="000000" w:themeColor="text1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0D44F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4E57B0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71C07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Female sex,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F12CC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326 (49.6)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4EE9A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275 (50.0)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6FAC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51 (47.7)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AF338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0.736</w:t>
            </w:r>
          </w:p>
        </w:tc>
      </w:tr>
      <w:tr w14:paraId="729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89370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History of hypertension,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10B9F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346 (52.7)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BB424C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266 (48.4)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EB4A5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80 (74.8)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8F67F0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22E24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585D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History of stroke,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2C29D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44 (6.7)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4E522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28 (5.1)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1B633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16 (15.0)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A77FE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30B214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C8A3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Smoking,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FAC63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130 (19.8)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151938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99 (18.0)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56F9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31 (29.0)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4672E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0.013</w:t>
            </w:r>
          </w:p>
        </w:tc>
      </w:tr>
      <w:tr w14:paraId="5348B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B9242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Antihypertensive medication,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C9A5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313 (47.6)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937C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243 (44.2)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E5844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70 (65.4)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CE34C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58119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7EAE9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Lipid-lowering medication, n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FD3BC3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445 (67.7)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EA7E4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377 (68.5)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FC67B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68 (63.6)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23376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0.369</w:t>
            </w:r>
          </w:p>
        </w:tc>
      </w:tr>
      <w:tr w14:paraId="4E86C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4A1E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Heart rate (bpm)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24FFE0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82.00 (73.00, 91.00)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791B1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81.00 (73.00, 90.00)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118F7C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83.00 (74.50, 96.00)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A561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0.205</w:t>
            </w:r>
          </w:p>
        </w:tc>
      </w:tr>
      <w:tr w14:paraId="065EB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3241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Systolic BP (mmHg)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3C613E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135.00 (122.00, 147.00)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B6E0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134.00 (122.00, 146.00)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68C89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140.00 (126.00, 154.00)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E48F6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0.015</w:t>
            </w:r>
          </w:p>
        </w:tc>
      </w:tr>
      <w:tr w14:paraId="2210D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AAD78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Diastolic BP (mmHg)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6DB45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81.00 (73.00, 88.00)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CBFC8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82.00 (73.00, 89.00)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462264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77.00 (70.50, 84.00)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21BC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0.004</w:t>
            </w:r>
          </w:p>
        </w:tc>
      </w:tr>
      <w:tr w14:paraId="7AE087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6F5FC3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Red blood cells (×10¹²/L)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B9944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4.40 (3.90, 4.80)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796858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4.40 (4.00, 4.90)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A4AC9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4.00 (3.60, 4.50)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D242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41F9F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C457D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Hemoglobin (g/L)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6BC36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126.00 (115.00, 140.00)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33310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128.00 (117.00, 141.00)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EC129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119.00 (103.00, 130.00)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91DDE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41A59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45634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Platelets (×10⁹/L)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FE1A0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238.00 (195.00, 282.00)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9F8E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237.00 (194.00, 279.00)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0DA44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242.00 (202.00, 297.00)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634DA0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0.173</w:t>
            </w:r>
          </w:p>
        </w:tc>
      </w:tr>
      <w:tr w14:paraId="3B678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BEED1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HbA1c 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A9154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8.70 (7.00, 11.10)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C614A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8.70 (7.00, 11.10)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38CB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8.10 (6.90, 10.45)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0ACD0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0.132</w:t>
            </w:r>
          </w:p>
        </w:tc>
      </w:tr>
      <w:tr w14:paraId="65D90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04C3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Total cholesterol (mmol/L)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7A51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4.58 (3.81, 5.47)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5C437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4.57 (3.78, 5.42)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A54FC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4.69 (3.85, 5.58)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F2E21C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0.501</w:t>
            </w:r>
          </w:p>
        </w:tc>
      </w:tr>
      <w:tr w14:paraId="20363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866173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Triglycerides (mmol/L)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5549B4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1.47 (1.02, 2.15)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F9387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1.47 (1.04, 2.15)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F7D7F0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1.50 (0.91, 2.13)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24008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0.461</w:t>
            </w:r>
          </w:p>
        </w:tc>
      </w:tr>
      <w:tr w14:paraId="7A463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E05F6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HDL-C (mmol/L)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B9274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1.01 (0.85, 1.19)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25548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1.01 (0.85, 1.19)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2837ED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1.03 (0.84, 1.23)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F64F1E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0.869</w:t>
            </w:r>
          </w:p>
        </w:tc>
      </w:tr>
      <w:tr w14:paraId="4AEB3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161B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LDL-C (mmol/L)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3E4DAC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2.99 (2.22, 3.72)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68F2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2.98 (2.22, 3.74)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DE86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3.09 (2.30, 3.72)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69F510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0.809</w:t>
            </w:r>
          </w:p>
        </w:tc>
      </w:tr>
      <w:tr w14:paraId="6E01F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924A0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Fasting plasma glucose (mmol/L)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2FEFF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7.23 (5.29, 10.50)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160B1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7.54 (5.40, 10.63)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4067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6.55 (5.08, 9.10)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69A59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0.014</w:t>
            </w:r>
          </w:p>
        </w:tc>
      </w:tr>
      <w:tr w14:paraId="1FF4E3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C2D4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ALT (U/L)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2659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15.00 (10.00, 22.00)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05FC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15.00 (11.00, 23.00)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26E37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13.00 (9.00, 18.50)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0BFA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0.003</w:t>
            </w:r>
          </w:p>
        </w:tc>
      </w:tr>
      <w:tr w14:paraId="7BC37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54A7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AST (U/L)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6C4C6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15.00 (12.00, 20.00)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E797F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15.00 (12.00, 20.00)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BE2690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15.00 (12.95, 20.00)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DA4CDD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0.869</w:t>
            </w:r>
          </w:p>
        </w:tc>
      </w:tr>
      <w:tr w14:paraId="7389A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B8FD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Total bilirubin (μmol/L)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9A918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8.50 (6.10, 12.00)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D16F8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8.70 (6.40, 12.07)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F713EA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7.10 (5.30, 11.05)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C3E089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0.028</w:t>
            </w:r>
          </w:p>
        </w:tc>
      </w:tr>
      <w:tr w14:paraId="120A2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5477B3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Creatinine (μmol/L)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80AE9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77.00 (64.00, 95.00)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B7E42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74.00 (63.00, 89.00)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B792B7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97.00 (79.00, 128.50)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4505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00609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322768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Uric acid (μmol/L)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1E9CF2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346.00 (274.00, 424.00)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7B36D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336.00 (266.25, 414.00)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2B2954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380.00 (308.50, 468.50)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DD2EFE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0.001</w:t>
            </w:r>
          </w:p>
        </w:tc>
      </w:tr>
      <w:tr w14:paraId="72FF3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1F84E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hs-cTnI (ng/L)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8F9691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3.00 (1.00, 6.00)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FEC6F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2.00 (1.00, 5.00)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6E2D5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6.00 (3.50, 10.00)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CECF9B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3765C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000000" w:themeColor="text1" w:sz="12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A48DA5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BNP (ng/L)</w:t>
            </w:r>
          </w:p>
        </w:tc>
        <w:tc>
          <w:tcPr>
            <w:tcW w:w="0" w:type="auto"/>
            <w:tcBorders>
              <w:bottom w:val="single" w:color="000000" w:themeColor="text1" w:sz="12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AC823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34.00 (22.70, 51.80)</w:t>
            </w:r>
          </w:p>
        </w:tc>
        <w:tc>
          <w:tcPr>
            <w:tcW w:w="0" w:type="auto"/>
            <w:tcBorders>
              <w:bottom w:val="single" w:color="000000" w:themeColor="text1" w:sz="12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CAE58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34.00 (20.85, 45.98)</w:t>
            </w:r>
          </w:p>
        </w:tc>
        <w:tc>
          <w:tcPr>
            <w:tcW w:w="0" w:type="auto"/>
            <w:tcBorders>
              <w:bottom w:val="single" w:color="000000" w:themeColor="text1" w:sz="12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F958AE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51.10 (33.25, 108.10)</w:t>
            </w:r>
          </w:p>
        </w:tc>
        <w:tc>
          <w:tcPr>
            <w:tcW w:w="0" w:type="auto"/>
            <w:tcBorders>
              <w:bottom w:val="single" w:color="000000" w:themeColor="text1" w:sz="12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C0EF0">
            <w:pPr>
              <w:snapToGrid w:val="0"/>
              <w:spacing w:before="0" w:beforeAutospacing="1" w:after="0" w:afterAutospacing="1" w:line="240" w:lineRule="auto"/>
              <w:contextualSpacing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</w:tbl>
    <w:tbl>
      <w:tblPr>
        <w:tblStyle w:val="TableGrid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83"/>
        <w:gridCol w:w="2268"/>
        <w:gridCol w:w="1375"/>
      </w:tblGrid>
      <w:tr w14:paraId="25A08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 w:val="true"/>
        </w:trPr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Variable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OR (95% CI)</w:t>
            </w:r>
          </w:p>
        </w:tc>
        <w:tc>
          <w:tcPr>
            <w:tcW w:w="797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 w14:paraId="13BA7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B465CDB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Age (per year)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89A21A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1.08 (1.06–1.10)</w:t>
            </w:r>
          </w:p>
        </w:tc>
        <w:tc>
          <w:tcPr>
            <w:tcW w:w="797" w:type="pc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6B9101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4810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6588B04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Female (vs 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8BD69D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0.91 (0.60–1.38)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8370D31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0.658</w:t>
            </w:r>
          </w:p>
        </w:tc>
      </w:tr>
      <w:tr w14:paraId="1290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BMI (per 1 kg/m²)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57A8CB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0.98 (0.94–1.03)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9967C3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0.547</w:t>
            </w:r>
          </w:p>
        </w:tc>
      </w:tr>
      <w:tr w14:paraId="2D158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F692F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Heart rate (per 1 bpm)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0D051E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1.01 (0.99–1.02)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27504F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0.390</w:t>
            </w:r>
          </w:p>
        </w:tc>
      </w:tr>
      <w:tr w14:paraId="731D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F6B33A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Systolic BP (per 1 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085FBF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1.01 (1.00–1.02)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3AFBDD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0.017</w:t>
            </w:r>
          </w:p>
        </w:tc>
      </w:tr>
      <w:tr w14:paraId="5E8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A3199A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Diastolic BP (per 1 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D79A6A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0.98 (0.96–1.00)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AB158B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0.040</w:t>
            </w:r>
          </w:p>
        </w:tc>
      </w:tr>
      <w:tr w14:paraId="00C97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87B0AF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White blood cells (per 1×10⁹/L)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4B6736D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1.16 (1.08–1.25)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A70282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2CB2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BA47A2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Red blood cells (per 1×10¹²/L)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6E7C3CD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0.44 (0.33–0.60)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7E4EA0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121D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2888B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Hemoglobin (per 1 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99F7D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0.97 (0.96–0.98)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87D47A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14F6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108342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Platelets (per 1×10⁹/L)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3A07C1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1.00 (1.00–1.00)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72F040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0.119</w:t>
            </w:r>
          </w:p>
        </w:tc>
      </w:tr>
      <w:tr w14:paraId="258E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A0BC27A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HbA1c (per 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50A109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0.95 (0.88–1.03)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2E373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0.222</w:t>
            </w:r>
          </w:p>
        </w:tc>
      </w:tr>
      <w:tr w14:paraId="7FB1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99A94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Total cholesterol (per 1 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ADFA86B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1.09 (0.95–1.25)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BF8A43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0.204</w:t>
            </w:r>
          </w:p>
        </w:tc>
      </w:tr>
      <w:tr w14:paraId="2215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3A7BAFF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Triglycerides (per 1 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2676C4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0.94 (0.82–1.08)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883D82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0.417</w:t>
            </w:r>
          </w:p>
        </w:tc>
      </w:tr>
      <w:tr w14:paraId="4254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F96156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HDL‑C (per 1 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BB929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1.19 (0.59–2.42)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B5452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0.627</w:t>
            </w:r>
          </w:p>
        </w:tc>
      </w:tr>
      <w:tr w14:paraId="664E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BDC85A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LDL‑C (per 1 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0B3EC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1.11 (0.93–1.31)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B6895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0.240</w:t>
            </w:r>
          </w:p>
        </w:tc>
      </w:tr>
      <w:tr w14:paraId="065A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3D0BCCF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Fasting plasma glucose (per 1 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D765FA2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0.94 (0.88–1.00)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0A5256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0.036</w:t>
            </w:r>
          </w:p>
        </w:tc>
      </w:tr>
      <w:tr w14:paraId="1883B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1DF25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ALT (per 1 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D4E5D1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0.99 (0.97–1.00)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F4A8A0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0.123</w:t>
            </w:r>
          </w:p>
        </w:tc>
      </w:tr>
      <w:tr w14:paraId="5F5A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2FA21C3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AST (per 1 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799CA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1.00 (1.00–1.01)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70B58E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0.359</w:t>
            </w:r>
          </w:p>
        </w:tc>
      </w:tr>
      <w:tr w14:paraId="78B8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Total bilirubin (per 1 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3620DA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1.01 (0.98–1.04)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55485B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0.328</w:t>
            </w:r>
          </w:p>
        </w:tc>
      </w:tr>
      <w:tr w14:paraId="45AE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Creatinine (per 1 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11CFC1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1.00 (1.00–1.01)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E77ECC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783E6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Uric acid (per 1 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042AF1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1.00 (1.00–1.00)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515D7E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7CCC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1C869E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hs‑cTnI (per 1 ng/L)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B5F750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1.12 (1.08–1.17)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997A2BB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6B30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35A34A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BNP (per 1 ng/L)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EB4FC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1.01 (1.00–1.01)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E0F4349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36AFB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9E183F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History of hypertension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D1F8FE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3.16 (1.98–5.05)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5A3645E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6A96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99A8AD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History of stroke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25B5EB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3.28 (1.71–6.30)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616B58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11F25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05C540F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Smoking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44AFC7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1.86 (1.16–2.98)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21C9A9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0.010</w:t>
            </w:r>
          </w:p>
        </w:tc>
      </w:tr>
      <w:tr w14:paraId="4EEA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30B9B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Antihypertensive medication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587507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2.39 (1.55–3.68)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7FBC25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057E4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8BD66CC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Lipid‑lowering medication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58909D6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0.80 (0.52–1.23)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AFD36F">
            <w:pPr>
              <w:spacing w:before="0" w:after="0" w:line="240" w:lineRule="auto"/>
              <w:jc w:val="left"/>
              <w:rPr>
                <w:rFonts w:hint="default" w:ascii="Segoe UI" w:hAnsi="Segoe UI" w:cs="Segoe UI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0.313</w:t>
            </w:r>
          </w:p>
        </w:tc>
      </w:tr>
      <w:tr w14:paraId="0288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C11FDB5">
            <w:pPr>
              <w:spacing w:before="0" w:after="0" w:line="240" w:lineRule="auto"/>
              <w:jc w:val="left"/>
              <w:rPr>
                <w:rFonts w:hint="default" w:ascii="Segoe UI" w:hAnsi="Segoe UI" w:cs="Segoe UI" w:eastAsiaTheme="minorEastAsia"/>
                <w:b w:val="0"/>
                <w:i w:val="0"/>
                <w:color w:val="08090C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Antiplatelet medication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83C0CD">
            <w:pPr>
              <w:spacing w:after="0" w:before="0" w:line="240" w:lineRule="auto"/>
              <w:jc w:val="left"/>
              <w:rPr>
                <w:rFonts w:hint="default" w:ascii="Segoe UI" w:hAnsi="Segoe UI" w:cs="Segoe UI" w:eastAsiaTheme="minorEastAsia"/>
                <w:b w:val="0"/>
                <w:i w:val="0"/>
                <w:color w:val="08090C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1.59 (1.05–2.42)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52F3294">
            <w:pPr>
              <w:spacing w:before="0" w:after="0" w:line="240" w:lineRule="auto"/>
              <w:jc w:val="left"/>
              <w:rPr>
                <w:rFonts w:hint="default" w:ascii="Segoe UI" w:hAnsi="Segoe UI" w:cs="Segoe UI" w:eastAsiaTheme="minorEastAsia"/>
                <w:b w:val="0"/>
                <w:i w:val="0"/>
                <w:color w:val="08090C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i w:val="0"/>
                <w:color w:val="08090C"/>
                <w:sz w:val="17"/>
                <w:szCs w:val="16"/>
              </w:rPr>
              <w:t>0.029</w:t>
            </w:r>
          </w:p>
        </w:tc>
      </w:tr>
    </w:tbl>
    <w:tbl>
      <w:tblPr>
        <w:tblStyle w:val="TableGrid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12"/>
        <w:gridCol w:w="2069"/>
        <w:gridCol w:w="1239"/>
      </w:tblGrid>
      <w:tr w14:paraId="24A3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 w:val="true"/>
        </w:trPr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Variable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Adjusted HR (95% CI)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 w14:paraId="4ACD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High hs-cTnI group (vs low group)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2C600F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2.35 (1.43–3.89)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6E0547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3086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1187B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Age (per 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03527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1.06 (1.04–1.08)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3E78C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&lt;0.001</w:t>
            </w:r>
          </w:p>
        </w:tc>
      </w:tr>
      <w:tr w14:paraId="203A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Female (vs 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E2C9E0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1.02 (0.65–1.61)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7692C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0.921</w:t>
            </w:r>
          </w:p>
        </w:tc>
      </w:tr>
      <w:tr w14:paraId="3FC5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BMI (per 1 kg/m²)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DF7EB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0.99 (0.94–1.04)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CB62E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0.754</w:t>
            </w:r>
          </w:p>
        </w:tc>
      </w:tr>
      <w:tr w14:paraId="2108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Smoking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496A4D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1.84 (1.13–3.01)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7FD480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0.015</w:t>
            </w:r>
          </w:p>
        </w:tc>
      </w:tr>
      <w:tr w14:paraId="4500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History of hypertension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9B129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1.36 (0.83–2.21)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E6762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0.220</w:t>
            </w:r>
          </w:p>
        </w:tc>
      </w:tr>
      <w:tr w14:paraId="2236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History of stroke (yes vs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F3657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1.78 (1.02–3.09)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C49287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0.041</w:t>
            </w:r>
          </w:p>
        </w:tc>
      </w:tr>
      <w:tr w14:paraId="114BB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768854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HbA1c (per 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A2FB1A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1.09 (1.00–1.18)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87F196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0.041</w:t>
            </w:r>
          </w:p>
        </w:tc>
      </w:tr>
      <w:tr w14:paraId="1535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BBC62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LDL-C (per 1 mmol/L)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23B89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1.24 (1.06–1.44)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62AA8B">
            <w:pPr>
              <w:spacing w:before="0" w:after="0" w:line="240" w:lineRule="auto"/>
              <w:rPr>
                <w:rFonts w:hint="default" w:ascii="Segoe UI" w:hAnsi="Segoe UI" w:cs="Segoe UI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Segoe UI" w:eastAsia="Times New Roman"/>
                <w:b w:val="0"/>
                <w:color w:val="08090C"/>
                <w:sz w:val="17"/>
                <w:szCs w:val="16"/>
              </w:rPr>
              <w:t>0.006</w:t>
            </w:r>
          </w:p>
        </w:tc>
      </w:tr>
      <w:tr>
        <w:tc>
          <w:tcPr>
            <w:tcW w:type="dxa" w:w="4112"/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Creatinine (per 1 μmol/L)</w:t>
            </w:r>
          </w:p>
        </w:tc>
        <w:tc>
          <w:tcPr>
            <w:tcW w:type="dxa" w:w="2069"/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1.00 (1.00–1.00)</w:t>
            </w:r>
          </w:p>
        </w:tc>
        <w:tc>
          <w:tcPr>
            <w:tcW w:type="dxa" w:w="1239"/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0.055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12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