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D4FA" w14:textId="77777777" w:rsidR="008D1236" w:rsidRDefault="008D1236" w:rsidP="008D1236">
      <w:pPr>
        <w:pStyle w:val="Heading1"/>
        <w:spacing w:before="0" w:line="480" w:lineRule="auto"/>
      </w:pPr>
      <w:r>
        <w:t>Supplementary Material</w:t>
      </w:r>
    </w:p>
    <w:p w14:paraId="146043BB" w14:textId="77777777" w:rsidR="008D1236" w:rsidRDefault="008D1236" w:rsidP="008D1236">
      <w:pPr>
        <w:pBdr>
          <w:bottom w:val="single" w:sz="8" w:space="1" w:color="2563A8"/>
        </w:pBdr>
        <w:spacing w:before="200" w:after="200" w:line="480" w:lineRule="auto"/>
      </w:pPr>
    </w:p>
    <w:p w14:paraId="4C13064B" w14:textId="77777777" w:rsidR="008D1236" w:rsidRDefault="008D1236" w:rsidP="008D1236">
      <w:pPr>
        <w:spacing w:after="80" w:line="480" w:lineRule="auto"/>
      </w:pPr>
    </w:p>
    <w:p w14:paraId="10E54F47" w14:textId="77777777" w:rsidR="008D1236" w:rsidRDefault="008D1236" w:rsidP="008D1236">
      <w:pPr>
        <w:spacing w:after="60" w:line="480" w:lineRule="auto"/>
        <w:jc w:val="center"/>
      </w:pPr>
      <w:r>
        <w:rPr>
          <w:b/>
          <w:bCs/>
          <w:color w:val="1F3A6E"/>
          <w:sz w:val="26"/>
          <w:szCs w:val="26"/>
        </w:rPr>
        <w:t>Supplementary Table S1</w:t>
      </w:r>
    </w:p>
    <w:p w14:paraId="481F1D13" w14:textId="77777777" w:rsidR="008D1236" w:rsidRDefault="008D1236" w:rsidP="008D1236">
      <w:pPr>
        <w:spacing w:after="200" w:line="480" w:lineRule="auto"/>
        <w:jc w:val="center"/>
      </w:pPr>
      <w:r>
        <w:rPr>
          <w:b/>
          <w:bCs/>
        </w:rPr>
        <w:t>STARD-Style Participant Flow and Outcome Summary (N = 451 screened; N = 380 analysed)</w:t>
      </w:r>
    </w:p>
    <w:tbl>
      <w:tblPr>
        <w:tblW w:w="936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5601"/>
        <w:gridCol w:w="3759"/>
      </w:tblGrid>
      <w:tr w:rsidR="008D1236" w14:paraId="6D7FF9D7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</w:tcPr>
          <w:p w14:paraId="6CAB4A46" w14:textId="77777777" w:rsidR="008D1236" w:rsidRDefault="008D1236" w:rsidP="00582AD7">
            <w:r>
              <w:rPr>
                <w:b/>
                <w:bCs/>
                <w:color w:val="FFFFFF"/>
                <w:sz w:val="19"/>
                <w:szCs w:val="19"/>
              </w:rPr>
              <w:t>Enrolment and participation stage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</w:tcPr>
          <w:p w14:paraId="024D609C" w14:textId="77777777" w:rsidR="008D1236" w:rsidRDefault="008D1236" w:rsidP="00582AD7">
            <w:r>
              <w:rPr>
                <w:b/>
                <w:bCs/>
                <w:color w:val="FFFFFF"/>
                <w:sz w:val="19"/>
                <w:szCs w:val="19"/>
              </w:rPr>
              <w:t>n (%)</w:t>
            </w:r>
          </w:p>
        </w:tc>
      </w:tr>
      <w:tr w:rsidR="008D1236" w14:paraId="71D9D7EB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1A09DA6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Patients assessed for eligibility (screened)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9CCD37A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451 (100%)</w:t>
            </w:r>
          </w:p>
        </w:tc>
      </w:tr>
      <w:tr w:rsidR="008D1236" w14:paraId="771DC937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D3D4217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Excluded — total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21D3F9A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71 (15.7%)</w:t>
            </w:r>
          </w:p>
        </w:tc>
      </w:tr>
      <w:tr w:rsidR="008D1236" w14:paraId="297192EB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CBD2DC1" w14:textId="77777777" w:rsidR="008D1236" w:rsidRDefault="008D1236" w:rsidP="00582AD7">
            <w:r>
              <w:rPr>
                <w:sz w:val="19"/>
                <w:szCs w:val="19"/>
              </w:rPr>
              <w:t xml:space="preserve">   1. Technically unreliable LSM (IQR/median &gt;30% with LSM &gt;7.1 kPa)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109118D0" w14:textId="77777777" w:rsidR="008D1236" w:rsidRDefault="008D1236" w:rsidP="00582AD7">
            <w:r>
              <w:rPr>
                <w:sz w:val="19"/>
                <w:szCs w:val="19"/>
              </w:rPr>
              <w:t>18 (4.0%)</w:t>
            </w:r>
          </w:p>
        </w:tc>
      </w:tr>
      <w:tr w:rsidR="008D1236" w14:paraId="233DC3A5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051E136C" w14:textId="77777777" w:rsidR="008D1236" w:rsidRDefault="008D1236" w:rsidP="00582AD7">
            <w:r>
              <w:rPr>
                <w:sz w:val="19"/>
                <w:szCs w:val="19"/>
              </w:rPr>
              <w:t xml:space="preserve">   2. Prior variceal band ligation or NSBB therapy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DDBC5BD" w14:textId="77777777" w:rsidR="008D1236" w:rsidRDefault="008D1236" w:rsidP="00582AD7">
            <w:r>
              <w:rPr>
                <w:sz w:val="19"/>
                <w:szCs w:val="19"/>
              </w:rPr>
              <w:t>16 (3.5%)</w:t>
            </w:r>
          </w:p>
        </w:tc>
      </w:tr>
      <w:tr w:rsidR="008D1236" w14:paraId="6FA6099D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13875EA5" w14:textId="77777777" w:rsidR="008D1236" w:rsidRDefault="008D1236" w:rsidP="00582AD7">
            <w:r>
              <w:rPr>
                <w:sz w:val="19"/>
                <w:szCs w:val="19"/>
              </w:rPr>
              <w:t xml:space="preserve">   3. Decompensated cirrhosis at enrolment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B46A147" w14:textId="77777777" w:rsidR="008D1236" w:rsidRDefault="008D1236" w:rsidP="00582AD7">
            <w:r>
              <w:rPr>
                <w:sz w:val="19"/>
                <w:szCs w:val="19"/>
              </w:rPr>
              <w:t>14 (3.1%)</w:t>
            </w:r>
          </w:p>
        </w:tc>
      </w:tr>
      <w:tr w:rsidR="008D1236" w14:paraId="6F64190E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FCBD0A8" w14:textId="77777777" w:rsidR="008D1236" w:rsidRDefault="008D1236" w:rsidP="00582AD7">
            <w:r>
              <w:rPr>
                <w:sz w:val="19"/>
                <w:szCs w:val="19"/>
              </w:rPr>
              <w:t xml:space="preserve">   4. Active hepatocellular carcinoma or other malignancy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5910AA5A" w14:textId="77777777" w:rsidR="008D1236" w:rsidRDefault="008D1236" w:rsidP="00582AD7">
            <w:r>
              <w:rPr>
                <w:sz w:val="19"/>
                <w:szCs w:val="19"/>
              </w:rPr>
              <w:t>11 (2.4%)</w:t>
            </w:r>
          </w:p>
        </w:tc>
      </w:tr>
      <w:tr w:rsidR="008D1236" w14:paraId="7250CFA3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E223089" w14:textId="77777777" w:rsidR="008D1236" w:rsidRDefault="008D1236" w:rsidP="00582AD7">
            <w:r>
              <w:rPr>
                <w:sz w:val="19"/>
                <w:szCs w:val="19"/>
              </w:rPr>
              <w:t xml:space="preserve">   5. Portal vein thrombosis (&gt;50% luminal occlusion)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0ACDAC0" w14:textId="77777777" w:rsidR="008D1236" w:rsidRDefault="008D1236" w:rsidP="00582AD7">
            <w:r>
              <w:rPr>
                <w:sz w:val="19"/>
                <w:szCs w:val="19"/>
              </w:rPr>
              <w:t>7 (1.6%)</w:t>
            </w:r>
          </w:p>
        </w:tc>
      </w:tr>
      <w:tr w:rsidR="008D1236" w14:paraId="33342647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213AA2E4" w14:textId="77777777" w:rsidR="008D1236" w:rsidRDefault="008D1236" w:rsidP="00582AD7">
            <w:r>
              <w:rPr>
                <w:sz w:val="19"/>
                <w:szCs w:val="19"/>
              </w:rPr>
              <w:t xml:space="preserve">   6. Refusal of informed consent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187D646" w14:textId="77777777" w:rsidR="008D1236" w:rsidRDefault="008D1236" w:rsidP="00582AD7">
            <w:r>
              <w:rPr>
                <w:sz w:val="19"/>
                <w:szCs w:val="19"/>
              </w:rPr>
              <w:t>5 (1.1%)</w:t>
            </w:r>
          </w:p>
        </w:tc>
      </w:tr>
      <w:tr w:rsidR="008D1236" w14:paraId="3759ABFA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2AD4C61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Enrolled and analysed — final study cohort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D58163A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380 (84.3%)</w:t>
            </w:r>
          </w:p>
        </w:tc>
      </w:tr>
      <w:tr w:rsidR="008D1236" w14:paraId="17B6F8F0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062767DF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Analytical subgroups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0C88584" w14:textId="77777777" w:rsidR="008D1236" w:rsidRDefault="008D1236" w:rsidP="00582AD7"/>
        </w:tc>
      </w:tr>
      <w:tr w:rsidR="008D1236" w14:paraId="6A314231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178DCD0" w14:textId="77777777" w:rsidR="008D1236" w:rsidRDefault="008D1236" w:rsidP="00582AD7">
            <w:r>
              <w:rPr>
                <w:sz w:val="19"/>
                <w:szCs w:val="19"/>
              </w:rPr>
              <w:t xml:space="preserve">   MASLD (all) — per 2023 nomenclature[21]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4BBF84B" w14:textId="77777777" w:rsidR="008D1236" w:rsidRDefault="008D1236" w:rsidP="00582AD7">
            <w:r>
              <w:rPr>
                <w:sz w:val="19"/>
                <w:szCs w:val="19"/>
              </w:rPr>
              <w:t>252 (66.3%)</w:t>
            </w:r>
          </w:p>
        </w:tc>
      </w:tr>
      <w:tr w:rsidR="008D1236" w14:paraId="529F0EAA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EC52FD5" w14:textId="77777777" w:rsidR="008D1236" w:rsidRDefault="008D1236" w:rsidP="00582AD7">
            <w:r>
              <w:rPr>
                <w:sz w:val="19"/>
                <w:szCs w:val="19"/>
              </w:rPr>
              <w:t xml:space="preserve">      MASLD + obesity (BMI ≥30 kg/m²)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DC8FD01" w14:textId="77777777" w:rsidR="008D1236" w:rsidRDefault="008D1236" w:rsidP="00582AD7">
            <w:r>
              <w:rPr>
                <w:sz w:val="19"/>
                <w:szCs w:val="19"/>
              </w:rPr>
              <w:t>172 (45.3%)</w:t>
            </w:r>
          </w:p>
        </w:tc>
      </w:tr>
      <w:tr w:rsidR="008D1236" w14:paraId="1EA778E4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B0280FA" w14:textId="77777777" w:rsidR="008D1236" w:rsidRDefault="008D1236" w:rsidP="00582AD7">
            <w:r>
              <w:rPr>
                <w:sz w:val="19"/>
                <w:szCs w:val="19"/>
              </w:rPr>
              <w:t xml:space="preserve">      MASLD without obesity (BMI &lt;30 kg/m²)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A1ABBE7" w14:textId="77777777" w:rsidR="008D1236" w:rsidRDefault="008D1236" w:rsidP="00582AD7">
            <w:r>
              <w:rPr>
                <w:sz w:val="19"/>
                <w:szCs w:val="19"/>
              </w:rPr>
              <w:t>80 (21.1%)</w:t>
            </w:r>
          </w:p>
        </w:tc>
      </w:tr>
      <w:tr w:rsidR="008D1236" w14:paraId="1FC39E76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19D592DB" w14:textId="77777777" w:rsidR="008D1236" w:rsidRDefault="008D1236" w:rsidP="00582AD7">
            <w:r>
              <w:rPr>
                <w:sz w:val="19"/>
                <w:szCs w:val="19"/>
              </w:rPr>
              <w:t xml:space="preserve">   Non-MASLD (all aetiologies)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16F8EBC" w14:textId="77777777" w:rsidR="008D1236" w:rsidRDefault="008D1236" w:rsidP="00582AD7">
            <w:r>
              <w:rPr>
                <w:sz w:val="19"/>
                <w:szCs w:val="19"/>
              </w:rPr>
              <w:t>128 (33.7%)</w:t>
            </w:r>
          </w:p>
        </w:tc>
      </w:tr>
      <w:tr w:rsidR="008D1236" w14:paraId="02115693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2EA2D861" w14:textId="77777777" w:rsidR="008D1236" w:rsidRDefault="008D1236" w:rsidP="00582AD7">
            <w:r>
              <w:rPr>
                <w:sz w:val="19"/>
                <w:szCs w:val="19"/>
              </w:rPr>
              <w:t xml:space="preserve">      HCV-related cirrhosis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853CDF7" w14:textId="77777777" w:rsidR="008D1236" w:rsidRDefault="008D1236" w:rsidP="00582AD7">
            <w:r>
              <w:rPr>
                <w:sz w:val="19"/>
                <w:szCs w:val="19"/>
              </w:rPr>
              <w:t>54 (14.2%)</w:t>
            </w:r>
          </w:p>
        </w:tc>
      </w:tr>
      <w:tr w:rsidR="008D1236" w14:paraId="1E7C1375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E32F0B5" w14:textId="77777777" w:rsidR="008D1236" w:rsidRDefault="008D1236" w:rsidP="00582AD7">
            <w:r>
              <w:rPr>
                <w:sz w:val="19"/>
                <w:szCs w:val="19"/>
              </w:rPr>
              <w:t xml:space="preserve">      HBV-related cirrhosis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3494F83" w14:textId="77777777" w:rsidR="008D1236" w:rsidRDefault="008D1236" w:rsidP="00582AD7">
            <w:r>
              <w:rPr>
                <w:sz w:val="19"/>
                <w:szCs w:val="19"/>
              </w:rPr>
              <w:t>38 (10.0%)</w:t>
            </w:r>
          </w:p>
        </w:tc>
      </w:tr>
      <w:tr w:rsidR="008D1236" w14:paraId="3C394AC1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19033231" w14:textId="77777777" w:rsidR="008D1236" w:rsidRDefault="008D1236" w:rsidP="00582AD7">
            <w:r>
              <w:rPr>
                <w:sz w:val="19"/>
                <w:szCs w:val="19"/>
              </w:rPr>
              <w:t xml:space="preserve">      Alcohol-related liver disease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2AA94E9B" w14:textId="77777777" w:rsidR="008D1236" w:rsidRDefault="008D1236" w:rsidP="00582AD7">
            <w:r>
              <w:rPr>
                <w:sz w:val="19"/>
                <w:szCs w:val="19"/>
              </w:rPr>
              <w:t>21 (5.5%)</w:t>
            </w:r>
          </w:p>
        </w:tc>
      </w:tr>
      <w:tr w:rsidR="008D1236" w14:paraId="3DA4B989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CF59BA9" w14:textId="77777777" w:rsidR="008D1236" w:rsidRDefault="008D1236" w:rsidP="00582AD7">
            <w:r>
              <w:rPr>
                <w:sz w:val="19"/>
                <w:szCs w:val="19"/>
              </w:rPr>
              <w:t xml:space="preserve">      Autoimmune/PBC/PSC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561A285" w14:textId="77777777" w:rsidR="008D1236" w:rsidRDefault="008D1236" w:rsidP="00582AD7">
            <w:r>
              <w:rPr>
                <w:sz w:val="19"/>
                <w:szCs w:val="19"/>
              </w:rPr>
              <w:t>15 (3.9%)</w:t>
            </w:r>
          </w:p>
        </w:tc>
      </w:tr>
      <w:tr w:rsidR="008D1236" w14:paraId="2353CFB0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36E81ED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Non-invasive criteria application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17B5409" w14:textId="77777777" w:rsidR="008D1236" w:rsidRDefault="008D1236" w:rsidP="00582AD7"/>
        </w:tc>
      </w:tr>
      <w:tr w:rsidR="008D1236" w14:paraId="51FEDB8B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1535480" w14:textId="77777777" w:rsidR="008D1236" w:rsidRDefault="008D1236" w:rsidP="00582AD7">
            <w:r>
              <w:rPr>
                <w:sz w:val="19"/>
                <w:szCs w:val="19"/>
              </w:rPr>
              <w:t xml:space="preserve">   Met Baveno VII rule-out criterion (LSM &lt;20 kPa AND PLT &gt;150 ×10⁹/L)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54DD89DE" w14:textId="77777777" w:rsidR="008D1236" w:rsidRDefault="008D1236" w:rsidP="00582AD7">
            <w:r>
              <w:rPr>
                <w:sz w:val="19"/>
                <w:szCs w:val="19"/>
              </w:rPr>
              <w:t>143 (37.6%)</w:t>
            </w:r>
          </w:p>
        </w:tc>
      </w:tr>
      <w:tr w:rsidR="008D1236" w14:paraId="104F1F8D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93951CB" w14:textId="77777777" w:rsidR="008D1236" w:rsidRDefault="008D1236" w:rsidP="00582AD7">
            <w:r>
              <w:rPr>
                <w:sz w:val="19"/>
                <w:szCs w:val="19"/>
              </w:rPr>
              <w:t xml:space="preserve">      HRV identified at endoscopy — missed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7039A9B" w14:textId="77777777" w:rsidR="008D1236" w:rsidRDefault="008D1236" w:rsidP="00582AD7">
            <w:r>
              <w:rPr>
                <w:sz w:val="19"/>
                <w:szCs w:val="19"/>
              </w:rPr>
              <w:t>2 (1.4%)</w:t>
            </w:r>
          </w:p>
        </w:tc>
      </w:tr>
      <w:tr w:rsidR="008D1236" w14:paraId="1BE63F15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67A25A3" w14:textId="77777777" w:rsidR="008D1236" w:rsidRDefault="008D1236" w:rsidP="00582AD7">
            <w:r>
              <w:rPr>
                <w:sz w:val="19"/>
                <w:szCs w:val="19"/>
              </w:rPr>
              <w:t xml:space="preserve">      No HRV at endoscopy — true negative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5702A7A5" w14:textId="77777777" w:rsidR="008D1236" w:rsidRDefault="008D1236" w:rsidP="00582AD7">
            <w:r>
              <w:rPr>
                <w:sz w:val="19"/>
                <w:szCs w:val="19"/>
              </w:rPr>
              <w:t>141 (98.6%)</w:t>
            </w:r>
          </w:p>
        </w:tc>
      </w:tr>
      <w:tr w:rsidR="008D1236" w14:paraId="6EC1F664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6B0ECFCF" w14:textId="77777777" w:rsidR="008D1236" w:rsidRDefault="008D1236" w:rsidP="00582AD7">
            <w:r>
              <w:rPr>
                <w:sz w:val="19"/>
                <w:szCs w:val="19"/>
              </w:rPr>
              <w:t xml:space="preserve">   Did NOT meet Baveno VII rule-out criterion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2472778" w14:textId="77777777" w:rsidR="008D1236" w:rsidRDefault="008D1236" w:rsidP="00582AD7">
            <w:r>
              <w:rPr>
                <w:sz w:val="19"/>
                <w:szCs w:val="19"/>
              </w:rPr>
              <w:t>237 (62.4%)</w:t>
            </w:r>
          </w:p>
        </w:tc>
      </w:tr>
      <w:tr w:rsidR="008D1236" w14:paraId="65D8FA98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22164554" w14:textId="77777777" w:rsidR="008D1236" w:rsidRDefault="008D1236" w:rsidP="00582AD7">
            <w:r>
              <w:rPr>
                <w:sz w:val="19"/>
                <w:szCs w:val="19"/>
              </w:rPr>
              <w:lastRenderedPageBreak/>
              <w:t xml:space="preserve">      HRV identified at endoscopy — true positive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B6E69AD" w14:textId="77777777" w:rsidR="008D1236" w:rsidRDefault="008D1236" w:rsidP="00582AD7">
            <w:r>
              <w:rPr>
                <w:sz w:val="19"/>
                <w:szCs w:val="19"/>
              </w:rPr>
              <w:t>74 (31.2%)</w:t>
            </w:r>
          </w:p>
        </w:tc>
      </w:tr>
      <w:tr w:rsidR="008D1236" w14:paraId="5DEDAE63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501296DF" w14:textId="77777777" w:rsidR="008D1236" w:rsidRDefault="008D1236" w:rsidP="00582AD7">
            <w:r>
              <w:rPr>
                <w:sz w:val="19"/>
                <w:szCs w:val="19"/>
              </w:rPr>
              <w:t xml:space="preserve">      No HRV at endoscopy — false positive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432DA4D" w14:textId="77777777" w:rsidR="008D1236" w:rsidRDefault="008D1236" w:rsidP="00582AD7">
            <w:r>
              <w:rPr>
                <w:sz w:val="19"/>
                <w:szCs w:val="19"/>
              </w:rPr>
              <w:t>163 (68.8%)</w:t>
            </w:r>
          </w:p>
        </w:tc>
      </w:tr>
      <w:tr w:rsidR="008D1236" w14:paraId="2B58D511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0247F3E5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Reference-standard endoscopy findings — total cohort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1D644932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380 (100%)</w:t>
            </w:r>
          </w:p>
        </w:tc>
      </w:tr>
      <w:tr w:rsidR="008D1236" w14:paraId="303D1B90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09F2A5C0" w14:textId="77777777" w:rsidR="008D1236" w:rsidRDefault="008D1236" w:rsidP="00582AD7">
            <w:r>
              <w:rPr>
                <w:sz w:val="19"/>
                <w:szCs w:val="19"/>
              </w:rPr>
              <w:t xml:space="preserve">   No varices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CCD6F8C" w14:textId="77777777" w:rsidR="008D1236" w:rsidRDefault="008D1236" w:rsidP="00582AD7">
            <w:r>
              <w:rPr>
                <w:sz w:val="19"/>
                <w:szCs w:val="19"/>
              </w:rPr>
              <w:t>198 (52.1%)</w:t>
            </w:r>
          </w:p>
        </w:tc>
      </w:tr>
      <w:tr w:rsidR="008D1236" w14:paraId="14A11940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35724A7" w14:textId="77777777" w:rsidR="008D1236" w:rsidRDefault="008D1236" w:rsidP="00582AD7">
            <w:r>
              <w:rPr>
                <w:sz w:val="19"/>
                <w:szCs w:val="19"/>
              </w:rPr>
              <w:t xml:space="preserve">   Low-risk varices (F1, no high-risk stigmata)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125DD21" w14:textId="77777777" w:rsidR="008D1236" w:rsidRDefault="008D1236" w:rsidP="00582AD7">
            <w:r>
              <w:rPr>
                <w:sz w:val="19"/>
                <w:szCs w:val="19"/>
              </w:rPr>
              <w:t>106 (27.9%)</w:t>
            </w:r>
          </w:p>
        </w:tc>
      </w:tr>
      <w:tr w:rsidR="008D1236" w14:paraId="72EABFB4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03527310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 xml:space="preserve">   High-risk varices (HRV) — total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0D14D2E1" w14:textId="77777777" w:rsidR="008D1236" w:rsidRDefault="008D1236" w:rsidP="00582AD7">
            <w:r>
              <w:rPr>
                <w:b/>
                <w:bCs/>
                <w:sz w:val="19"/>
                <w:szCs w:val="19"/>
              </w:rPr>
              <w:t>76 (20.0%)</w:t>
            </w:r>
          </w:p>
        </w:tc>
      </w:tr>
      <w:tr w:rsidR="008D1236" w14:paraId="6110952D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2C9558B" w14:textId="77777777" w:rsidR="008D1236" w:rsidRDefault="008D1236" w:rsidP="00582AD7">
            <w:r>
              <w:rPr>
                <w:sz w:val="19"/>
                <w:szCs w:val="19"/>
              </w:rPr>
              <w:t xml:space="preserve">      F2 oesophageal varices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0E3751C" w14:textId="77777777" w:rsidR="008D1236" w:rsidRDefault="008D1236" w:rsidP="00582AD7">
            <w:r>
              <w:rPr>
                <w:sz w:val="19"/>
                <w:szCs w:val="19"/>
              </w:rPr>
              <w:t>48 (12.6%)</w:t>
            </w:r>
          </w:p>
        </w:tc>
      </w:tr>
      <w:tr w:rsidR="008D1236" w14:paraId="6EA17AC2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5437CFAA" w14:textId="77777777" w:rsidR="008D1236" w:rsidRDefault="008D1236" w:rsidP="00582AD7">
            <w:r>
              <w:rPr>
                <w:sz w:val="19"/>
                <w:szCs w:val="19"/>
              </w:rPr>
              <w:t xml:space="preserve">      F3 oesophageal varices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7C26914F" w14:textId="77777777" w:rsidR="008D1236" w:rsidRDefault="008D1236" w:rsidP="00582AD7">
            <w:r>
              <w:rPr>
                <w:sz w:val="19"/>
                <w:szCs w:val="19"/>
              </w:rPr>
              <w:t>18 (4.7%)</w:t>
            </w:r>
          </w:p>
        </w:tc>
      </w:tr>
      <w:tr w:rsidR="008D1236" w14:paraId="15B15823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3EF5671" w14:textId="77777777" w:rsidR="008D1236" w:rsidRDefault="008D1236" w:rsidP="00582AD7">
            <w:r>
              <w:rPr>
                <w:sz w:val="19"/>
                <w:szCs w:val="19"/>
              </w:rPr>
              <w:t xml:space="preserve">      F1 oesophageal varices with high-risk stigmata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FD41187" w14:textId="77777777" w:rsidR="008D1236" w:rsidRDefault="008D1236" w:rsidP="00582AD7">
            <w:r>
              <w:rPr>
                <w:sz w:val="19"/>
                <w:szCs w:val="19"/>
              </w:rPr>
              <w:t>10 (2.6%)</w:t>
            </w:r>
          </w:p>
        </w:tc>
      </w:tr>
      <w:tr w:rsidR="008D1236" w14:paraId="76EB213C" w14:textId="77777777" w:rsidTr="00582AD7">
        <w:tc>
          <w:tcPr>
            <w:tcW w:w="5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4F8F065D" w14:textId="77777777" w:rsidR="008D1236" w:rsidRDefault="008D1236" w:rsidP="00582AD7">
            <w:r>
              <w:rPr>
                <w:sz w:val="19"/>
                <w:szCs w:val="19"/>
              </w:rPr>
              <w:t xml:space="preserve">   Concurrent gastric varices (GOV1/GOV2)</w:t>
            </w:r>
          </w:p>
        </w:tc>
        <w:tc>
          <w:tcPr>
            <w:tcW w:w="3759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bottom w:w="60" w:type="dxa"/>
            </w:tcMar>
          </w:tcPr>
          <w:p w14:paraId="3CF3FAD9" w14:textId="77777777" w:rsidR="008D1236" w:rsidRDefault="008D1236" w:rsidP="00582AD7">
            <w:r>
              <w:rPr>
                <w:sz w:val="19"/>
                <w:szCs w:val="19"/>
              </w:rPr>
              <w:t>24 (6.3%)</w:t>
            </w:r>
          </w:p>
        </w:tc>
      </w:tr>
    </w:tbl>
    <w:p w14:paraId="3566E2CC" w14:textId="77777777" w:rsidR="008D1236" w:rsidRDefault="008D1236" w:rsidP="008D1236">
      <w:pPr>
        <w:spacing w:before="70" w:after="180" w:line="480" w:lineRule="auto"/>
      </w:pPr>
      <w:r>
        <w:rPr>
          <w:i/>
          <w:iCs/>
          <w:color w:val="555555"/>
          <w:sz w:val="18"/>
          <w:szCs w:val="18"/>
        </w:rPr>
        <w:t>All aetiologies classified per the 2023 multi-society MASLD nomenclature consensus (Rinella et al., ref 21). No patients were classified as cirrhosis of undetermined aetiology. NSBB, non-selective beta-blocker; LSM, liver stiffness measurement; HRV, high-risk varices; PBC, primary biliary cholangitis; PSC, primary sclerosing cholangitis; GOV, gastro-oesophageal varices. Subgroup percentages relative to final analytic cohort (N=380); exclusion percentages relative to total screened (N=451).</w:t>
      </w:r>
    </w:p>
    <w:p w14:paraId="47178A72" w14:textId="77777777" w:rsidR="008D1236" w:rsidRDefault="008D1236" w:rsidP="008D1236">
      <w:pPr>
        <w:spacing w:after="300" w:line="480" w:lineRule="auto"/>
      </w:pPr>
    </w:p>
    <w:p w14:paraId="686A0978" w14:textId="77777777" w:rsidR="00DE6AE2" w:rsidRDefault="00DE6AE2"/>
    <w:sectPr w:rsidR="00DE6AE2" w:rsidSect="008D123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08" w:footer="708" w:gutter="0"/>
      <w:lnNumType w:countBy="1" w:distance="360" w:restart="continuous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8340" w14:textId="77777777" w:rsidR="008D1236" w:rsidRDefault="008D1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8617" w14:textId="77777777" w:rsidR="008D1236" w:rsidRDefault="008D1236">
    <w:pPr>
      <w:pBdr>
        <w:top w:val="single" w:sz="4" w:space="0" w:color="2563A8"/>
      </w:pBdr>
      <w:spacing w:before="80"/>
      <w:jc w:val="center"/>
    </w:pP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 xml:space="preserve"> PAGE </w:instrText>
    </w:r>
    <w:r>
      <w:rPr>
        <w:color w:val="666666"/>
        <w:sz w:val="18"/>
        <w:szCs w:val="18"/>
      </w:rPr>
      <w:fldChar w:fldCharType="separate"/>
    </w:r>
    <w:r>
      <w:rPr>
        <w:color w:val="666666"/>
        <w:sz w:val="18"/>
        <w:szCs w:val="18"/>
      </w:rPr>
      <w:t>24</w:t>
    </w:r>
    <w:r>
      <w:rPr>
        <w:color w:val="666666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DD2D" w14:textId="77777777" w:rsidR="008D1236" w:rsidRDefault="008D1236">
    <w:pPr>
      <w:pBdr>
        <w:top w:val="single" w:sz="4" w:space="0" w:color="2563A8"/>
      </w:pBdr>
      <w:spacing w:before="80"/>
      <w:jc w:val="center"/>
    </w:pP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 xml:space="preserve"> PAGE </w:instrText>
    </w:r>
    <w:r>
      <w:rPr>
        <w:color w:val="666666"/>
        <w:sz w:val="18"/>
        <w:szCs w:val="18"/>
      </w:rPr>
      <w:fldChar w:fldCharType="separate"/>
    </w:r>
    <w:r>
      <w:rPr>
        <w:color w:val="666666"/>
        <w:sz w:val="18"/>
        <w:szCs w:val="18"/>
      </w:rPr>
      <w:t>24</w:t>
    </w:r>
    <w:r>
      <w:rPr>
        <w:color w:val="666666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0530" w14:textId="77777777" w:rsidR="008D1236" w:rsidRDefault="008D1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7D97" w14:textId="77777777" w:rsidR="008D1236" w:rsidRDefault="008D1236">
    <w:pPr>
      <w:pBdr>
        <w:bottom w:val="single" w:sz="4" w:space="0" w:color="2563A8"/>
      </w:pBdr>
      <w:spacing w:after="80"/>
    </w:pPr>
    <w:r>
      <w:rPr>
        <w:i/>
        <w:iCs/>
        <w:color w:val="666666"/>
        <w:sz w:val="18"/>
        <w:szCs w:val="18"/>
      </w:rPr>
      <w:t>Baveno VII Endoscopy-Sparing Criteria in MASLD-Predominant Cirrhosis — Al Adan Hospital, Kuwait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B103" w14:textId="77777777" w:rsidR="008D1236" w:rsidRDefault="008D1236">
    <w:pPr>
      <w:pBdr>
        <w:bottom w:val="single" w:sz="4" w:space="0" w:color="2563A8"/>
      </w:pBdr>
      <w:spacing w:after="80"/>
    </w:pPr>
    <w:r>
      <w:rPr>
        <w:i/>
        <w:iCs/>
        <w:color w:val="666666"/>
        <w:sz w:val="18"/>
        <w:szCs w:val="18"/>
      </w:rPr>
      <w:t>Baveno VII Endoscopy-Sparing Criteria in MASLD-Predominant Cirrhosis — Al Adan Hospital, Kuwait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36"/>
    <w:rsid w:val="00195413"/>
    <w:rsid w:val="003A03A7"/>
    <w:rsid w:val="003D0186"/>
    <w:rsid w:val="007278E4"/>
    <w:rsid w:val="008D1236"/>
    <w:rsid w:val="00A3738C"/>
    <w:rsid w:val="00B91ABC"/>
    <w:rsid w:val="00BC6C35"/>
    <w:rsid w:val="00C91032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B3F2E"/>
  <w15:chartTrackingRefBased/>
  <w15:docId w15:val="{97A2045E-F785-4087-A0E4-4C0EFCA0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2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23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23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23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23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23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23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23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23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23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23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1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23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1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23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1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23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1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2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D1236"/>
  </w:style>
  <w:style w:type="character" w:customStyle="1" w:styleId="HeaderChar">
    <w:name w:val="Header Char"/>
    <w:basedOn w:val="DefaultParagraphFont"/>
    <w:link w:val="Header"/>
    <w:rsid w:val="008D123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rsid w:val="008D1236"/>
  </w:style>
  <w:style w:type="character" w:customStyle="1" w:styleId="FooterChar">
    <w:name w:val="Footer Char"/>
    <w:basedOn w:val="DefaultParagraphFont"/>
    <w:link w:val="Footer"/>
    <w:rsid w:val="008D123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D1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2028</Characters>
  <Application>Microsoft Office Word</Application>
  <DocSecurity>0</DocSecurity>
  <Lines>16</Lines>
  <Paragraphs>4</Paragraphs>
  <ScaleCrop>false</ScaleCrop>
  <Company>Springer Nature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2026-08-29T07:19:00Z</dcterms:created>
  <dcterms:modified xsi:type="dcterms:W3CDTF">2026-08-29T07:20:00Z</dcterms:modified>
</cp:coreProperties>
</file>