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spacing w:after="160"/>
        <w:jc w:val="center"/>
      </w:pPr>
      <w:r>
        <w:rPr>
          <w:rFonts w:ascii="Times New Roman" w:hAnsi="Times New Roman" w:eastAsia="Times New Roman"/>
          <w:b/>
          <w:sz w:val="28"/>
        </w:rPr>
        <w:t>Additional file 1: Supplementary Tables S1-S11</w:t>
      </w:r>
    </w:p>
    <w:p>
      <w:pPr>
        <w:keepNext/>
        <w:spacing w:after="60" w:line="240" w:lineRule="auto" w:before="160"/>
      </w:pPr>
      <w:r>
        <w:rPr>
          <w:rFonts w:ascii="Times New Roman" w:hAnsi="Times New Roman" w:eastAsia="Times New Roman"/>
          <w:b/>
          <w:sz w:val="19"/>
        </w:rPr>
        <w:t>Supplementary Table S1. Exploratory internal assessment of the fitted Firth association model</w:t>
      </w:r>
    </w:p>
    <w:tbl>
      <w:tblPr>
        <w:tblStyle w:val="TableGrid"/>
        <w:tblW w:type="auto" w:w="0"/>
        <w:tblLayout w:type="autofit"/>
        <w:tblLook w:firstColumn="1" w:firstRow="1" w:lastColumn="0" w:lastRow="0" w:noHBand="0" w:noVBand="1" w:val="04A0"/>
        <w:jc w:val="center"/>
        <w:tblBorders>
          <w:top w:val="single" w:sz="12" w:space="0" w:color="000000"/>
          <w:bottom w:val="single" w:sz="12" w:space="0" w:color="000000"/>
          <w:insideH w:val="single" w:sz="6" w:space="0" w:color="B7B7B7"/>
          <w:left w:val="nil"/>
          <w:right w:val="nil"/>
          <w:insideV w:val="nil"/>
        </w:tblBorders>
      </w:tblPr>
      <w:tblGrid>
        <w:gridCol w:w="3848"/>
        <w:gridCol w:w="3848"/>
        <w:gridCol w:w="3848"/>
        <w:gridCol w:w="3848"/>
      </w:tblGrid>
      <w:tr>
        <w:trPr>
          <w:tblHeader w:val="true"/>
          <w:tblHeader w:val="true"/>
          <w:tblHeader w:val="true"/>
          <w:cantSplit w:val="true"/>
        </w:trPr>
        <w:tc>
          <w:tcPr>
            <w:tcW w:type="dxa" w:w="3311"/>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Metric</w:t>
            </w:r>
          </w:p>
        </w:tc>
        <w:tc>
          <w:tcPr>
            <w:tcW w:type="dxa" w:w="3456"/>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Apparent performance</w:t>
            </w:r>
          </w:p>
        </w:tc>
        <w:tc>
          <w:tcPr>
            <w:tcW w:type="dxa" w:w="388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Optimism-corrected performance</w:t>
            </w:r>
          </w:p>
        </w:tc>
        <w:tc>
          <w:tcPr>
            <w:tcW w:type="dxa" w:w="316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Change after correction</w:t>
            </w:r>
          </w:p>
        </w:tc>
      </w:tr>
      <w:tr>
        <w:trPr>
          <w:cantSplit w:val="true"/>
        </w:trPr>
        <w:tc>
          <w:tcPr>
            <w:tcW w:type="dxa" w:w="3311"/>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AUC</w:t>
            </w:r>
          </w:p>
        </w:tc>
        <w:tc>
          <w:tcPr>
            <w:tcW w:type="dxa" w:w="3456"/>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0.910</w:t>
            </w:r>
          </w:p>
        </w:tc>
        <w:tc>
          <w:tcPr>
            <w:tcW w:type="dxa" w:w="388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0.844</w:t>
            </w:r>
          </w:p>
        </w:tc>
        <w:tc>
          <w:tcPr>
            <w:tcW w:type="dxa" w:w="316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−0.066</w:t>
            </w:r>
          </w:p>
        </w:tc>
      </w:tr>
      <w:tr>
        <w:trPr>
          <w:cantSplit w:val="true"/>
        </w:trPr>
        <w:tc>
          <w:tcPr>
            <w:tcW w:type="dxa" w:w="3311"/>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Brier score</w:t>
            </w:r>
          </w:p>
        </w:tc>
        <w:tc>
          <w:tcPr>
            <w:tcW w:type="dxa" w:w="3456"/>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0.125</w:t>
            </w:r>
          </w:p>
        </w:tc>
        <w:tc>
          <w:tcPr>
            <w:tcW w:type="dxa" w:w="388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0.181</w:t>
            </w:r>
          </w:p>
        </w:tc>
        <w:tc>
          <w:tcPr>
            <w:tcW w:type="dxa" w:w="316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+0.056</w:t>
            </w:r>
          </w:p>
        </w:tc>
      </w:tr>
      <w:tr>
        <w:trPr>
          <w:cantSplit w:val="true"/>
        </w:trPr>
        <w:tc>
          <w:tcPr>
            <w:tcW w:type="dxa" w:w="3311"/>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Null-model Brier score</w:t>
            </w:r>
          </w:p>
        </w:tc>
        <w:tc>
          <w:tcPr>
            <w:tcW w:type="dxa" w:w="3456"/>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0.249</w:t>
            </w:r>
          </w:p>
        </w:tc>
        <w:tc>
          <w:tcPr>
            <w:tcW w:type="dxa" w:w="388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w:t>
            </w:r>
          </w:p>
        </w:tc>
        <w:tc>
          <w:tcPr>
            <w:tcW w:type="dxa" w:w="316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w:t>
            </w:r>
          </w:p>
        </w:tc>
      </w:tr>
    </w:tbl>
    <w:p>
      <w:pPr>
        <w:spacing w:before="40" w:after="60" w:line="240" w:lineRule="auto"/>
      </w:pPr>
      <w:r>
        <w:rPr>
          <w:rFonts w:ascii="Times New Roman" w:hAnsi="Times New Roman" w:eastAsia="Times New Roman"/>
          <w:sz w:val="17"/>
        </w:rPr>
        <w:t>Notes: Exploratory internal assessment used 1,000 bootstrap resamples with random seed 20260714; all 1,000 resamples were successfully fitted. In each resample, the specified seven-predictor association model and within-resample standardization were repeated, and the AUC and Brier score were evaluated in both the bootstrap sample and the original sample to estimate optimism. Apparent values were corrected by subtracting mean AUC optimism and adding mean Brier-score optimism. For the Brier score, a lower value indicates better overall probabilistic accuracy. The null-model Brier score was calculated from the event prevalence of 25/53. These metrics are descriptive summaries of development-sample performance only and do not establish clinical discrimination, external validation, or predictive utility.</w:t>
      </w:r>
    </w:p>
    <w:p>
      <w:pPr>
        <w:spacing w:before="40" w:after="60" w:line="240" w:lineRule="auto"/>
      </w:pPr>
      <w:r>
        <w:rPr>
          <w:rFonts w:ascii="Times New Roman" w:hAnsi="Times New Roman" w:eastAsia="Times New Roman"/>
          <w:b/>
          <w:sz w:val="17"/>
        </w:rPr>
        <w:t xml:space="preserve">Abbreviations: </w:t>
      </w:r>
      <w:r>
        <w:rPr>
          <w:rFonts w:ascii="Times New Roman" w:hAnsi="Times New Roman" w:eastAsia="Times New Roman"/>
          <w:sz w:val="17"/>
        </w:rPr>
        <w:t>AUC, area under the receiver operating characteristic curve.</w:t>
      </w:r>
    </w:p>
    <w:p>
      <w:r>
        <w:br w:type="page"/>
      </w:r>
    </w:p>
    <w:p>
      <w:pPr>
        <w:keepNext/>
        <w:spacing w:after="60" w:line="240" w:lineRule="auto" w:before="160"/>
      </w:pPr>
      <w:r>
        <w:rPr>
          <w:rFonts w:ascii="Times New Roman" w:hAnsi="Times New Roman" w:eastAsia="Times New Roman"/>
          <w:b/>
          <w:sz w:val="19"/>
        </w:rPr>
        <w:t>Supplementary Table S2. Collinearity diagnostics for the specified Firth association model</w:t>
      </w:r>
    </w:p>
    <w:tbl>
      <w:tblPr>
        <w:tblStyle w:val="TableGrid"/>
        <w:tblW w:type="auto" w:w="0"/>
        <w:tblLayout w:type="autofit"/>
        <w:tblLook w:firstColumn="1" w:firstRow="1" w:lastColumn="0" w:lastRow="0" w:noHBand="0" w:noVBand="1" w:val="04A0"/>
        <w:jc w:val="center"/>
        <w:tblBorders>
          <w:top w:val="single" w:sz="12" w:space="0" w:color="000000"/>
          <w:bottom w:val="single" w:sz="12" w:space="0" w:color="000000"/>
          <w:insideH w:val="single" w:sz="6" w:space="0" w:color="B7B7B7"/>
          <w:left w:val="nil"/>
          <w:right w:val="nil"/>
          <w:insideV w:val="nil"/>
        </w:tblBorders>
      </w:tblPr>
      <w:tblGrid>
        <w:gridCol w:w="5131"/>
        <w:gridCol w:w="5131"/>
        <w:gridCol w:w="5131"/>
      </w:tblGrid>
      <w:tr>
        <w:trPr>
          <w:tblHeader w:val="true"/>
          <w:tblHeader w:val="true"/>
          <w:tblHeader w:val="true"/>
          <w:cantSplit w:val="true"/>
        </w:trPr>
        <w:tc>
          <w:tcPr>
            <w:tcW w:type="dxa" w:w="460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Predictor</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Auxiliary R²</w:t>
            </w:r>
          </w:p>
        </w:tc>
        <w:tc>
          <w:tcPr>
            <w:tcW w:type="dxa" w:w="21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VIF</w:t>
            </w:r>
          </w:p>
        </w:tc>
      </w:tr>
      <w:tr>
        <w:trPr>
          <w:cantSplit w:val="true"/>
        </w:trPr>
        <w:tc>
          <w:tcPr>
            <w:tcW w:type="dxa" w:w="4608"/>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Age</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0.231</w:t>
            </w:r>
          </w:p>
        </w:tc>
        <w:tc>
          <w:tcPr>
            <w:tcW w:type="dxa" w:w="21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1.30</w:t>
            </w:r>
          </w:p>
        </w:tc>
      </w:tr>
      <w:tr>
        <w:trPr>
          <w:cantSplit w:val="true"/>
        </w:trPr>
        <w:tc>
          <w:tcPr>
            <w:tcW w:type="dxa" w:w="4608"/>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Male sex</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0.237</w:t>
            </w:r>
          </w:p>
        </w:tc>
        <w:tc>
          <w:tcPr>
            <w:tcW w:type="dxa" w:w="21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1.31</w:t>
            </w:r>
          </w:p>
        </w:tc>
      </w:tr>
      <w:tr>
        <w:trPr>
          <w:cantSplit w:val="true"/>
        </w:trPr>
        <w:tc>
          <w:tcPr>
            <w:tcW w:type="dxa" w:w="4608"/>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Diabetes duration</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0.020</w:t>
            </w:r>
          </w:p>
        </w:tc>
        <w:tc>
          <w:tcPr>
            <w:tcW w:type="dxa" w:w="21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1.02</w:t>
            </w:r>
          </w:p>
        </w:tc>
      </w:tr>
      <w:tr>
        <w:trPr>
          <w:cantSplit w:val="true"/>
        </w:trPr>
        <w:tc>
          <w:tcPr>
            <w:tcW w:type="dxa" w:w="4608"/>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TSH</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0.071</w:t>
            </w:r>
          </w:p>
        </w:tc>
        <w:tc>
          <w:tcPr>
            <w:tcW w:type="dxa" w:w="21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1.08</w:t>
            </w:r>
          </w:p>
        </w:tc>
      </w:tr>
      <w:tr>
        <w:trPr>
          <w:cantSplit w:val="true"/>
        </w:trPr>
        <w:tc>
          <w:tcPr>
            <w:tcW w:type="dxa" w:w="4608"/>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HbA1c</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0.260</w:t>
            </w:r>
          </w:p>
        </w:tc>
        <w:tc>
          <w:tcPr>
            <w:tcW w:type="dxa" w:w="21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1.35</w:t>
            </w:r>
          </w:p>
        </w:tc>
      </w:tr>
      <w:tr>
        <w:trPr>
          <w:cantSplit w:val="true"/>
        </w:trPr>
        <w:tc>
          <w:tcPr>
            <w:tcW w:type="dxa" w:w="4608"/>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PBMC TBX21/GATA3 mRNA ratio</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0.138</w:t>
            </w:r>
          </w:p>
        </w:tc>
        <w:tc>
          <w:tcPr>
            <w:tcW w:type="dxa" w:w="21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1.16</w:t>
            </w:r>
          </w:p>
        </w:tc>
      </w:tr>
      <w:tr>
        <w:trPr>
          <w:cantSplit w:val="true"/>
        </w:trPr>
        <w:tc>
          <w:tcPr>
            <w:tcW w:type="dxa" w:w="4608"/>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sz w:val="17"/>
              </w:rPr>
              <w:t>PBMC RORC2/FOXP3 mRNA ratio</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0.145</w:t>
            </w:r>
          </w:p>
        </w:tc>
        <w:tc>
          <w:tcPr>
            <w:tcW w:type="dxa" w:w="21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1.17</w:t>
            </w:r>
          </w:p>
        </w:tc>
      </w:tr>
    </w:tbl>
    <w:p>
      <w:pPr>
        <w:spacing w:before="40" w:after="60" w:line="240" w:lineRule="auto"/>
      </w:pPr>
      <w:r>
        <w:rPr>
          <w:rFonts w:ascii="Times New Roman" w:hAnsi="Times New Roman" w:eastAsia="Times New Roman"/>
          <w:sz w:val="17"/>
        </w:rPr>
        <w:t>Notes: VIF was calculated as 1/(1 − auxiliary R²) from the seven-predictor design matrix used in the reanalysis. All VIF values were below 1.36, indicating no substantial multicollinearity.</w:t>
      </w:r>
    </w:p>
    <w:p>
      <w:pPr>
        <w:spacing w:before="40" w:after="60" w:line="240" w:lineRule="auto"/>
      </w:pPr>
      <w:r>
        <w:rPr>
          <w:rFonts w:ascii="Times New Roman" w:hAnsi="Times New Roman" w:eastAsia="Times New Roman"/>
          <w:b/>
          <w:sz w:val="17"/>
        </w:rPr>
        <w:t xml:space="preserve">Abbreviations: </w:t>
      </w:r>
      <w:r>
        <w:rPr>
          <w:rFonts w:ascii="Times New Roman" w:hAnsi="Times New Roman" w:eastAsia="Times New Roman"/>
          <w:sz w:val="17"/>
        </w:rPr>
        <w:t>HbA1c, glycated hemoglobin; TSH, thyroid-stimulating hormone; VIF, variance inflation factor.</w:t>
      </w:r>
    </w:p>
    <w:p>
      <w:r>
        <w:br w:type="page"/>
      </w:r>
    </w:p>
    <w:p>
      <w:pPr>
        <w:keepNext/>
        <w:spacing w:after="60" w:line="240" w:lineRule="auto" w:before="160"/>
      </w:pPr>
      <w:r>
        <w:rPr>
          <w:rFonts w:ascii="Times New Roman" w:hAnsi="Times New Roman" w:eastAsia="Times New Roman"/>
          <w:b/>
          <w:sz w:val="19"/>
        </w:rPr>
        <w:t>Supplementary Table S3. Benjamini–Hochberg false discovery rate adjustment for Table 2</w:t>
      </w:r>
    </w:p>
    <w:tbl>
      <w:tblPr>
        <w:tblStyle w:val="TableGrid"/>
        <w:tblW w:type="auto" w:w="0"/>
        <w:tblLayout w:type="autofit"/>
        <w:tblLook w:firstColumn="1" w:firstRow="1" w:lastColumn="0" w:lastRow="0" w:noHBand="0" w:noVBand="1" w:val="04A0"/>
        <w:jc w:val="center"/>
        <w:tblBorders>
          <w:top w:val="single" w:sz="12" w:space="0" w:color="000000"/>
          <w:bottom w:val="single" w:sz="12" w:space="0" w:color="000000"/>
          <w:insideH w:val="single" w:sz="6" w:space="0" w:color="B7B7B7"/>
          <w:left w:val="nil"/>
          <w:right w:val="nil"/>
          <w:insideV w:val="nil"/>
        </w:tblBorders>
      </w:tblPr>
      <w:tblGrid>
        <w:gridCol w:w="5131"/>
        <w:gridCol w:w="5131"/>
        <w:gridCol w:w="5131"/>
      </w:tblGrid>
      <w:tr>
        <w:trPr>
          <w:tblHeader w:val="true"/>
          <w:tblHeader w:val="true"/>
          <w:tblHeader w:val="true"/>
          <w:cantSplit w:val="true"/>
        </w:trPr>
        <w:tc>
          <w:tcPr>
            <w:tcW w:type="dxa" w:w="64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Variable</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Raw P value</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BH-FDR q value</w:t>
            </w:r>
          </w:p>
        </w:tc>
      </w:tr>
      <w:tr>
        <w:trPr>
          <w:cantSplit w:val="true"/>
        </w:trPr>
        <w:tc>
          <w:tcPr>
            <w:tcW w:type="dxa" w:w="648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Th17 cells</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2.754e-08</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7.344e-08</w:t>
            </w:r>
          </w:p>
        </w:tc>
      </w:tr>
      <w:tr>
        <w:trPr>
          <w:cantSplit w:val="true"/>
        </w:trPr>
        <w:tc>
          <w:tcPr>
            <w:tcW w:type="dxa" w:w="648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Phenotypically defined regulatory T cells (CD4+CD25highCD127low/−FOXP3+)</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2.789e-07</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4.463e-07</w:t>
            </w:r>
          </w:p>
        </w:tc>
      </w:tr>
      <w:tr>
        <w:trPr>
          <w:cantSplit w:val="true"/>
        </w:trPr>
        <w:tc>
          <w:tcPr>
            <w:tcW w:type="dxa" w:w="648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Th1 cells</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0.245</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0.245</w:t>
            </w:r>
          </w:p>
        </w:tc>
      </w:tr>
      <w:tr>
        <w:trPr>
          <w:cantSplit w:val="true"/>
        </w:trPr>
        <w:tc>
          <w:tcPr>
            <w:tcW w:type="dxa" w:w="648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Th2 cells</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4.326e-08</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8.652e-08</w:t>
            </w:r>
          </w:p>
        </w:tc>
      </w:tr>
      <w:tr>
        <w:trPr>
          <w:cantSplit w:val="true"/>
        </w:trPr>
        <w:tc>
          <w:tcPr>
            <w:tcW w:type="dxa" w:w="648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sz w:val="17"/>
              </w:rPr>
              <w:t>PBMC RORC2 (RORγt) mRNA relative expression</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1.002e-12</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8.016e-12</w:t>
            </w:r>
          </w:p>
        </w:tc>
      </w:tr>
      <w:tr>
        <w:trPr>
          <w:cantSplit w:val="true"/>
        </w:trPr>
        <w:tc>
          <w:tcPr>
            <w:tcW w:type="dxa" w:w="648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PBMC TBX21 mRNA relative expression</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1.331e-08</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5.323e-08</w:t>
            </w:r>
          </w:p>
        </w:tc>
      </w:tr>
      <w:tr>
        <w:trPr>
          <w:cantSplit w:val="true"/>
        </w:trPr>
        <w:tc>
          <w:tcPr>
            <w:tcW w:type="dxa" w:w="648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PBMC GATA3 mRNA relative expression</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1.740e-06</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2.319e-06</w:t>
            </w:r>
          </w:p>
        </w:tc>
      </w:tr>
      <w:tr>
        <w:trPr>
          <w:cantSplit w:val="true"/>
        </w:trPr>
        <w:tc>
          <w:tcPr>
            <w:tcW w:type="dxa" w:w="648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PBMC FOXP3 mRNA relative expression</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4.428e-06</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5.061e-06</w:t>
            </w:r>
          </w:p>
        </w:tc>
      </w:tr>
    </w:tbl>
    <w:p>
      <w:pPr>
        <w:spacing w:before="40" w:after="60" w:line="240" w:lineRule="auto"/>
      </w:pPr>
      <w:r>
        <w:rPr>
          <w:rFonts w:ascii="Times New Roman" w:hAnsi="Times New Roman" w:eastAsia="Times New Roman"/>
          <w:b w:val="0"/>
          <w:sz w:val="17"/>
        </w:rPr>
        <w:t>Notes: The eight tests in Table 2 were treated as one defined exploratory family. Transcription-factor mRNA expression was measured in total RNA extracted from unsorted PBMCs. Raw P values were recalculated from the participant-level data using asymptotic two-sided Mann–Whitney U tests with continuity correction, and q values were calculated from the full-precision P values.</w:t>
      </w:r>
    </w:p>
    <w:p>
      <w:pPr>
        <w:spacing w:before="40" w:after="60" w:line="240" w:lineRule="auto"/>
      </w:pPr>
      <w:r>
        <w:rPr>
          <w:rFonts w:ascii="Times New Roman" w:hAnsi="Times New Roman" w:eastAsia="Times New Roman"/>
          <w:b/>
          <w:sz w:val="17"/>
        </w:rPr>
        <w:t xml:space="preserve">Abbreviations: </w:t>
      </w:r>
      <w:r>
        <w:rPr>
          <w:rFonts w:ascii="Times New Roman" w:hAnsi="Times New Roman" w:eastAsia="Times New Roman"/>
          <w:sz w:val="17"/>
        </w:rPr>
        <w:t>BH-FDR, Benjamini–Hochberg false discovery rate.</w:t>
      </w:r>
    </w:p>
    <w:p>
      <w:r>
        <w:br w:type="page"/>
      </w:r>
    </w:p>
    <w:p>
      <w:pPr>
        <w:keepNext/>
        <w:spacing w:after="60" w:line="240" w:lineRule="auto" w:before="160"/>
      </w:pPr>
      <w:r>
        <w:rPr>
          <w:rFonts w:ascii="Times New Roman" w:hAnsi="Times New Roman" w:eastAsia="Times New Roman"/>
          <w:b/>
          <w:sz w:val="19"/>
        </w:rPr>
        <w:t>Supplementary Table S4. Benjamini–Hochberg false discovery rate adjustment for Table 3</w:t>
      </w:r>
    </w:p>
    <w:tbl>
      <w:tblPr>
        <w:tblStyle w:val="TableGrid"/>
        <w:tblW w:type="auto" w:w="0"/>
        <w:tblLayout w:type="autofit"/>
        <w:tblLook w:firstColumn="1" w:firstRow="1" w:lastColumn="0" w:lastRow="0" w:noHBand="0" w:noVBand="1" w:val="04A0"/>
        <w:jc w:val="center"/>
        <w:tblBorders>
          <w:top w:val="single" w:sz="12" w:space="0" w:color="000000"/>
          <w:bottom w:val="single" w:sz="12" w:space="0" w:color="000000"/>
          <w:insideH w:val="single" w:sz="6" w:space="0" w:color="B7B7B7"/>
          <w:left w:val="nil"/>
          <w:right w:val="nil"/>
          <w:insideV w:val="nil"/>
        </w:tblBorders>
      </w:tblPr>
      <w:tblGrid>
        <w:gridCol w:w="5131"/>
        <w:gridCol w:w="5131"/>
        <w:gridCol w:w="5131"/>
      </w:tblGrid>
      <w:tr>
        <w:trPr>
          <w:tblHeader w:val="true"/>
          <w:tblHeader w:val="true"/>
          <w:tblHeader w:val="true"/>
          <w:cantSplit w:val="true"/>
        </w:trPr>
        <w:tc>
          <w:tcPr>
            <w:tcW w:type="dxa" w:w="57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Outcome</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Raw P value</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BH-FDR q value</w:t>
            </w:r>
          </w:p>
        </w:tc>
      </w:tr>
      <w:tr>
        <w:trPr>
          <w:cantSplit w:val="true"/>
        </w:trPr>
        <w:tc>
          <w:tcPr>
            <w:tcW w:type="dxa" w:w="576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TPOAb positivity</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0.016</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0.039</w:t>
            </w:r>
          </w:p>
        </w:tc>
      </w:tr>
      <w:tr>
        <w:trPr>
          <w:cantSplit w:val="true"/>
        </w:trPr>
        <w:tc>
          <w:tcPr>
            <w:tcW w:type="dxa" w:w="576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TGAb positivity</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0.057</w:t>
            </w:r>
          </w:p>
        </w:tc>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0.057</w:t>
            </w:r>
          </w:p>
        </w:tc>
      </w:tr>
      <w:tr>
        <w:trPr>
          <w:cantSplit w:val="true"/>
        </w:trPr>
        <w:tc>
          <w:tcPr>
            <w:tcW w:type="dxa" w:w="5131"/>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TPOAb and/or TGAb positivity</w:t>
            </w:r>
          </w:p>
        </w:tc>
        <w:tc>
          <w:tcPr>
            <w:tcW w:type="dxa" w:w="5131"/>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0.026</w:t>
            </w:r>
          </w:p>
        </w:tc>
        <w:tc>
          <w:tcPr>
            <w:tcW w:type="dxa" w:w="5131"/>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0.039</w:t>
            </w:r>
          </w:p>
        </w:tc>
      </w:tr>
    </w:tbl>
    <w:p>
      <w:pPr>
        <w:spacing w:before="40" w:after="60" w:line="240" w:lineRule="auto"/>
      </w:pPr>
      <w:r>
        <w:rPr>
          <w:rFonts w:ascii="Times New Roman" w:hAnsi="Times New Roman" w:eastAsia="Times New Roman"/>
          <w:b w:val="0"/>
          <w:sz w:val="17"/>
        </w:rPr>
        <w:t>Notes: The three antibody-positivity comparisons in Table 3 were treated as one defined exploratory family. Raw P values were recalculated using Pearson chi-square tests without continuity correction.</w:t>
      </w:r>
    </w:p>
    <w:p>
      <w:pPr>
        <w:spacing w:before="40" w:after="60" w:line="240" w:lineRule="auto"/>
      </w:pPr>
      <w:r>
        <w:rPr>
          <w:rFonts w:ascii="Times New Roman" w:hAnsi="Times New Roman" w:eastAsia="Times New Roman"/>
          <w:b/>
          <w:sz w:val="17"/>
        </w:rPr>
        <w:t xml:space="preserve">Abbreviations: </w:t>
      </w:r>
      <w:r>
        <w:rPr>
          <w:rFonts w:ascii="Times New Roman" w:hAnsi="Times New Roman" w:eastAsia="Times New Roman"/>
          <w:sz w:val="17"/>
        </w:rPr>
        <w:t>BH-FDR, Benjamini–Hochberg false discovery rate; TGAb, thyroglobulin antibody; TPOAb, thyroid peroxidase antibody.</w:t>
      </w:r>
    </w:p>
    <w:p>
      <w:r>
        <w:br w:type="page"/>
      </w:r>
    </w:p>
    <w:p>
      <w:pPr>
        <w:keepNext/>
        <w:spacing w:after="60" w:line="240" w:lineRule="auto" w:before="160"/>
      </w:pPr>
      <w:r>
        <w:rPr>
          <w:rFonts w:ascii="Times New Roman" w:hAnsi="Times New Roman" w:eastAsia="Times New Roman"/>
          <w:b/>
          <w:sz w:val="19"/>
        </w:rPr>
        <w:t>Supplementary Table S5. Benjamini–Hochberg false discovery rate adjustment for Table 5</w:t>
      </w:r>
    </w:p>
    <w:tbl>
      <w:tblPr>
        <w:tblStyle w:val="TableGrid"/>
        <w:tblW w:type="auto" w:w="0"/>
        <w:tblLayout w:type="autofit"/>
        <w:tblLook w:firstColumn="1" w:firstRow="1" w:lastColumn="0" w:lastRow="0" w:noHBand="0" w:noVBand="1" w:val="04A0"/>
        <w:jc w:val="center"/>
        <w:tblBorders>
          <w:top w:val="single" w:sz="12" w:space="0" w:color="000000"/>
          <w:bottom w:val="single" w:sz="12" w:space="0" w:color="000000"/>
          <w:insideH w:val="single" w:sz="6" w:space="0" w:color="B7B7B7"/>
          <w:left w:val="nil"/>
          <w:right w:val="nil"/>
          <w:insideV w:val="nil"/>
        </w:tblBorders>
      </w:tblPr>
      <w:tblGrid>
        <w:gridCol w:w="3848"/>
        <w:gridCol w:w="3848"/>
        <w:gridCol w:w="3848"/>
        <w:gridCol w:w="3848"/>
      </w:tblGrid>
      <w:tr>
        <w:trPr>
          <w:tblHeader w:val="true"/>
          <w:tblHeader w:val="true"/>
          <w:tblHeader w:val="true"/>
          <w:cantSplit w:val="true"/>
        </w:trPr>
        <w:tc>
          <w:tcPr>
            <w:tcW w:type="dxa" w:w="288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Outcome</w:t>
            </w:r>
          </w:p>
        </w:tc>
        <w:tc>
          <w:tcPr>
            <w:tcW w:type="dxa" w:w="432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Primary predictor</w:t>
            </w:r>
          </w:p>
        </w:tc>
        <w:tc>
          <w:tcPr>
            <w:tcW w:type="dxa" w:w="2304"/>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Raw P value</w:t>
            </w:r>
          </w:p>
        </w:tc>
        <w:tc>
          <w:tcPr>
            <w:tcW w:type="dxa" w:w="2592"/>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BH-FDR q value</w:t>
            </w:r>
          </w:p>
        </w:tc>
      </w:tr>
      <w:tr>
        <w:trPr>
          <w:cantSplit w:val="true"/>
        </w:trPr>
        <w:tc>
          <w:tcPr>
            <w:tcW w:type="dxa" w:w="288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ln(TPOAb)</w:t>
            </w:r>
          </w:p>
        </w:tc>
        <w:tc>
          <w:tcPr>
            <w:tcW w:type="dxa" w:w="432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PBMC TBX21/GATA3 mRNA ratio</w:t>
            </w:r>
          </w:p>
        </w:tc>
        <w:tc>
          <w:tcPr>
            <w:tcW w:type="dxa" w:w="2304"/>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3.797e-05</w:t>
            </w:r>
          </w:p>
        </w:tc>
        <w:tc>
          <w:tcPr>
            <w:tcW w:type="dxa" w:w="2592"/>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1.519e-04</w:t>
            </w:r>
          </w:p>
        </w:tc>
      </w:tr>
      <w:tr>
        <w:trPr>
          <w:cantSplit w:val="true"/>
        </w:trPr>
        <w:tc>
          <w:tcPr>
            <w:tcW w:type="dxa" w:w="288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ln(TPOAb)</w:t>
            </w:r>
          </w:p>
        </w:tc>
        <w:tc>
          <w:tcPr>
            <w:tcW w:type="dxa" w:w="432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PBMC RORC2/FOXP3 mRNA ratio</w:t>
            </w:r>
          </w:p>
        </w:tc>
        <w:tc>
          <w:tcPr>
            <w:tcW w:type="dxa" w:w="2304"/>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6.825e-04</w:t>
            </w:r>
          </w:p>
        </w:tc>
        <w:tc>
          <w:tcPr>
            <w:tcW w:type="dxa" w:w="2592"/>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6.825e-04</w:t>
            </w:r>
          </w:p>
        </w:tc>
      </w:tr>
      <w:tr>
        <w:trPr>
          <w:cantSplit w:val="true"/>
        </w:trPr>
        <w:tc>
          <w:tcPr>
            <w:tcW w:type="dxa" w:w="288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ln(TGAb)</w:t>
            </w:r>
          </w:p>
        </w:tc>
        <w:tc>
          <w:tcPr>
            <w:tcW w:type="dxa" w:w="432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PBMC TBX21/GATA3 mRNA ratio</w:t>
            </w:r>
          </w:p>
        </w:tc>
        <w:tc>
          <w:tcPr>
            <w:tcW w:type="dxa" w:w="2304"/>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1.280e-04</w:t>
            </w:r>
          </w:p>
        </w:tc>
        <w:tc>
          <w:tcPr>
            <w:tcW w:type="dxa" w:w="2592"/>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1.707e-04</w:t>
            </w:r>
          </w:p>
        </w:tc>
      </w:tr>
      <w:tr>
        <w:trPr>
          <w:cantSplit w:val="true"/>
        </w:trPr>
        <w:tc>
          <w:tcPr>
            <w:tcW w:type="dxa" w:w="288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val="0"/>
                <w:sz w:val="17"/>
              </w:rPr>
              <w:t>ln(TGAb)</w:t>
            </w:r>
          </w:p>
        </w:tc>
        <w:tc>
          <w:tcPr>
            <w:tcW w:type="dxa" w:w="432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PBMC RORC2/FOXP3 mRNA ratio</w:t>
            </w:r>
          </w:p>
        </w:tc>
        <w:tc>
          <w:tcPr>
            <w:tcW w:type="dxa" w:w="2304"/>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1.067e-04</w:t>
            </w:r>
          </w:p>
        </w:tc>
        <w:tc>
          <w:tcPr>
            <w:tcW w:type="dxa" w:w="2592"/>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val="0"/>
                <w:sz w:val="17"/>
              </w:rPr>
              <w:t>1.707e-04</w:t>
            </w:r>
          </w:p>
        </w:tc>
      </w:tr>
    </w:tbl>
    <w:p>
      <w:pPr>
        <w:spacing w:before="40" w:after="60" w:line="240" w:lineRule="auto"/>
      </w:pPr>
      <w:r>
        <w:rPr>
          <w:rFonts w:ascii="Times New Roman" w:hAnsi="Times New Roman" w:eastAsia="Times New Roman"/>
          <w:b w:val="0"/>
          <w:sz w:val="17"/>
        </w:rPr>
        <w:t>Notes: The four primary PBMC-derived ratio coefficients in Table 5 were treated as one defined exploratory family. Both raw P values and q values were calculated from the full-precision linear-regression output.</w:t>
      </w:r>
    </w:p>
    <w:p>
      <w:pPr>
        <w:spacing w:before="40" w:after="60" w:line="240" w:lineRule="auto"/>
      </w:pPr>
      <w:r>
        <w:rPr>
          <w:rFonts w:ascii="Times New Roman" w:hAnsi="Times New Roman" w:eastAsia="Times New Roman"/>
          <w:b/>
          <w:sz w:val="17"/>
        </w:rPr>
        <w:t xml:space="preserve">Abbreviations: </w:t>
      </w:r>
      <w:r>
        <w:rPr>
          <w:rFonts w:ascii="Times New Roman" w:hAnsi="Times New Roman" w:eastAsia="Times New Roman"/>
          <w:sz w:val="17"/>
        </w:rPr>
        <w:t>BH-FDR, Benjamini–Hochberg false discovery rate; TGAb, thyroglobulin antibody; TPOAb, thyroid peroxidase antibody.</w:t>
      </w:r>
    </w:p>
    <w:p>
      <w:r>
        <w:br w:type="page"/>
      </w:r>
    </w:p>
    <w:p>
      <w:pPr>
        <w:keepNext/>
        <w:spacing w:line="240" w:lineRule="auto" w:before="160" w:after="60"/>
      </w:pPr>
      <w:r>
        <w:rPr>
          <w:rFonts w:ascii="Times New Roman" w:hAnsi="Times New Roman" w:eastAsia="Times New Roman"/>
          <w:b/>
          <w:sz w:val="19"/>
        </w:rPr>
        <w:t>Supplementary Table S6. Characteristics of participants with T1DM according to thyroid autoantibody status</w:t>
      </w:r>
    </w:p>
    <w:tbl>
      <w:tblPr>
        <w:tblStyle w:val="TableGrid"/>
        <w:tblW w:type="auto" w:w="0"/>
        <w:tblLayout w:type="autofit"/>
        <w:tblLook w:firstColumn="1" w:firstRow="1" w:lastColumn="0" w:lastRow="0" w:noHBand="0" w:noVBand="1" w:val="04A0"/>
        <w:jc w:val="center"/>
        <w:tblBorders>
          <w:top w:val="single" w:sz="12" w:space="0" w:color="000000"/>
          <w:bottom w:val="single" w:sz="12" w:space="0" w:color="000000"/>
          <w:insideH w:val="single" w:sz="6" w:space="0" w:color="B7B7B7"/>
          <w:left w:val="nil"/>
          <w:right w:val="nil"/>
          <w:insideV w:val="nil"/>
        </w:tblBorders>
      </w:tblPr>
      <w:tblGrid>
        <w:gridCol w:w="3848"/>
        <w:gridCol w:w="3848"/>
        <w:gridCol w:w="3848"/>
        <w:gridCol w:w="3848"/>
      </w:tblGrid>
      <w:tr>
        <w:trPr>
          <w:tblHeader w:val="true"/>
          <w:tblHeader w:val="true"/>
          <w:cantSplit w:val="true"/>
        </w:trPr>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Variable</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Antibody-negative</w:t>
              <w:br/>
              <w:t>(n = 28)</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Antibody-positive</w:t>
              <w:br/>
              <w:t>(n = 25)</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P value</w:t>
            </w:r>
          </w:p>
        </w:tc>
      </w:tr>
      <w:tr>
        <w:trPr>
          <w:cantSplit w:val="true"/>
        </w:trPr>
        <w:tc>
          <w:tcPr>
            <w:tcW w:type="dxa" w:w="3848"/>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sz w:val="17"/>
              </w:rPr>
              <w:t>Age, years</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34.5 ± 7.8</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35.4 ± 8.4</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0.688</w:t>
            </w:r>
          </w:p>
        </w:tc>
      </w:tr>
      <w:tr>
        <w:trPr>
          <w:cantSplit w:val="true"/>
        </w:trPr>
        <w:tc>
          <w:tcPr>
            <w:tcW w:type="dxa" w:w="3848"/>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sz w:val="17"/>
              </w:rPr>
              <w:t>Male sex, n (%)</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14 (50.0)</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13 (52.0)</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0.884</w:t>
            </w:r>
          </w:p>
        </w:tc>
      </w:tr>
      <w:tr>
        <w:trPr>
          <w:cantSplit w:val="true"/>
        </w:trPr>
        <w:tc>
          <w:tcPr>
            <w:tcW w:type="dxa" w:w="3848"/>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sz w:val="17"/>
              </w:rPr>
              <w:t>Diabetes duration, years</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5.8 (2.5, 11.2)</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6.2 (2.0, 9.0)</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0.964</w:t>
            </w:r>
          </w:p>
        </w:tc>
      </w:tr>
      <w:tr>
        <w:trPr>
          <w:cantSplit w:val="true"/>
        </w:trPr>
        <w:tc>
          <w:tcPr>
            <w:tcW w:type="dxa" w:w="3848"/>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sz w:val="17"/>
              </w:rPr>
              <w:t>TSH, mIU/L</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2.04 (0.89, 3.56)</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2.53 (1.56, 4.00)</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0.605</w:t>
            </w:r>
          </w:p>
        </w:tc>
      </w:tr>
      <w:tr>
        <w:trPr>
          <w:cantSplit w:val="true"/>
        </w:trPr>
        <w:tc>
          <w:tcPr>
            <w:tcW w:type="dxa" w:w="3848"/>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sz w:val="17"/>
              </w:rPr>
              <w:t>HbA1c, %</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8.86 (8.30, 9.38)</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8.94 (8.10, 9.60)</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0.662</w:t>
            </w:r>
          </w:p>
        </w:tc>
      </w:tr>
      <w:tr>
        <w:trPr>
          <w:cantSplit w:val="true"/>
        </w:trPr>
        <w:tc>
          <w:tcPr>
            <w:tcW w:type="dxa" w:w="3848"/>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sz w:val="17"/>
              </w:rPr>
              <w:t>PBMC TBX21/GATA3 mRNA ratio</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1.95 (1.34, 2.56)</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2.94 (2.27, 5.60)</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0.001</w:t>
            </w:r>
          </w:p>
        </w:tc>
      </w:tr>
      <w:tr>
        <w:trPr>
          <w:cantSplit w:val="true"/>
        </w:trPr>
        <w:tc>
          <w:tcPr>
            <w:tcW w:type="dxa" w:w="3848"/>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sz w:val="17"/>
              </w:rPr>
              <w:t>PBMC RORC2/FOXP3 mRNA ratio</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2.28 (1.61, 3.03)</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4.23 (3.42, 5.07)</w:t>
            </w:r>
          </w:p>
        </w:tc>
        <w:tc>
          <w:tcPr>
            <w:tcW w:type="dxa" w:w="384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0.0002</w:t>
            </w:r>
          </w:p>
        </w:tc>
      </w:tr>
    </w:tbl>
    <w:p>
      <w:pPr>
        <w:spacing w:line="240" w:lineRule="auto" w:before="40" w:after="60"/>
      </w:pPr>
      <w:r>
        <w:rPr>
          <w:rFonts w:ascii="Times New Roman" w:hAnsi="Times New Roman" w:eastAsia="Times New Roman"/>
          <w:b w:val="0"/>
          <w:sz w:val="17"/>
        </w:rPr>
        <w:t>Notes: Antibody-positive status was defined as positivity for TPOAb and/or TGAb. Age was compared using Welch’s t test; sex was compared using the Pearson chi-square test without continuity correction; other variables were compared using asymptotic two-sided Mann–Whitney U tests with continuity correction. These unadjusted comparisons are descriptive.</w:t>
      </w:r>
    </w:p>
    <w:p>
      <w:pPr>
        <w:spacing w:line="240" w:lineRule="auto" w:before="40" w:after="60"/>
      </w:pPr>
      <w:r>
        <w:rPr>
          <w:rFonts w:ascii="Times New Roman" w:hAnsi="Times New Roman" w:eastAsia="Times New Roman"/>
          <w:sz w:val="17"/>
        </w:rPr>
        <w:t>Abbreviations: HbA1c, glycated hemoglobin; TGAb, thyroglobulin antibody; TPOAb, thyroid peroxidase antibody; TSH, thyroid-stimulating hormone.</w:t>
      </w:r>
    </w:p>
    <w:p>
      <w:pPr>
        <w:keepNext/>
        <w:spacing w:line="240" w:lineRule="auto" w:before="160" w:after="60"/>
      </w:pPr>
      <w:r>
        <w:rPr>
          <w:rFonts w:ascii="Times New Roman" w:hAnsi="Times New Roman" w:eastAsia="Times New Roman"/>
          <w:b/>
          <w:sz w:val="19"/>
        </w:rPr>
        <w:t>Supplementary Table S7. Sensitivity analysis using natural-log immune-axis ratios in the Firth model</w:t>
      </w:r>
    </w:p>
    <w:tbl>
      <w:tblPr>
        <w:tblStyle w:val="TableGrid"/>
        <w:tblW w:type="auto" w:w="0"/>
        <w:tblLayout w:type="autofit"/>
        <w:tblLook w:firstColumn="1" w:firstRow="1" w:lastColumn="0" w:lastRow="0" w:noHBand="0" w:noVBand="1" w:val="04A0"/>
        <w:jc w:val="center"/>
        <w:tblBorders>
          <w:top w:val="single" w:sz="12" w:space="0" w:color="000000"/>
          <w:bottom w:val="single" w:sz="12" w:space="0" w:color="000000"/>
          <w:insideH w:val="single" w:sz="6" w:space="0" w:color="B7B7B7"/>
          <w:left w:val="nil"/>
          <w:right w:val="nil"/>
          <w:insideV w:val="nil"/>
        </w:tblBorders>
      </w:tblPr>
      <w:tblGrid>
        <w:gridCol w:w="2566"/>
        <w:gridCol w:w="2566"/>
        <w:gridCol w:w="2566"/>
        <w:gridCol w:w="2566"/>
        <w:gridCol w:w="2566"/>
        <w:gridCol w:w="2566"/>
      </w:tblGrid>
      <w:tr>
        <w:trPr>
          <w:tblHeader w:val="true"/>
          <w:tblHeader w:val="true"/>
          <w:cantSplit w:val="true"/>
        </w:trPr>
        <w:tc>
          <w:tcPr>
            <w:tcW w:type="dxa" w:w="2566"/>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Predictor</w:t>
            </w:r>
          </w:p>
        </w:tc>
        <w:tc>
          <w:tcPr>
            <w:tcW w:type="dxa" w:w="2566"/>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Coefficient (β)</w:t>
            </w:r>
          </w:p>
        </w:tc>
        <w:tc>
          <w:tcPr>
            <w:tcW w:type="dxa" w:w="2566"/>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SE</w:t>
            </w:r>
          </w:p>
        </w:tc>
        <w:tc>
          <w:tcPr>
            <w:tcW w:type="dxa" w:w="2566"/>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OR</w:t>
            </w:r>
          </w:p>
        </w:tc>
        <w:tc>
          <w:tcPr>
            <w:tcW w:type="dxa" w:w="2566"/>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95% profile CI</w:t>
            </w:r>
          </w:p>
        </w:tc>
        <w:tc>
          <w:tcPr>
            <w:tcW w:type="dxa" w:w="2566"/>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P value</w:t>
            </w:r>
          </w:p>
        </w:tc>
      </w:tr>
      <w:tr>
        <w:trPr>
          <w:cantSplit w:val="true"/>
        </w:trPr>
        <w:tc>
          <w:tcPr>
            <w:tcW w:type="dxa" w:w="2566"/>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sz w:val="17"/>
              </w:rPr>
              <w:t>ln[PBMC TBX21/GATA3 mRNA ratio]</w:t>
            </w:r>
          </w:p>
        </w:tc>
        <w:tc>
          <w:tcPr>
            <w:tcW w:type="dxa" w:w="2566"/>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1.138</w:t>
            </w:r>
          </w:p>
        </w:tc>
        <w:tc>
          <w:tcPr>
            <w:tcW w:type="dxa" w:w="2566"/>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0.445</w:t>
            </w:r>
          </w:p>
        </w:tc>
        <w:tc>
          <w:tcPr>
            <w:tcW w:type="dxa" w:w="2566"/>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3.12</w:t>
            </w:r>
          </w:p>
        </w:tc>
        <w:tc>
          <w:tcPr>
            <w:tcW w:type="dxa" w:w="2566"/>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1.46–9.04</w:t>
            </w:r>
          </w:p>
        </w:tc>
        <w:tc>
          <w:tcPr>
            <w:tcW w:type="dxa" w:w="2566"/>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0.002</w:t>
            </w:r>
          </w:p>
        </w:tc>
      </w:tr>
      <w:tr>
        <w:trPr>
          <w:cantSplit w:val="true"/>
        </w:trPr>
        <w:tc>
          <w:tcPr>
            <w:tcW w:type="dxa" w:w="2566"/>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sz w:val="17"/>
              </w:rPr>
              <w:t>ln[PBMC RORC2/FOXP3 mRNA ratio]</w:t>
            </w:r>
          </w:p>
        </w:tc>
        <w:tc>
          <w:tcPr>
            <w:tcW w:type="dxa" w:w="2566"/>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1.372</w:t>
            </w:r>
          </w:p>
        </w:tc>
        <w:tc>
          <w:tcPr>
            <w:tcW w:type="dxa" w:w="2566"/>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0.473</w:t>
            </w:r>
          </w:p>
        </w:tc>
        <w:tc>
          <w:tcPr>
            <w:tcW w:type="dxa" w:w="2566"/>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3.94</w:t>
            </w:r>
          </w:p>
        </w:tc>
        <w:tc>
          <w:tcPr>
            <w:tcW w:type="dxa" w:w="2566"/>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1.76–11.93</w:t>
            </w:r>
          </w:p>
        </w:tc>
        <w:tc>
          <w:tcPr>
            <w:tcW w:type="dxa" w:w="2566"/>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0.0003</w:t>
            </w:r>
          </w:p>
        </w:tc>
      </w:tr>
    </w:tbl>
    <w:p>
      <w:pPr>
        <w:spacing w:line="240" w:lineRule="auto" w:before="40" w:after="60"/>
      </w:pPr>
      <w:r>
        <w:rPr>
          <w:rFonts w:ascii="Times New Roman" w:hAnsi="Times New Roman" w:eastAsia="Times New Roman"/>
          <w:sz w:val="17"/>
        </w:rPr>
        <w:t>Notes: The sensitivity model replaced the two raw PBMC-derived mRNA-expression ratios with their natural logarithms, standardized each log-ratio within the T1DM cohort, and retained the same adjustment variables: age, sex, diabetes duration, TSH, and HbA1c. The verified raw 1-SD values were 0.69 for ln[PBMC TBX21/GATA3 mRNA ratio] and 0.49 for ln[PBMC RORC2/FOXP3 mRNA ratio] (full precision: 0.689814 and 0.489906). The direction and statistical evidence for both PBMC-derived ratio associations were retained.</w:t>
      </w:r>
    </w:p>
    <w:p>
      <w:pPr>
        <w:spacing w:line="240" w:lineRule="auto" w:before="40" w:after="60"/>
      </w:pPr>
      <w:r>
        <w:rPr>
          <w:rFonts w:ascii="Times New Roman" w:hAnsi="Times New Roman" w:eastAsia="Times New Roman"/>
          <w:sz w:val="17"/>
        </w:rPr>
        <w:t>Abbreviations: CI, confidence interval; HbA1c, glycated hemoglobin; OR, odds ratio; SE, standard error; T1DM, type 1 diabetes mellitus; TSH, thyroid-stimulating hormone.</w:t>
      </w:r>
    </w:p>
    <w:p>
      <w:r>
        <w:br w:type="page"/>
      </w:r>
    </w:p>
    <w:p>
      <w:pPr>
        <w:keepNext/>
        <w:spacing w:line="240" w:lineRule="auto" w:before="160" w:after="60"/>
      </w:pPr>
      <w:r>
        <w:rPr>
          <w:rFonts w:ascii="Times New Roman" w:hAnsi="Times New Roman" w:eastAsia="Times New Roman"/>
          <w:b/>
          <w:sz w:val="19"/>
        </w:rPr>
        <w:t>Supplementary Table S8. HC3 robust-standard-error sensitivity analyses for continuous antibody-titer models</w:t>
      </w:r>
    </w:p>
    <w:tbl>
      <w:tblPr>
        <w:tblStyle w:val="TableGrid"/>
        <w:tblW w:type="auto" w:w="0"/>
        <w:tblLayout w:type="autofit"/>
        <w:tblLook w:firstColumn="1" w:firstRow="1" w:lastColumn="0" w:lastRow="0" w:noHBand="0" w:noVBand="1" w:val="04A0"/>
        <w:jc w:val="center"/>
        <w:tblBorders>
          <w:top w:val="single" w:sz="12" w:space="0" w:color="000000"/>
          <w:bottom w:val="single" w:sz="12" w:space="0" w:color="000000"/>
          <w:insideH w:val="single" w:sz="6" w:space="0" w:color="B7B7B7"/>
          <w:left w:val="nil"/>
          <w:right w:val="nil"/>
          <w:insideV w:val="nil"/>
        </w:tblBorders>
      </w:tblPr>
      <w:tblGrid>
        <w:gridCol w:w="2179"/>
        <w:gridCol w:w="2179"/>
        <w:gridCol w:w="2179"/>
        <w:gridCol w:w="2179"/>
        <w:gridCol w:w="2179"/>
        <w:gridCol w:w="2179"/>
        <w:gridCol w:w="2179"/>
      </w:tblGrid>
      <w:tr>
        <w:trPr>
          <w:tblHeader w:val="true"/>
          <w:tblHeader w:val="true"/>
          <w:tblHeader w:val="true"/>
          <w:cantSplit w:val="true"/>
        </w:trPr>
        <w:tc>
          <w:tcPr>
            <w:tcW w:type="dxa" w:w="1512"/>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r>
            <w:r>
              <w:rPr>
                <w:rFonts w:ascii="Times New Roman" w:hAnsi="Times New Roman" w:eastAsia="Times New Roman"/>
                <w:b/>
                <w:sz w:val="17"/>
              </w:rPr>
              <w:t>Outcome</w:t>
            </w:r>
          </w:p>
        </w:tc>
        <w:tc>
          <w:tcPr>
            <w:tcW w:type="dxa" w:w="1944"/>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r>
            <w:r>
              <w:rPr>
                <w:rFonts w:ascii="Times New Roman" w:hAnsi="Times New Roman" w:eastAsia="Times New Roman"/>
                <w:b/>
                <w:sz w:val="17"/>
              </w:rPr>
              <w:t>Primary predictor</w:t>
            </w:r>
          </w:p>
        </w:tc>
        <w:tc>
          <w:tcPr>
            <w:tcW w:type="dxa" w:w="1512"/>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r>
            <w:r>
              <w:rPr>
                <w:rFonts w:ascii="Times New Roman" w:hAnsi="Times New Roman" w:eastAsia="Times New Roman"/>
                <w:b/>
                <w:sz w:val="17"/>
              </w:rPr>
              <w:t>Adjusted β</w:t>
              <w:br/>
              <w:t>(per 1 SD)</w:t>
            </w:r>
          </w:p>
        </w:tc>
        <w:tc>
          <w:tcPr>
            <w:tcW w:type="dxa" w:w="1224"/>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r>
            <w:r>
              <w:rPr>
                <w:rFonts w:ascii="Times New Roman" w:hAnsi="Times New Roman" w:eastAsia="Times New Roman"/>
                <w:b/>
                <w:sz w:val="17"/>
              </w:rPr>
              <w:t>HC3 SE</w:t>
            </w:r>
          </w:p>
        </w:tc>
        <w:tc>
          <w:tcPr>
            <w:tcW w:type="dxa" w:w="1584"/>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r>
            <w:r>
              <w:rPr>
                <w:rFonts w:ascii="Times New Roman" w:hAnsi="Times New Roman" w:eastAsia="Times New Roman"/>
                <w:b/>
                <w:sz w:val="17"/>
              </w:rPr>
              <w:t>HC3 95% CI</w:t>
            </w:r>
          </w:p>
        </w:tc>
        <w:tc>
          <w:tcPr>
            <w:tcW w:type="dxa" w:w="136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r>
            <w:r>
              <w:rPr>
                <w:rFonts w:ascii="Times New Roman" w:hAnsi="Times New Roman" w:eastAsia="Times New Roman"/>
                <w:b/>
                <w:sz w:val="17"/>
              </w:rPr>
              <w:t>HC3 P</w:t>
            </w:r>
          </w:p>
        </w:tc>
        <w:tc>
          <w:tcPr>
            <w:tcW w:type="dxa" w:w="136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r>
            <w:r>
              <w:rPr>
                <w:rFonts w:ascii="Times New Roman" w:hAnsi="Times New Roman" w:eastAsia="Times New Roman"/>
                <w:b/>
                <w:sz w:val="17"/>
              </w:rPr>
              <w:t>BH-FDR q</w:t>
            </w:r>
          </w:p>
        </w:tc>
      </w:tr>
      <w:tr>
        <w:trPr>
          <w:cantSplit w:val="true"/>
        </w:trPr>
        <w:tc>
          <w:tcPr>
            <w:tcW w:type="dxa" w:w="1512"/>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sz w:val="17"/>
              </w:rPr>
            </w:r>
            <w:r>
              <w:rPr>
                <w:rFonts w:ascii="Times New Roman" w:hAnsi="Times New Roman" w:eastAsia="Times New Roman"/>
                <w:b w:val="0"/>
                <w:sz w:val="17"/>
              </w:rPr>
              <w:t>ln(TPOAb)</w:t>
            </w:r>
          </w:p>
        </w:tc>
        <w:tc>
          <w:tcPr>
            <w:tcW w:type="dxa" w:w="1944"/>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r>
            <w:r>
              <w:rPr>
                <w:rFonts w:ascii="Times New Roman" w:hAnsi="Times New Roman" w:eastAsia="Times New Roman"/>
                <w:b w:val="0"/>
                <w:sz w:val="17"/>
              </w:rPr>
              <w:t>PBMC TBX21/GATA3 mRNA ratio</w:t>
            </w:r>
          </w:p>
        </w:tc>
        <w:tc>
          <w:tcPr>
            <w:tcW w:type="dxa" w:w="1512"/>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r>
            <w:r>
              <w:rPr>
                <w:rFonts w:ascii="Times New Roman" w:hAnsi="Times New Roman" w:eastAsia="Times New Roman"/>
                <w:b w:val="0"/>
                <w:sz w:val="17"/>
              </w:rPr>
              <w:t>0.696</w:t>
            </w:r>
          </w:p>
        </w:tc>
        <w:tc>
          <w:tcPr>
            <w:tcW w:type="dxa" w:w="1224"/>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r>
            <w:r>
              <w:rPr>
                <w:rFonts w:ascii="Times New Roman" w:hAnsi="Times New Roman" w:eastAsia="Times New Roman"/>
                <w:b w:val="0"/>
                <w:sz w:val="17"/>
              </w:rPr>
              <w:t>0.142</w:t>
            </w:r>
          </w:p>
        </w:tc>
        <w:tc>
          <w:tcPr>
            <w:tcW w:type="dxa" w:w="1584"/>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r>
            <w:r>
              <w:rPr>
                <w:rFonts w:ascii="Times New Roman" w:hAnsi="Times New Roman" w:eastAsia="Times New Roman"/>
                <w:b w:val="0"/>
                <w:sz w:val="17"/>
              </w:rPr>
              <w:t>0.410–0.982</w:t>
            </w:r>
          </w:p>
        </w:tc>
        <w:tc>
          <w:tcPr>
            <w:tcW w:type="dxa" w:w="136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r>
            <w:r>
              <w:rPr>
                <w:rFonts w:ascii="Times New Roman" w:hAnsi="Times New Roman" w:eastAsia="Times New Roman"/>
                <w:b w:val="0"/>
                <w:sz w:val="17"/>
              </w:rPr>
              <w:t>1.285e-05</w:t>
            </w:r>
          </w:p>
        </w:tc>
        <w:tc>
          <w:tcPr>
            <w:tcW w:type="dxa" w:w="136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r>
            <w:r>
              <w:rPr>
                <w:rFonts w:ascii="Times New Roman" w:hAnsi="Times New Roman" w:eastAsia="Times New Roman"/>
                <w:b w:val="0"/>
                <w:sz w:val="17"/>
              </w:rPr>
              <w:t>5.140e-05</w:t>
            </w:r>
          </w:p>
        </w:tc>
      </w:tr>
      <w:tr>
        <w:trPr>
          <w:cantSplit w:val="true"/>
        </w:trPr>
        <w:tc>
          <w:tcPr>
            <w:tcW w:type="dxa" w:w="1512"/>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sz w:val="17"/>
              </w:rPr>
            </w:r>
            <w:r>
              <w:rPr>
                <w:rFonts w:ascii="Times New Roman" w:hAnsi="Times New Roman" w:eastAsia="Times New Roman"/>
                <w:b w:val="0"/>
                <w:sz w:val="17"/>
              </w:rPr>
              <w:t>ln(TPOAb)</w:t>
            </w:r>
          </w:p>
        </w:tc>
        <w:tc>
          <w:tcPr>
            <w:tcW w:type="dxa" w:w="1944"/>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PBMC RORC2/FOXP3 mRNA ratio</w:t>
            </w:r>
          </w:p>
        </w:tc>
        <w:tc>
          <w:tcPr>
            <w:tcW w:type="dxa" w:w="1512"/>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r>
            <w:r>
              <w:rPr>
                <w:rFonts w:ascii="Times New Roman" w:hAnsi="Times New Roman" w:eastAsia="Times New Roman"/>
                <w:b w:val="0"/>
                <w:sz w:val="17"/>
              </w:rPr>
              <w:t>0.558</w:t>
            </w:r>
          </w:p>
        </w:tc>
        <w:tc>
          <w:tcPr>
            <w:tcW w:type="dxa" w:w="1224"/>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r>
            <w:r>
              <w:rPr>
                <w:rFonts w:ascii="Times New Roman" w:hAnsi="Times New Roman" w:eastAsia="Times New Roman"/>
                <w:b w:val="0"/>
                <w:sz w:val="17"/>
              </w:rPr>
              <w:t>0.147</w:t>
            </w:r>
          </w:p>
        </w:tc>
        <w:tc>
          <w:tcPr>
            <w:tcW w:type="dxa" w:w="1584"/>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r>
            <w:r>
              <w:rPr>
                <w:rFonts w:ascii="Times New Roman" w:hAnsi="Times New Roman" w:eastAsia="Times New Roman"/>
                <w:b w:val="0"/>
                <w:sz w:val="17"/>
              </w:rPr>
              <w:t>0.262–0.854</w:t>
            </w:r>
          </w:p>
        </w:tc>
        <w:tc>
          <w:tcPr>
            <w:tcW w:type="dxa" w:w="136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r>
            <w:r>
              <w:rPr>
                <w:rFonts w:ascii="Times New Roman" w:hAnsi="Times New Roman" w:eastAsia="Times New Roman"/>
                <w:b w:val="0"/>
                <w:sz w:val="17"/>
              </w:rPr>
              <w:t>4.303e-04</w:t>
            </w:r>
          </w:p>
        </w:tc>
        <w:tc>
          <w:tcPr>
            <w:tcW w:type="dxa" w:w="136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r>
            <w:r>
              <w:rPr>
                <w:rFonts w:ascii="Times New Roman" w:hAnsi="Times New Roman" w:eastAsia="Times New Roman"/>
                <w:b w:val="0"/>
                <w:sz w:val="17"/>
              </w:rPr>
              <w:t>4.348e-04</w:t>
            </w:r>
          </w:p>
        </w:tc>
      </w:tr>
      <w:tr>
        <w:trPr>
          <w:cantSplit w:val="true"/>
        </w:trPr>
        <w:tc>
          <w:tcPr>
            <w:tcW w:type="dxa" w:w="1512"/>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sz w:val="17"/>
              </w:rPr>
            </w:r>
            <w:r>
              <w:rPr>
                <w:rFonts w:ascii="Times New Roman" w:hAnsi="Times New Roman" w:eastAsia="Times New Roman"/>
                <w:b w:val="0"/>
                <w:sz w:val="17"/>
              </w:rPr>
              <w:t>ln(TGAb)</w:t>
            </w:r>
          </w:p>
        </w:tc>
        <w:tc>
          <w:tcPr>
            <w:tcW w:type="dxa" w:w="1944"/>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r>
            <w:r>
              <w:rPr>
                <w:rFonts w:ascii="Times New Roman" w:hAnsi="Times New Roman" w:eastAsia="Times New Roman"/>
                <w:b w:val="0"/>
                <w:sz w:val="17"/>
              </w:rPr>
              <w:t>PBMC TBX21/GATA3 mRNA ratio</w:t>
            </w:r>
          </w:p>
        </w:tc>
        <w:tc>
          <w:tcPr>
            <w:tcW w:type="dxa" w:w="1512"/>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r>
            <w:r>
              <w:rPr>
                <w:rFonts w:ascii="Times New Roman" w:hAnsi="Times New Roman" w:eastAsia="Times New Roman"/>
                <w:b w:val="0"/>
                <w:sz w:val="17"/>
              </w:rPr>
              <w:t>0.584</w:t>
            </w:r>
          </w:p>
        </w:tc>
        <w:tc>
          <w:tcPr>
            <w:tcW w:type="dxa" w:w="1224"/>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r>
            <w:r>
              <w:rPr>
                <w:rFonts w:ascii="Times New Roman" w:hAnsi="Times New Roman" w:eastAsia="Times New Roman"/>
                <w:b w:val="0"/>
                <w:sz w:val="17"/>
              </w:rPr>
              <w:t>0.154</w:t>
            </w:r>
          </w:p>
        </w:tc>
        <w:tc>
          <w:tcPr>
            <w:tcW w:type="dxa" w:w="1584"/>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r>
            <w:r>
              <w:rPr>
                <w:rFonts w:ascii="Times New Roman" w:hAnsi="Times New Roman" w:eastAsia="Times New Roman"/>
                <w:b w:val="0"/>
                <w:sz w:val="17"/>
              </w:rPr>
              <w:t>0.274–0.894</w:t>
            </w:r>
          </w:p>
        </w:tc>
        <w:tc>
          <w:tcPr>
            <w:tcW w:type="dxa" w:w="136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r>
            <w:r>
              <w:rPr>
                <w:rFonts w:ascii="Times New Roman" w:hAnsi="Times New Roman" w:eastAsia="Times New Roman"/>
                <w:b w:val="0"/>
                <w:sz w:val="17"/>
              </w:rPr>
              <w:t>4.348e-04</w:t>
            </w:r>
          </w:p>
        </w:tc>
        <w:tc>
          <w:tcPr>
            <w:tcW w:type="dxa" w:w="136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r>
            <w:r>
              <w:rPr>
                <w:rFonts w:ascii="Times New Roman" w:hAnsi="Times New Roman" w:eastAsia="Times New Roman"/>
                <w:b w:val="0"/>
                <w:sz w:val="17"/>
              </w:rPr>
              <w:t>4.348e-04</w:t>
            </w:r>
          </w:p>
        </w:tc>
      </w:tr>
      <w:tr>
        <w:trPr>
          <w:cantSplit w:val="true"/>
        </w:trPr>
        <w:tc>
          <w:tcPr>
            <w:tcW w:type="dxa" w:w="1512"/>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sz w:val="17"/>
              </w:rPr>
            </w:r>
            <w:r>
              <w:rPr>
                <w:rFonts w:ascii="Times New Roman" w:hAnsi="Times New Roman" w:eastAsia="Times New Roman"/>
                <w:b w:val="0"/>
                <w:sz w:val="17"/>
              </w:rPr>
              <w:t>ln(TGAb)</w:t>
            </w:r>
          </w:p>
        </w:tc>
        <w:tc>
          <w:tcPr>
            <w:tcW w:type="dxa" w:w="1944"/>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PBMC RORC2/FOXP3 mRNA ratio</w:t>
            </w:r>
          </w:p>
        </w:tc>
        <w:tc>
          <w:tcPr>
            <w:tcW w:type="dxa" w:w="1512"/>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r>
            <w:r>
              <w:rPr>
                <w:rFonts w:ascii="Times New Roman" w:hAnsi="Times New Roman" w:eastAsia="Times New Roman"/>
                <w:b w:val="0"/>
                <w:sz w:val="17"/>
              </w:rPr>
              <w:t>0.595</w:t>
            </w:r>
          </w:p>
        </w:tc>
        <w:tc>
          <w:tcPr>
            <w:tcW w:type="dxa" w:w="1224"/>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r>
            <w:r>
              <w:rPr>
                <w:rFonts w:ascii="Times New Roman" w:hAnsi="Times New Roman" w:eastAsia="Times New Roman"/>
                <w:b w:val="0"/>
                <w:sz w:val="17"/>
              </w:rPr>
              <w:t>0.136</w:t>
            </w:r>
          </w:p>
        </w:tc>
        <w:tc>
          <w:tcPr>
            <w:tcW w:type="dxa" w:w="1584"/>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r>
            <w:r>
              <w:rPr>
                <w:rFonts w:ascii="Times New Roman" w:hAnsi="Times New Roman" w:eastAsia="Times New Roman"/>
                <w:b w:val="0"/>
                <w:sz w:val="17"/>
              </w:rPr>
              <w:t>0.321–0.869</w:t>
            </w:r>
          </w:p>
        </w:tc>
        <w:tc>
          <w:tcPr>
            <w:tcW w:type="dxa" w:w="136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r>
            <w:r>
              <w:rPr>
                <w:rFonts w:ascii="Times New Roman" w:hAnsi="Times New Roman" w:eastAsia="Times New Roman"/>
                <w:b w:val="0"/>
                <w:sz w:val="17"/>
              </w:rPr>
              <w:t>7.133e-05</w:t>
            </w:r>
          </w:p>
        </w:tc>
        <w:tc>
          <w:tcPr>
            <w:tcW w:type="dxa" w:w="1368"/>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r>
            <w:r>
              <w:rPr>
                <w:rFonts w:ascii="Times New Roman" w:hAnsi="Times New Roman" w:eastAsia="Times New Roman"/>
                <w:b w:val="0"/>
                <w:sz w:val="17"/>
              </w:rPr>
              <w:t>1.427e-04</w:t>
            </w:r>
          </w:p>
        </w:tc>
      </w:tr>
    </w:tbl>
    <w:p>
      <w:pPr>
        <w:spacing w:line="240" w:lineRule="auto" w:before="40" w:after="60"/>
      </w:pPr>
      <w:r>
        <w:rPr>
          <w:rFonts w:ascii="Times New Roman" w:hAnsi="Times New Roman" w:eastAsia="Times New Roman"/>
          <w:sz w:val="17"/>
        </w:rPr>
        <w:t>Notes: Models were identical to those in Table 5. Heteroskedasticity-consistent HC3 covariance estimates were calculated without changing the point estimates. The four HC3 P values were treated as one sensitivity-analysis family for BH-FDR adjustment. Using the conventional Cook’s distance screening threshold of 4/n (0.075), 5 observations in the ln(TPOAb) model and 6 observations in the ln(TGAb) model exceeded the threshold; maximum Cook’s distances were 0.113 and 0.127, respectively. The primary PBMC-derived ratio associations remained statistically supported, but the findings remain exploratory.</w:t>
      </w:r>
    </w:p>
    <w:p>
      <w:pPr>
        <w:spacing w:line="240" w:lineRule="auto" w:before="40" w:after="60"/>
      </w:pPr>
      <w:r>
        <w:rPr>
          <w:rFonts w:ascii="Times New Roman" w:hAnsi="Times New Roman" w:eastAsia="Times New Roman"/>
          <w:b/>
          <w:sz w:val="17"/>
        </w:rPr>
        <w:t xml:space="preserve">Abbreviations: </w:t>
      </w:r>
      <w:r>
        <w:rPr>
          <w:rFonts w:ascii="Times New Roman" w:hAnsi="Times New Roman" w:eastAsia="Times New Roman"/>
          <w:sz w:val="17"/>
        </w:rPr>
        <w:t>BH-FDR, Benjamini–Hochberg false discovery rate; CI, confidence interval; HC3, heteroskedasticity-consistent covariance estimator type 3; SE, standard error; TGAb, thyroglobulin antibody; TPOAb, thyroid peroxidase antibody.</w:t>
      </w:r>
    </w:p>
    <w:p>
      <w:r>
        <w:br w:type="page"/>
      </w:r>
    </w:p>
    <w:p>
      <w:pPr>
        <w:keepNext/>
        <w:spacing w:after="60" w:line="240" w:lineRule="auto" w:before="160"/>
      </w:pPr>
      <w:r>
        <w:rPr>
          <w:rFonts w:ascii="Times New Roman" w:hAnsi="Times New Roman" w:eastAsia="Times New Roman"/>
          <w:b/>
          <w:sz w:val="19"/>
        </w:rPr>
        <w:t>Supplementary Table S9. Flow-cytometry panels and supporting reagents documented in the laboratory record</w:t>
      </w:r>
    </w:p>
    <w:tbl>
      <w:tblPr>
        <w:tblStyle w:val="TableGrid"/>
        <w:tblW w:type="auto" w:w="0"/>
        <w:tblLayout w:type="autofit"/>
        <w:tblLook w:firstColumn="1" w:firstRow="1" w:lastColumn="0" w:lastRow="0" w:noHBand="0" w:noVBand="1" w:val="04A0"/>
        <w:jc w:val="center"/>
        <w:tblBorders>
          <w:top w:val="single" w:sz="12" w:space="0" w:color="000000"/>
          <w:bottom w:val="single" w:sz="12" w:space="0" w:color="000000"/>
          <w:insideH w:val="single" w:sz="6" w:space="0" w:color="B7B7B7"/>
          <w:left w:val="nil"/>
          <w:right w:val="nil"/>
          <w:insideV w:val="nil"/>
        </w:tblBorders>
      </w:tblPr>
      <w:tblGrid>
        <w:gridCol w:w="2179"/>
        <w:gridCol w:w="2179"/>
        <w:gridCol w:w="2179"/>
        <w:gridCol w:w="2179"/>
        <w:gridCol w:w="2179"/>
        <w:gridCol w:w="2179"/>
        <w:gridCol w:w="2179"/>
      </w:tblGrid>
      <w:tr>
        <w:trPr>
          <w:cantSplit w:val="true"/>
          <w:tblHeader w:val="true"/>
          <w:tblHeader w:val="true"/>
          <w:cantSplit/>
        </w:trPr>
        <w:tc>
          <w:tcPr>
            <w:tcW w:type="dxa" w:w="605"/>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b/>
                <w:sz w:val="17"/>
              </w:rPr>
            </w:r>
            <w:r>
              <w:rPr>
                <w:rFonts w:ascii="Times New Roman" w:hAnsi="Times New Roman" w:eastAsia="Times New Roman"/>
                <w:b/>
                <w:sz w:val="17"/>
              </w:rPr>
              <w:t>Panel</w:t>
            </w:r>
          </w:p>
        </w:tc>
        <w:tc>
          <w:tcPr>
            <w:tcW w:type="dxa" w:w="2232"/>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b/>
                <w:sz w:val="17"/>
              </w:rPr>
            </w:r>
            <w:r>
              <w:rPr>
                <w:rFonts w:ascii="Times New Roman" w:hAnsi="Times New Roman" w:eastAsia="Times New Roman"/>
                <w:b/>
                <w:sz w:val="17"/>
              </w:rPr>
              <w:t>Marker/reagent</w:t>
            </w:r>
          </w:p>
        </w:tc>
        <w:tc>
          <w:tcPr>
            <w:tcW w:type="dxa" w:w="1584"/>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b/>
                <w:sz w:val="17"/>
              </w:rPr>
            </w:r>
            <w:r>
              <w:rPr>
                <w:rFonts w:ascii="Times New Roman" w:hAnsi="Times New Roman" w:eastAsia="Times New Roman"/>
                <w:b/>
                <w:sz w:val="17"/>
              </w:rPr>
              <w:t>Fluorochrome</w:t>
            </w:r>
          </w:p>
        </w:tc>
        <w:tc>
          <w:tcPr>
            <w:tcW w:type="dxa" w:w="126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b/>
                <w:sz w:val="17"/>
              </w:rPr>
            </w:r>
            <w:r>
              <w:rPr>
                <w:rFonts w:ascii="Times New Roman" w:hAnsi="Times New Roman" w:eastAsia="Times New Roman"/>
                <w:b/>
                <w:sz w:val="17"/>
              </w:rPr>
              <w:t>Clone</w:t>
            </w:r>
          </w:p>
        </w:tc>
        <w:tc>
          <w:tcPr>
            <w:tcW w:type="dxa" w:w="1800"/>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b/>
                <w:sz w:val="17"/>
              </w:rPr>
            </w:r>
            <w:r>
              <w:rPr>
                <w:rFonts w:ascii="Times New Roman" w:hAnsi="Times New Roman" w:eastAsia="Times New Roman"/>
                <w:b/>
                <w:sz w:val="17"/>
              </w:rPr>
              <w:t>Manufacturer/source</w:t>
            </w:r>
          </w:p>
        </w:tc>
        <w:tc>
          <w:tcPr>
            <w:tcW w:type="dxa" w:w="237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b/>
                <w:sz w:val="17"/>
              </w:rPr>
            </w:r>
            <w:r>
              <w:rPr>
                <w:rFonts w:ascii="Times New Roman" w:hAnsi="Times New Roman" w:eastAsia="Times New Roman"/>
                <w:b/>
                <w:sz w:val="17"/>
              </w:rPr>
              <w:t>Catalog/lot</w:t>
            </w:r>
          </w:p>
        </w:tc>
        <w:tc>
          <w:tcPr>
            <w:tcW w:type="dxa" w:w="381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b/>
                <w:sz w:val="17"/>
              </w:rPr>
            </w:r>
            <w:r>
              <w:rPr>
                <w:rFonts w:ascii="Times New Roman" w:hAnsi="Times New Roman" w:eastAsia="Times New Roman"/>
                <w:b/>
                <w:sz w:val="17"/>
              </w:rPr>
              <w:t>Purpose or verification note</w:t>
            </w:r>
          </w:p>
        </w:tc>
      </w:tr>
      <w:tr>
        <w:trPr>
          <w:cantSplit w:val="true"/>
          <w:cantSplit/>
        </w:trPr>
        <w:tc>
          <w:tcPr>
            <w:tcW w:type="dxa" w:w="3816"/>
            <w:gridSpan w:val="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sz w:val="17"/>
              </w:rPr>
              <w:t>Panel A. BD Human Th1/Th2/Th17 Phenotyping Kit (catalog no. 560751): functional intracellular-cytokine panel</w:t>
            </w:r>
          </w:p>
        </w:tc>
      </w:tr>
      <w:tr>
        <w:trPr>
          <w:cantSplit w:val="true"/>
          <w:cantSplit/>
        </w:trPr>
        <w:tc>
          <w:tcPr>
            <w:tcW w:type="dxa" w:w="605"/>
            <w:vAlign w:val="center"/>
            <w:tcMar>
              <w:top w:w="45" w:type="dxa"/>
              <w:start w:w="45" w:type="dxa"/>
              <w:bottom w:w="45" w:type="dxa"/>
              <w:end w:w="45" w:type="dxa"/>
            </w:tcMar>
          </w:tcPr>
          <w:p>
            <w:pPr>
              <w:spacing w:before="0" w:after="0" w:line="240" w:lineRule="auto"/>
              <w:jc w:val="left"/>
            </w:pPr>
            <w:r>
              <w:rPr>
                <w:rFonts w:ascii="Times New Roman" w:hAnsi="Times New Roman" w:eastAsia="Times New Roman"/>
                <w:sz w:val="17"/>
              </w:rPr>
            </w:r>
            <w:r>
              <w:rPr>
                <w:rFonts w:ascii="Times New Roman" w:hAnsi="Times New Roman" w:eastAsia="Times New Roman"/>
                <w:b w:val="0"/>
                <w:sz w:val="17"/>
              </w:rPr>
              <w:t>A</w:t>
            </w:r>
          </w:p>
        </w:tc>
        <w:tc>
          <w:tcPr>
            <w:tcW w:type="dxa" w:w="2232"/>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CD4</w:t>
            </w:r>
          </w:p>
        </w:tc>
        <w:tc>
          <w:tcPr>
            <w:tcW w:type="dxa" w:w="1584"/>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PerCP-Cy5.5</w:t>
            </w:r>
          </w:p>
        </w:tc>
        <w:tc>
          <w:tcPr>
            <w:tcW w:type="dxa" w:w="126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SK3</w:t>
            </w:r>
          </w:p>
        </w:tc>
        <w:tc>
          <w:tcPr>
            <w:tcW w:type="dxa" w:w="1800"/>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BD Biosciences</w:t>
            </w:r>
          </w:p>
        </w:tc>
        <w:tc>
          <w:tcPr>
            <w:tcW w:type="dxa" w:w="237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t>Kit cat. 560751; cocktail component 51-9006615</w:t>
            </w:r>
          </w:p>
        </w:tc>
        <w:tc>
          <w:tcPr>
            <w:tcW w:type="dxa" w:w="381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CD4+ parent population</w:t>
            </w:r>
          </w:p>
        </w:tc>
      </w:tr>
      <w:tr>
        <w:trPr>
          <w:cantSplit w:val="true"/>
          <w:cantSplit/>
        </w:trPr>
        <w:tc>
          <w:tcPr>
            <w:tcW w:type="dxa" w:w="605"/>
            <w:vAlign w:val="center"/>
            <w:tcMar>
              <w:top w:w="45" w:type="dxa"/>
              <w:start w:w="45" w:type="dxa"/>
              <w:bottom w:w="45" w:type="dxa"/>
              <w:end w:w="45" w:type="dxa"/>
            </w:tcMar>
          </w:tcPr>
          <w:p>
            <w:pPr>
              <w:spacing w:before="0" w:after="0" w:line="240" w:lineRule="auto"/>
              <w:jc w:val="left"/>
            </w:pPr>
            <w:r>
              <w:rPr>
                <w:rFonts w:ascii="Times New Roman" w:hAnsi="Times New Roman" w:eastAsia="Times New Roman"/>
                <w:sz w:val="17"/>
              </w:rPr>
            </w:r>
            <w:r>
              <w:rPr>
                <w:rFonts w:ascii="Times New Roman" w:hAnsi="Times New Roman" w:eastAsia="Times New Roman"/>
                <w:b w:val="0"/>
                <w:sz w:val="17"/>
              </w:rPr>
              <w:t>A</w:t>
            </w:r>
          </w:p>
        </w:tc>
        <w:tc>
          <w:tcPr>
            <w:tcW w:type="dxa" w:w="2232"/>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IFN-γ</w:t>
            </w:r>
          </w:p>
        </w:tc>
        <w:tc>
          <w:tcPr>
            <w:tcW w:type="dxa" w:w="1584"/>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FITC</w:t>
            </w:r>
          </w:p>
        </w:tc>
        <w:tc>
          <w:tcPr>
            <w:tcW w:type="dxa" w:w="126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B27</w:t>
            </w:r>
          </w:p>
        </w:tc>
        <w:tc>
          <w:tcPr>
            <w:tcW w:type="dxa" w:w="1800"/>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BD Biosciences</w:t>
            </w:r>
          </w:p>
        </w:tc>
        <w:tc>
          <w:tcPr>
            <w:tcW w:type="dxa" w:w="237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t>Kit cat. 560751; cocktail component 51-9006615</w:t>
            </w:r>
          </w:p>
        </w:tc>
        <w:tc>
          <w:tcPr>
            <w:tcW w:type="dxa" w:w="381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Intracellular Th1 readout</w:t>
            </w:r>
          </w:p>
        </w:tc>
      </w:tr>
      <w:tr>
        <w:trPr>
          <w:cantSplit w:val="true"/>
          <w:cantSplit/>
        </w:trPr>
        <w:tc>
          <w:tcPr>
            <w:tcW w:type="dxa" w:w="605"/>
            <w:vAlign w:val="center"/>
            <w:tcMar>
              <w:top w:w="45" w:type="dxa"/>
              <w:start w:w="45" w:type="dxa"/>
              <w:bottom w:w="45" w:type="dxa"/>
              <w:end w:w="45" w:type="dxa"/>
            </w:tcMar>
          </w:tcPr>
          <w:p>
            <w:pPr>
              <w:spacing w:before="0" w:after="0" w:line="240" w:lineRule="auto"/>
              <w:jc w:val="left"/>
            </w:pPr>
            <w:r>
              <w:rPr>
                <w:rFonts w:ascii="Times New Roman" w:hAnsi="Times New Roman" w:eastAsia="Times New Roman"/>
                <w:sz w:val="17"/>
              </w:rPr>
            </w:r>
            <w:r>
              <w:rPr>
                <w:rFonts w:ascii="Times New Roman" w:hAnsi="Times New Roman" w:eastAsia="Times New Roman"/>
                <w:b w:val="0"/>
                <w:sz w:val="17"/>
              </w:rPr>
              <w:t>A</w:t>
            </w:r>
          </w:p>
        </w:tc>
        <w:tc>
          <w:tcPr>
            <w:tcW w:type="dxa" w:w="2232"/>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IL-4</w:t>
            </w:r>
          </w:p>
        </w:tc>
        <w:tc>
          <w:tcPr>
            <w:tcW w:type="dxa" w:w="1584"/>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APC</w:t>
            </w:r>
          </w:p>
        </w:tc>
        <w:tc>
          <w:tcPr>
            <w:tcW w:type="dxa" w:w="126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MP4-25D2</w:t>
            </w:r>
          </w:p>
        </w:tc>
        <w:tc>
          <w:tcPr>
            <w:tcW w:type="dxa" w:w="1800"/>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BD Biosciences</w:t>
            </w:r>
          </w:p>
        </w:tc>
        <w:tc>
          <w:tcPr>
            <w:tcW w:type="dxa" w:w="237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t>Kit cat. 560751; cocktail component 51-9006615</w:t>
            </w:r>
          </w:p>
        </w:tc>
        <w:tc>
          <w:tcPr>
            <w:tcW w:type="dxa" w:w="381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Intracellular Th2 readout</w:t>
            </w:r>
          </w:p>
        </w:tc>
      </w:tr>
      <w:tr>
        <w:trPr>
          <w:cantSplit w:val="true"/>
          <w:cantSplit/>
        </w:trPr>
        <w:tc>
          <w:tcPr>
            <w:tcW w:type="dxa" w:w="605"/>
            <w:vAlign w:val="center"/>
            <w:tcMar>
              <w:top w:w="45" w:type="dxa"/>
              <w:start w:w="45" w:type="dxa"/>
              <w:bottom w:w="45" w:type="dxa"/>
              <w:end w:w="45" w:type="dxa"/>
            </w:tcMar>
          </w:tcPr>
          <w:p>
            <w:pPr>
              <w:spacing w:before="0" w:after="0" w:line="240" w:lineRule="auto"/>
              <w:jc w:val="left"/>
            </w:pPr>
            <w:r>
              <w:rPr>
                <w:rFonts w:ascii="Times New Roman" w:hAnsi="Times New Roman" w:eastAsia="Times New Roman"/>
                <w:sz w:val="17"/>
              </w:rPr>
            </w:r>
            <w:r>
              <w:rPr>
                <w:rFonts w:ascii="Times New Roman" w:hAnsi="Times New Roman" w:eastAsia="Times New Roman"/>
                <w:b w:val="0"/>
                <w:sz w:val="17"/>
              </w:rPr>
              <w:t>A</w:t>
            </w:r>
          </w:p>
        </w:tc>
        <w:tc>
          <w:tcPr>
            <w:tcW w:type="dxa" w:w="2232"/>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IL-17A</w:t>
            </w:r>
          </w:p>
        </w:tc>
        <w:tc>
          <w:tcPr>
            <w:tcW w:type="dxa" w:w="1584"/>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PE</w:t>
            </w:r>
          </w:p>
        </w:tc>
        <w:tc>
          <w:tcPr>
            <w:tcW w:type="dxa" w:w="126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N49-653</w:t>
            </w:r>
          </w:p>
        </w:tc>
        <w:tc>
          <w:tcPr>
            <w:tcW w:type="dxa" w:w="1800"/>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BD Biosciences</w:t>
            </w:r>
          </w:p>
        </w:tc>
        <w:tc>
          <w:tcPr>
            <w:tcW w:type="dxa" w:w="237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t>Kit cat. 560751; cocktail component 51-9006615</w:t>
            </w:r>
          </w:p>
        </w:tc>
        <w:tc>
          <w:tcPr>
            <w:tcW w:type="dxa" w:w="381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Intracellular functional Th17 readout</w:t>
            </w:r>
          </w:p>
        </w:tc>
      </w:tr>
      <w:tr>
        <w:trPr>
          <w:cantSplit w:val="true"/>
          <w:cantSplit/>
        </w:trPr>
        <w:tc>
          <w:tcPr>
            <w:tcW w:type="dxa" w:w="3816"/>
            <w:gridSpan w:val="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sz w:val="17"/>
              </w:rPr>
              <w:t>Panel B. Dedicated regulatory T-cell panel: CD4+CD25highCD127low/−FOXP3+ phenotype</w:t>
            </w:r>
          </w:p>
        </w:tc>
      </w:tr>
      <w:tr>
        <w:trPr>
          <w:cantSplit w:val="true"/>
          <w:cantSplit/>
        </w:trPr>
        <w:tc>
          <w:tcPr>
            <w:tcW w:type="dxa" w:w="605"/>
            <w:vAlign w:val="center"/>
            <w:tcMar>
              <w:top w:w="45" w:type="dxa"/>
              <w:start w:w="45" w:type="dxa"/>
              <w:bottom w:w="45" w:type="dxa"/>
              <w:end w:w="45" w:type="dxa"/>
            </w:tcMar>
          </w:tcPr>
          <w:p>
            <w:pPr>
              <w:spacing w:before="0" w:after="0" w:line="240" w:lineRule="auto"/>
              <w:jc w:val="left"/>
            </w:pPr>
            <w:r>
              <w:rPr>
                <w:rFonts w:ascii="Times New Roman" w:hAnsi="Times New Roman" w:eastAsia="Times New Roman"/>
                <w:sz w:val="17"/>
              </w:rPr>
            </w:r>
            <w:r>
              <w:rPr>
                <w:rFonts w:ascii="Times New Roman" w:hAnsi="Times New Roman" w:eastAsia="Times New Roman"/>
                <w:b w:val="0"/>
                <w:sz w:val="17"/>
              </w:rPr>
              <w:t>B</w:t>
            </w:r>
          </w:p>
        </w:tc>
        <w:tc>
          <w:tcPr>
            <w:tcW w:type="dxa" w:w="2232"/>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CD4</w:t>
            </w:r>
          </w:p>
        </w:tc>
        <w:tc>
          <w:tcPr>
            <w:tcW w:type="dxa" w:w="1584"/>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PerCP-Cy5.5</w:t>
            </w:r>
          </w:p>
        </w:tc>
        <w:tc>
          <w:tcPr>
            <w:tcW w:type="dxa" w:w="126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SK3</w:t>
            </w:r>
          </w:p>
        </w:tc>
        <w:tc>
          <w:tcPr>
            <w:tcW w:type="dxa" w:w="1800"/>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BD Biosciences</w:t>
            </w:r>
          </w:p>
        </w:tc>
        <w:tc>
          <w:tcPr>
            <w:tcW w:type="dxa" w:w="237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t>—</w:t>
            </w:r>
          </w:p>
        </w:tc>
        <w:tc>
          <w:tcPr>
            <w:tcW w:type="dxa" w:w="381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CD4+ parent population</w:t>
            </w:r>
          </w:p>
        </w:tc>
      </w:tr>
      <w:tr>
        <w:trPr>
          <w:cantSplit w:val="true"/>
          <w:cantSplit/>
        </w:trPr>
        <w:tc>
          <w:tcPr>
            <w:tcW w:type="dxa" w:w="605"/>
            <w:vAlign w:val="center"/>
            <w:tcMar>
              <w:top w:w="45" w:type="dxa"/>
              <w:start w:w="45" w:type="dxa"/>
              <w:bottom w:w="45" w:type="dxa"/>
              <w:end w:w="45" w:type="dxa"/>
            </w:tcMar>
          </w:tcPr>
          <w:p>
            <w:pPr>
              <w:spacing w:before="0" w:after="0" w:line="240" w:lineRule="auto"/>
              <w:jc w:val="left"/>
            </w:pPr>
            <w:r>
              <w:rPr>
                <w:rFonts w:ascii="Times New Roman" w:hAnsi="Times New Roman" w:eastAsia="Times New Roman"/>
                <w:sz w:val="17"/>
              </w:rPr>
            </w:r>
            <w:r>
              <w:rPr>
                <w:rFonts w:ascii="Times New Roman" w:hAnsi="Times New Roman" w:eastAsia="Times New Roman"/>
                <w:b w:val="0"/>
                <w:sz w:val="17"/>
              </w:rPr>
              <w:t>B</w:t>
            </w:r>
          </w:p>
        </w:tc>
        <w:tc>
          <w:tcPr>
            <w:tcW w:type="dxa" w:w="2232"/>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CD25</w:t>
            </w:r>
          </w:p>
        </w:tc>
        <w:tc>
          <w:tcPr>
            <w:tcW w:type="dxa" w:w="1584"/>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FITC</w:t>
            </w:r>
          </w:p>
        </w:tc>
        <w:tc>
          <w:tcPr>
            <w:tcW w:type="dxa" w:w="126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M-A251</w:t>
            </w:r>
          </w:p>
        </w:tc>
        <w:tc>
          <w:tcPr>
            <w:tcW w:type="dxa" w:w="1800"/>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BD Biosciences</w:t>
            </w:r>
          </w:p>
        </w:tc>
        <w:tc>
          <w:tcPr>
            <w:tcW w:type="dxa" w:w="237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t>—</w:t>
            </w:r>
          </w:p>
        </w:tc>
        <w:tc>
          <w:tcPr>
            <w:tcW w:type="dxa" w:w="381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CD25high component of the Treg gate</w:t>
            </w:r>
          </w:p>
        </w:tc>
      </w:tr>
      <w:tr>
        <w:trPr>
          <w:cantSplit w:val="true"/>
          <w:cantSplit/>
        </w:trPr>
        <w:tc>
          <w:tcPr>
            <w:tcW w:type="dxa" w:w="605"/>
            <w:vAlign w:val="center"/>
            <w:tcMar>
              <w:top w:w="45" w:type="dxa"/>
              <w:start w:w="45" w:type="dxa"/>
              <w:bottom w:w="45" w:type="dxa"/>
              <w:end w:w="45" w:type="dxa"/>
            </w:tcMar>
          </w:tcPr>
          <w:p>
            <w:pPr>
              <w:spacing w:before="0" w:after="0" w:line="240" w:lineRule="auto"/>
              <w:jc w:val="left"/>
            </w:pPr>
            <w:r>
              <w:rPr>
                <w:rFonts w:ascii="Times New Roman" w:hAnsi="Times New Roman" w:eastAsia="Times New Roman"/>
                <w:sz w:val="17"/>
              </w:rPr>
            </w:r>
            <w:r>
              <w:rPr>
                <w:rFonts w:ascii="Times New Roman" w:hAnsi="Times New Roman" w:eastAsia="Times New Roman"/>
                <w:b w:val="0"/>
                <w:sz w:val="17"/>
              </w:rPr>
              <w:t>B</w:t>
            </w:r>
          </w:p>
        </w:tc>
        <w:tc>
          <w:tcPr>
            <w:tcW w:type="dxa" w:w="2232"/>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CD127</w:t>
            </w:r>
          </w:p>
        </w:tc>
        <w:tc>
          <w:tcPr>
            <w:tcW w:type="dxa" w:w="1584"/>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Alexa Fluor 647</w:t>
            </w:r>
          </w:p>
        </w:tc>
        <w:tc>
          <w:tcPr>
            <w:tcW w:type="dxa" w:w="126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hIL-7R-M21</w:t>
            </w:r>
          </w:p>
        </w:tc>
        <w:tc>
          <w:tcPr>
            <w:tcW w:type="dxa" w:w="1800"/>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BD Biosciences</w:t>
            </w:r>
          </w:p>
        </w:tc>
        <w:tc>
          <w:tcPr>
            <w:tcW w:type="dxa" w:w="237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t>—</w:t>
            </w:r>
          </w:p>
        </w:tc>
        <w:tc>
          <w:tcPr>
            <w:tcW w:type="dxa" w:w="381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CD127low/− component of the Treg gate</w:t>
            </w:r>
          </w:p>
        </w:tc>
      </w:tr>
      <w:tr>
        <w:trPr>
          <w:cantSplit w:val="true"/>
          <w:cantSplit/>
        </w:trPr>
        <w:tc>
          <w:tcPr>
            <w:tcW w:type="dxa" w:w="605"/>
            <w:vAlign w:val="center"/>
            <w:tcMar>
              <w:top w:w="45" w:type="dxa"/>
              <w:start w:w="45" w:type="dxa"/>
              <w:bottom w:w="45" w:type="dxa"/>
              <w:end w:w="45" w:type="dxa"/>
            </w:tcMar>
          </w:tcPr>
          <w:p>
            <w:pPr>
              <w:spacing w:before="0" w:after="0" w:line="240" w:lineRule="auto"/>
              <w:jc w:val="left"/>
            </w:pPr>
            <w:r>
              <w:rPr>
                <w:rFonts w:ascii="Times New Roman" w:hAnsi="Times New Roman" w:eastAsia="Times New Roman"/>
                <w:sz w:val="17"/>
              </w:rPr>
            </w:r>
            <w:r>
              <w:rPr>
                <w:rFonts w:ascii="Times New Roman" w:hAnsi="Times New Roman" w:eastAsia="Times New Roman"/>
                <w:b w:val="0"/>
                <w:sz w:val="17"/>
              </w:rPr>
              <w:t>B</w:t>
            </w:r>
          </w:p>
        </w:tc>
        <w:tc>
          <w:tcPr>
            <w:tcW w:type="dxa" w:w="2232"/>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FOXP3</w:t>
            </w:r>
          </w:p>
        </w:tc>
        <w:tc>
          <w:tcPr>
            <w:tcW w:type="dxa" w:w="1584"/>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PE</w:t>
            </w:r>
          </w:p>
        </w:tc>
        <w:tc>
          <w:tcPr>
            <w:tcW w:type="dxa" w:w="126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259D/C7</w:t>
            </w:r>
          </w:p>
        </w:tc>
        <w:tc>
          <w:tcPr>
            <w:tcW w:type="dxa" w:w="1800"/>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BD Biosciences</w:t>
            </w:r>
          </w:p>
        </w:tc>
        <w:tc>
          <w:tcPr>
            <w:tcW w:type="dxa" w:w="237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t>—</w:t>
            </w:r>
          </w:p>
        </w:tc>
        <w:tc>
          <w:tcPr>
            <w:tcW w:type="dxa" w:w="381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Intracellular FOXP3 component of the Treg gate</w:t>
            </w:r>
          </w:p>
        </w:tc>
      </w:tr>
      <w:tr>
        <w:trPr>
          <w:cantSplit w:val="true"/>
          <w:cantSplit/>
        </w:trPr>
        <w:tc>
          <w:tcPr>
            <w:tcW w:type="dxa" w:w="3816"/>
            <w:gridSpan w:val="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sz w:val="17"/>
              </w:rPr>
              <w:t>Panel C. Additional Th17 phenotyping panel (separate tube from Panel A)</w:t>
            </w:r>
          </w:p>
        </w:tc>
      </w:tr>
      <w:tr>
        <w:trPr>
          <w:cantSplit w:val="true"/>
          <w:cantSplit/>
        </w:trPr>
        <w:tc>
          <w:tcPr>
            <w:tcW w:type="dxa" w:w="605"/>
            <w:vAlign w:val="center"/>
            <w:tcMar>
              <w:top w:w="45" w:type="dxa"/>
              <w:start w:w="45" w:type="dxa"/>
              <w:bottom w:w="45" w:type="dxa"/>
              <w:end w:w="45" w:type="dxa"/>
            </w:tcMar>
          </w:tcPr>
          <w:p>
            <w:pPr>
              <w:spacing w:before="0" w:after="0" w:line="240" w:lineRule="auto"/>
              <w:jc w:val="left"/>
            </w:pPr>
            <w:r>
              <w:rPr>
                <w:rFonts w:ascii="Times New Roman" w:hAnsi="Times New Roman" w:eastAsia="Times New Roman"/>
                <w:sz w:val="17"/>
              </w:rPr>
            </w:r>
            <w:r>
              <w:rPr>
                <w:rFonts w:ascii="Times New Roman" w:hAnsi="Times New Roman" w:eastAsia="Times New Roman"/>
                <w:b w:val="0"/>
                <w:sz w:val="17"/>
              </w:rPr>
              <w:t>C</w:t>
            </w:r>
          </w:p>
        </w:tc>
        <w:tc>
          <w:tcPr>
            <w:tcW w:type="dxa" w:w="2232"/>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CD4</w:t>
            </w:r>
          </w:p>
        </w:tc>
        <w:tc>
          <w:tcPr>
            <w:tcW w:type="dxa" w:w="1584"/>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FITC</w:t>
            </w:r>
          </w:p>
        </w:tc>
        <w:tc>
          <w:tcPr>
            <w:tcW w:type="dxa" w:w="126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RPA-T4</w:t>
            </w:r>
          </w:p>
        </w:tc>
        <w:tc>
          <w:tcPr>
            <w:tcW w:type="dxa" w:w="1800"/>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BD Biosciences</w:t>
            </w:r>
          </w:p>
        </w:tc>
        <w:tc>
          <w:tcPr>
            <w:tcW w:type="dxa" w:w="237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t>—</w:t>
            </w:r>
          </w:p>
        </w:tc>
        <w:tc>
          <w:tcPr>
            <w:tcW w:type="dxa" w:w="381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CD4+ parent population</w:t>
            </w:r>
          </w:p>
        </w:tc>
      </w:tr>
      <w:tr>
        <w:trPr>
          <w:cantSplit w:val="true"/>
          <w:cantSplit/>
        </w:trPr>
        <w:tc>
          <w:tcPr>
            <w:tcW w:type="dxa" w:w="605"/>
            <w:vAlign w:val="center"/>
            <w:tcMar>
              <w:top w:w="45" w:type="dxa"/>
              <w:start w:w="45" w:type="dxa"/>
              <w:bottom w:w="45" w:type="dxa"/>
              <w:end w:w="45" w:type="dxa"/>
            </w:tcMar>
          </w:tcPr>
          <w:p>
            <w:pPr>
              <w:spacing w:before="0" w:after="0" w:line="240" w:lineRule="auto"/>
              <w:jc w:val="left"/>
            </w:pPr>
            <w:r>
              <w:rPr>
                <w:rFonts w:ascii="Times New Roman" w:hAnsi="Times New Roman" w:eastAsia="Times New Roman"/>
                <w:sz w:val="17"/>
              </w:rPr>
            </w:r>
            <w:r>
              <w:rPr>
                <w:rFonts w:ascii="Times New Roman" w:hAnsi="Times New Roman" w:eastAsia="Times New Roman"/>
                <w:b w:val="0"/>
                <w:sz w:val="17"/>
              </w:rPr>
              <w:t>C</w:t>
            </w:r>
          </w:p>
        </w:tc>
        <w:tc>
          <w:tcPr>
            <w:tcW w:type="dxa" w:w="2232"/>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CD161</w:t>
            </w:r>
          </w:p>
        </w:tc>
        <w:tc>
          <w:tcPr>
            <w:tcW w:type="dxa" w:w="1584"/>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APC</w:t>
            </w:r>
          </w:p>
        </w:tc>
        <w:tc>
          <w:tcPr>
            <w:tcW w:type="dxa" w:w="126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DX12</w:t>
            </w:r>
          </w:p>
        </w:tc>
        <w:tc>
          <w:tcPr>
            <w:tcW w:type="dxa" w:w="1800"/>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BD Biosciences</w:t>
            </w:r>
          </w:p>
        </w:tc>
        <w:tc>
          <w:tcPr>
            <w:tcW w:type="dxa" w:w="237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t>—</w:t>
            </w:r>
          </w:p>
        </w:tc>
        <w:tc>
          <w:tcPr>
            <w:tcW w:type="dxa" w:w="381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Th17-associated surface phenotype</w:t>
            </w:r>
          </w:p>
        </w:tc>
      </w:tr>
      <w:tr>
        <w:trPr>
          <w:cantSplit w:val="true"/>
          <w:cantSplit/>
        </w:trPr>
        <w:tc>
          <w:tcPr>
            <w:tcW w:type="dxa" w:w="605"/>
            <w:vAlign w:val="center"/>
            <w:tcMar>
              <w:top w:w="45" w:type="dxa"/>
              <w:start w:w="45" w:type="dxa"/>
              <w:bottom w:w="45" w:type="dxa"/>
              <w:end w:w="45" w:type="dxa"/>
            </w:tcMar>
          </w:tcPr>
          <w:p>
            <w:pPr>
              <w:spacing w:before="0" w:after="0" w:line="240" w:lineRule="auto"/>
              <w:jc w:val="left"/>
            </w:pPr>
            <w:r>
              <w:rPr>
                <w:rFonts w:ascii="Times New Roman" w:hAnsi="Times New Roman" w:eastAsia="Times New Roman"/>
                <w:sz w:val="17"/>
              </w:rPr>
            </w:r>
            <w:r>
              <w:rPr>
                <w:rFonts w:ascii="Times New Roman" w:hAnsi="Times New Roman" w:eastAsia="Times New Roman"/>
                <w:b w:val="0"/>
                <w:sz w:val="17"/>
              </w:rPr>
              <w:t>C</w:t>
            </w:r>
          </w:p>
        </w:tc>
        <w:tc>
          <w:tcPr>
            <w:tcW w:type="dxa" w:w="2232"/>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CD196/CCR6</w:t>
            </w:r>
          </w:p>
        </w:tc>
        <w:tc>
          <w:tcPr>
            <w:tcW w:type="dxa" w:w="1584"/>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PerCP-Cy5.5</w:t>
            </w:r>
          </w:p>
        </w:tc>
        <w:tc>
          <w:tcPr>
            <w:tcW w:type="dxa" w:w="126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11A9</w:t>
            </w:r>
          </w:p>
        </w:tc>
        <w:tc>
          <w:tcPr>
            <w:tcW w:type="dxa" w:w="1800"/>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BD Biosciences</w:t>
            </w:r>
          </w:p>
        </w:tc>
        <w:tc>
          <w:tcPr>
            <w:tcW w:type="dxa" w:w="237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t>—</w:t>
            </w:r>
          </w:p>
        </w:tc>
        <w:tc>
          <w:tcPr>
            <w:tcW w:type="dxa" w:w="381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Th17-associated surface phenotype</w:t>
            </w:r>
          </w:p>
        </w:tc>
      </w:tr>
      <w:tr>
        <w:trPr>
          <w:cantSplit w:val="true"/>
          <w:cantSplit/>
        </w:trPr>
        <w:tc>
          <w:tcPr>
            <w:tcW w:type="dxa" w:w="605"/>
            <w:vAlign w:val="center"/>
            <w:tcMar>
              <w:top w:w="45" w:type="dxa"/>
              <w:start w:w="45" w:type="dxa"/>
              <w:bottom w:w="45" w:type="dxa"/>
              <w:end w:w="45" w:type="dxa"/>
            </w:tcMar>
          </w:tcPr>
          <w:p>
            <w:pPr>
              <w:spacing w:before="0" w:after="0" w:line="240" w:lineRule="auto"/>
              <w:jc w:val="left"/>
            </w:pPr>
            <w:r>
              <w:rPr>
                <w:rFonts w:ascii="Times New Roman" w:hAnsi="Times New Roman" w:eastAsia="Times New Roman"/>
                <w:sz w:val="17"/>
              </w:rPr>
            </w:r>
            <w:r>
              <w:rPr>
                <w:rFonts w:ascii="Times New Roman" w:hAnsi="Times New Roman" w:eastAsia="Times New Roman"/>
                <w:b w:val="0"/>
                <w:sz w:val="17"/>
              </w:rPr>
              <w:t>C</w:t>
            </w:r>
          </w:p>
        </w:tc>
        <w:tc>
          <w:tcPr>
            <w:tcW w:type="dxa" w:w="2232"/>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IL-17A</w:t>
            </w:r>
          </w:p>
        </w:tc>
        <w:tc>
          <w:tcPr>
            <w:tcW w:type="dxa" w:w="1584"/>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PE</w:t>
            </w:r>
          </w:p>
        </w:tc>
        <w:tc>
          <w:tcPr>
            <w:tcW w:type="dxa" w:w="126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SCPL1362</w:t>
            </w:r>
          </w:p>
        </w:tc>
        <w:tc>
          <w:tcPr>
            <w:tcW w:type="dxa" w:w="1800"/>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BD Biosciences</w:t>
            </w:r>
          </w:p>
        </w:tc>
        <w:tc>
          <w:tcPr>
            <w:tcW w:type="dxa" w:w="237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t>—</w:t>
            </w:r>
          </w:p>
        </w:tc>
        <w:tc>
          <w:tcPr>
            <w:tcW w:type="dxa" w:w="381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Intracellular IL-17A; distinct from kit clone N49-653</w:t>
            </w:r>
          </w:p>
        </w:tc>
      </w:tr>
      <w:tr>
        <w:trPr>
          <w:cantSplit w:val="true"/>
          <w:cantSplit/>
        </w:trPr>
        <w:tc>
          <w:tcPr>
            <w:tcW w:type="dxa" w:w="3816"/>
            <w:gridSpan w:val="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sz w:val="17"/>
              </w:rPr>
              <w:t>Panel D. Supporting reagents and controls</w:t>
            </w:r>
          </w:p>
        </w:tc>
      </w:tr>
      <w:tr>
        <w:trPr>
          <w:cantSplit w:val="true"/>
          <w:cantSplit/>
        </w:trPr>
        <w:tc>
          <w:tcPr>
            <w:tcW w:type="dxa" w:w="605"/>
            <w:vAlign w:val="center"/>
            <w:tcMar>
              <w:top w:w="45" w:type="dxa"/>
              <w:start w:w="45" w:type="dxa"/>
              <w:bottom w:w="45" w:type="dxa"/>
              <w:end w:w="45" w:type="dxa"/>
            </w:tcMar>
          </w:tcPr>
          <w:p>
            <w:pPr>
              <w:spacing w:before="0" w:after="0" w:line="240" w:lineRule="auto"/>
              <w:jc w:val="left"/>
            </w:pPr>
            <w:r>
              <w:rPr>
                <w:rFonts w:ascii="Times New Roman" w:hAnsi="Times New Roman" w:eastAsia="Times New Roman"/>
                <w:sz w:val="17"/>
              </w:rPr>
            </w:r>
            <w:r>
              <w:rPr>
                <w:rFonts w:ascii="Times New Roman" w:hAnsi="Times New Roman" w:eastAsia="Times New Roman"/>
                <w:b w:val="0"/>
                <w:sz w:val="17"/>
              </w:rPr>
              <w:t>D</w:t>
            </w:r>
          </w:p>
        </w:tc>
        <w:tc>
          <w:tcPr>
            <w:tcW w:type="dxa" w:w="2232"/>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Fixable viability dye</w:t>
            </w:r>
          </w:p>
        </w:tc>
        <w:tc>
          <w:tcPr>
            <w:tcW w:type="dxa" w:w="1584"/>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Panel-compatible</w:t>
            </w:r>
          </w:p>
        </w:tc>
        <w:tc>
          <w:tcPr>
            <w:tcW w:type="dxa" w:w="126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Not applicable</w:t>
            </w:r>
          </w:p>
        </w:tc>
        <w:tc>
          <w:tcPr>
            <w:tcW w:type="dxa" w:w="1800"/>
            <w:vAlign w:val="center"/>
            <w:tcMar>
              <w:top w:w="45" w:type="dxa"/>
              <w:start w:w="45" w:type="dxa"/>
              <w:bottom w:w="45" w:type="dxa"/>
              <w:end w:w="45" w:type="dxa"/>
            </w:tcMar>
          </w:tcPr>
          <w:p>
            <w:pPr>
              <w:spacing w:line="240" w:lineRule="auto" w:before="0" w:after="0"/>
              <w:jc w:val="center"/>
            </w:pPr>
            <w:r>
              <w:rPr>
                <w:rFonts w:ascii="Times New Roman" w:hAnsi="Times New Roman" w:eastAsia="Times New Roman"/>
                <w:sz w:val="17"/>
              </w:rPr>
              <w:t>Not available in archived laboratory records</w:t>
            </w:r>
          </w:p>
        </w:tc>
        <w:tc>
          <w:tcPr>
            <w:tcW w:type="dxa" w:w="2376"/>
            <w:vAlign w:val="center"/>
            <w:tcMar>
              <w:top w:w="45" w:type="dxa"/>
              <w:start w:w="45" w:type="dxa"/>
              <w:bottom w:w="45" w:type="dxa"/>
              <w:end w:w="45" w:type="dxa"/>
            </w:tcMar>
          </w:tcPr>
          <w:p>
            <w:pPr>
              <w:spacing w:line="240" w:lineRule="auto" w:before="0" w:after="0"/>
              <w:jc w:val="center"/>
            </w:pPr>
            <w:r>
              <w:rPr>
                <w:rFonts w:ascii="Times New Roman" w:hAnsi="Times New Roman" w:eastAsia="Times New Roman"/>
                <w:sz w:val="17"/>
              </w:rPr>
              <w:t>Not available in archived laboratory records</w:t>
            </w:r>
          </w:p>
        </w:tc>
        <w:tc>
          <w:tcPr>
            <w:tcW w:type="dxa" w:w="381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Exclusion of nonviable cells</w:t>
            </w:r>
          </w:p>
        </w:tc>
      </w:tr>
      <w:tr>
        <w:trPr>
          <w:cantSplit w:val="true"/>
          <w:cantSplit/>
        </w:trPr>
        <w:tc>
          <w:tcPr>
            <w:tcW w:type="dxa" w:w="605"/>
            <w:vAlign w:val="center"/>
            <w:tcMar>
              <w:top w:w="45" w:type="dxa"/>
              <w:start w:w="45" w:type="dxa"/>
              <w:bottom w:w="45" w:type="dxa"/>
              <w:end w:w="45" w:type="dxa"/>
            </w:tcMar>
          </w:tcPr>
          <w:p>
            <w:pPr>
              <w:spacing w:before="0" w:after="0" w:line="240" w:lineRule="auto"/>
              <w:jc w:val="left"/>
            </w:pPr>
            <w:r>
              <w:rPr>
                <w:rFonts w:ascii="Times New Roman" w:hAnsi="Times New Roman" w:eastAsia="Times New Roman"/>
                <w:sz w:val="17"/>
              </w:rPr>
            </w:r>
            <w:r>
              <w:rPr>
                <w:rFonts w:ascii="Times New Roman" w:hAnsi="Times New Roman" w:eastAsia="Times New Roman"/>
                <w:b w:val="0"/>
                <w:sz w:val="17"/>
              </w:rPr>
              <w:t>D</w:t>
            </w:r>
          </w:p>
        </w:tc>
        <w:tc>
          <w:tcPr>
            <w:tcW w:type="dxa" w:w="2232"/>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Single-stained compensation beads/controls</w:t>
            </w:r>
          </w:p>
        </w:tc>
        <w:tc>
          <w:tcPr>
            <w:tcW w:type="dxa" w:w="1584"/>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Matched to each fluorochrome</w:t>
            </w:r>
          </w:p>
        </w:tc>
        <w:tc>
          <w:tcPr>
            <w:tcW w:type="dxa" w:w="126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Not applicable</w:t>
            </w:r>
          </w:p>
        </w:tc>
        <w:tc>
          <w:tcPr>
            <w:tcW w:type="dxa" w:w="1800"/>
            <w:vAlign w:val="center"/>
            <w:tcMar>
              <w:top w:w="45" w:type="dxa"/>
              <w:start w:w="45" w:type="dxa"/>
              <w:bottom w:w="45" w:type="dxa"/>
              <w:end w:w="45" w:type="dxa"/>
            </w:tcMar>
          </w:tcPr>
          <w:p>
            <w:pPr>
              <w:spacing w:line="240" w:lineRule="auto" w:before="0" w:after="0"/>
              <w:jc w:val="center"/>
            </w:pPr>
            <w:r>
              <w:rPr>
                <w:rFonts w:ascii="Times New Roman" w:hAnsi="Times New Roman" w:eastAsia="Times New Roman"/>
                <w:sz w:val="17"/>
              </w:rPr>
              <w:t>Not available in archived laboratory records</w:t>
            </w:r>
          </w:p>
        </w:tc>
        <w:tc>
          <w:tcPr>
            <w:tcW w:type="dxa" w:w="2376"/>
            <w:vAlign w:val="center"/>
            <w:tcMar>
              <w:top w:w="45" w:type="dxa"/>
              <w:start w:w="45" w:type="dxa"/>
              <w:bottom w:w="45" w:type="dxa"/>
              <w:end w:w="45" w:type="dxa"/>
            </w:tcMar>
          </w:tcPr>
          <w:p>
            <w:pPr>
              <w:spacing w:line="240" w:lineRule="auto" w:before="0" w:after="0"/>
              <w:jc w:val="center"/>
            </w:pPr>
            <w:r>
              <w:rPr>
                <w:rFonts w:ascii="Times New Roman" w:hAnsi="Times New Roman" w:eastAsia="Times New Roman"/>
                <w:sz w:val="17"/>
              </w:rPr>
              <w:t>Not available in archived laboratory records</w:t>
            </w:r>
          </w:p>
        </w:tc>
        <w:tc>
          <w:tcPr>
            <w:tcW w:type="dxa" w:w="381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Compensation-matrix calculation</w:t>
            </w:r>
          </w:p>
        </w:tc>
      </w:tr>
      <w:tr>
        <w:trPr>
          <w:cantSplit w:val="true"/>
          <w:cantSplit/>
        </w:trPr>
        <w:tc>
          <w:tcPr>
            <w:tcW w:type="dxa" w:w="605"/>
            <w:vAlign w:val="center"/>
            <w:tcMar>
              <w:top w:w="45" w:type="dxa"/>
              <w:start w:w="45" w:type="dxa"/>
              <w:bottom w:w="45" w:type="dxa"/>
              <w:end w:w="45" w:type="dxa"/>
            </w:tcMar>
          </w:tcPr>
          <w:p>
            <w:pPr>
              <w:spacing w:before="0" w:after="0" w:line="240" w:lineRule="auto"/>
              <w:jc w:val="left"/>
            </w:pPr>
            <w:r>
              <w:rPr>
                <w:rFonts w:ascii="Times New Roman" w:hAnsi="Times New Roman" w:eastAsia="Times New Roman"/>
                <w:sz w:val="17"/>
              </w:rPr>
            </w:r>
            <w:r>
              <w:rPr>
                <w:rFonts w:ascii="Times New Roman" w:hAnsi="Times New Roman" w:eastAsia="Times New Roman"/>
                <w:b w:val="0"/>
                <w:sz w:val="17"/>
              </w:rPr>
              <w:t>D</w:t>
            </w:r>
          </w:p>
        </w:tc>
        <w:tc>
          <w:tcPr>
            <w:tcW w:type="dxa" w:w="2232"/>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FOXP3 fixation/permeabilization buffer system</w:t>
            </w:r>
          </w:p>
        </w:tc>
        <w:tc>
          <w:tcPr>
            <w:tcW w:type="dxa" w:w="1584"/>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Not applicable</w:t>
            </w:r>
          </w:p>
        </w:tc>
        <w:tc>
          <w:tcPr>
            <w:tcW w:type="dxa" w:w="126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Not applicable</w:t>
            </w:r>
          </w:p>
        </w:tc>
        <w:tc>
          <w:tcPr>
            <w:tcW w:type="dxa" w:w="1800"/>
            <w:vAlign w:val="center"/>
            <w:tcMar>
              <w:top w:w="45" w:type="dxa"/>
              <w:start w:w="45" w:type="dxa"/>
              <w:bottom w:w="45" w:type="dxa"/>
              <w:end w:w="45" w:type="dxa"/>
            </w:tcMar>
          </w:tcPr>
          <w:p>
            <w:pPr>
              <w:spacing w:line="240" w:lineRule="auto" w:before="0" w:after="0"/>
              <w:jc w:val="center"/>
            </w:pPr>
            <w:r>
              <w:rPr>
                <w:rFonts w:ascii="Times New Roman" w:hAnsi="Times New Roman" w:eastAsia="Times New Roman"/>
                <w:sz w:val="17"/>
              </w:rPr>
              <w:t>Not available in archived laboratory records</w:t>
            </w:r>
          </w:p>
        </w:tc>
        <w:tc>
          <w:tcPr>
            <w:tcW w:type="dxa" w:w="2376"/>
            <w:vAlign w:val="center"/>
            <w:tcMar>
              <w:top w:w="45" w:type="dxa"/>
              <w:start w:w="45" w:type="dxa"/>
              <w:bottom w:w="45" w:type="dxa"/>
              <w:end w:w="45" w:type="dxa"/>
            </w:tcMar>
          </w:tcPr>
          <w:p>
            <w:pPr>
              <w:spacing w:line="240" w:lineRule="auto" w:before="0" w:after="0"/>
              <w:jc w:val="center"/>
            </w:pPr>
            <w:r>
              <w:rPr>
                <w:rFonts w:ascii="Times New Roman" w:hAnsi="Times New Roman" w:eastAsia="Times New Roman"/>
                <w:sz w:val="17"/>
              </w:rPr>
              <w:t>Not available in archived laboratory records</w:t>
            </w:r>
          </w:p>
        </w:tc>
        <w:tc>
          <w:tcPr>
            <w:tcW w:type="dxa" w:w="381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Intracellular FOXP3 staining in Panel B</w:t>
            </w:r>
          </w:p>
        </w:tc>
      </w:tr>
      <w:tr>
        <w:trPr>
          <w:cantSplit w:val="true"/>
          <w:cantSplit/>
        </w:trPr>
        <w:tc>
          <w:tcPr>
            <w:tcW w:type="dxa" w:w="605"/>
            <w:vAlign w:val="center"/>
            <w:tcMar>
              <w:top w:w="45" w:type="dxa"/>
              <w:start w:w="45" w:type="dxa"/>
              <w:bottom w:w="45" w:type="dxa"/>
              <w:end w:w="45" w:type="dxa"/>
            </w:tcMar>
          </w:tcPr>
          <w:p>
            <w:pPr>
              <w:spacing w:before="0" w:after="0" w:line="240" w:lineRule="auto"/>
              <w:jc w:val="left"/>
            </w:pPr>
            <w:r>
              <w:rPr>
                <w:rFonts w:ascii="Times New Roman" w:hAnsi="Times New Roman" w:eastAsia="Times New Roman"/>
                <w:sz w:val="17"/>
              </w:rPr>
            </w:r>
            <w:r>
              <w:rPr>
                <w:rFonts w:ascii="Times New Roman" w:hAnsi="Times New Roman" w:eastAsia="Times New Roman"/>
                <w:b w:val="0"/>
                <w:sz w:val="17"/>
              </w:rPr>
              <w:t>D</w:t>
            </w:r>
          </w:p>
        </w:tc>
        <w:tc>
          <w:tcPr>
            <w:tcW w:type="dxa" w:w="2232"/>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PMA</w:t>
            </w:r>
          </w:p>
        </w:tc>
        <w:tc>
          <w:tcPr>
            <w:tcW w:type="dxa" w:w="1584"/>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Not applicable</w:t>
            </w:r>
          </w:p>
        </w:tc>
        <w:tc>
          <w:tcPr>
            <w:tcW w:type="dxa" w:w="126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Not applicable</w:t>
            </w:r>
          </w:p>
        </w:tc>
        <w:tc>
          <w:tcPr>
            <w:tcW w:type="dxa" w:w="1800"/>
            <w:vAlign w:val="center"/>
            <w:tcMar>
              <w:top w:w="45" w:type="dxa"/>
              <w:start w:w="45" w:type="dxa"/>
              <w:bottom w:w="45" w:type="dxa"/>
              <w:end w:w="45" w:type="dxa"/>
            </w:tcMar>
          </w:tcPr>
          <w:p>
            <w:pPr>
              <w:spacing w:line="240" w:lineRule="auto" w:before="0" w:after="0"/>
              <w:jc w:val="center"/>
            </w:pPr>
            <w:r>
              <w:rPr>
                <w:rFonts w:ascii="Times New Roman" w:hAnsi="Times New Roman" w:eastAsia="Times New Roman"/>
                <w:sz w:val="17"/>
              </w:rPr>
              <w:t>Not available in archived laboratory records</w:t>
            </w:r>
          </w:p>
        </w:tc>
        <w:tc>
          <w:tcPr>
            <w:tcW w:type="dxa" w:w="2376"/>
            <w:vAlign w:val="center"/>
            <w:tcMar>
              <w:top w:w="45" w:type="dxa"/>
              <w:start w:w="45" w:type="dxa"/>
              <w:bottom w:w="45" w:type="dxa"/>
              <w:end w:w="45" w:type="dxa"/>
            </w:tcMar>
          </w:tcPr>
          <w:p>
            <w:pPr>
              <w:spacing w:line="240" w:lineRule="auto" w:before="0" w:after="0"/>
              <w:jc w:val="center"/>
            </w:pPr>
            <w:r>
              <w:rPr>
                <w:rFonts w:ascii="Times New Roman" w:hAnsi="Times New Roman" w:eastAsia="Times New Roman"/>
                <w:sz w:val="17"/>
              </w:rPr>
              <w:t>Not available in archived laboratory records</w:t>
            </w:r>
          </w:p>
        </w:tc>
        <w:tc>
          <w:tcPr>
            <w:tcW w:type="dxa" w:w="381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Cell stimulation for intracellular cytokine staining</w:t>
            </w:r>
          </w:p>
        </w:tc>
      </w:tr>
      <w:tr>
        <w:trPr>
          <w:cantSplit w:val="true"/>
          <w:cantSplit/>
        </w:trPr>
        <w:tc>
          <w:tcPr>
            <w:tcW w:type="dxa" w:w="605"/>
            <w:vAlign w:val="center"/>
            <w:tcMar>
              <w:top w:w="45" w:type="dxa"/>
              <w:start w:w="45" w:type="dxa"/>
              <w:bottom w:w="45" w:type="dxa"/>
              <w:end w:w="45" w:type="dxa"/>
            </w:tcMar>
          </w:tcPr>
          <w:p>
            <w:pPr>
              <w:spacing w:before="0" w:after="0" w:line="240" w:lineRule="auto"/>
              <w:jc w:val="left"/>
            </w:pPr>
            <w:r>
              <w:rPr>
                <w:rFonts w:ascii="Times New Roman" w:hAnsi="Times New Roman" w:eastAsia="Times New Roman"/>
                <w:sz w:val="17"/>
              </w:rPr>
            </w:r>
            <w:r>
              <w:rPr>
                <w:rFonts w:ascii="Times New Roman" w:hAnsi="Times New Roman" w:eastAsia="Times New Roman"/>
                <w:b w:val="0"/>
                <w:sz w:val="17"/>
              </w:rPr>
              <w:t>D</w:t>
            </w:r>
          </w:p>
        </w:tc>
        <w:tc>
          <w:tcPr>
            <w:tcW w:type="dxa" w:w="2232"/>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Ionomycin</w:t>
            </w:r>
          </w:p>
        </w:tc>
        <w:tc>
          <w:tcPr>
            <w:tcW w:type="dxa" w:w="1584"/>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Not applicable</w:t>
            </w:r>
          </w:p>
        </w:tc>
        <w:tc>
          <w:tcPr>
            <w:tcW w:type="dxa" w:w="126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Not applicable</w:t>
            </w:r>
          </w:p>
        </w:tc>
        <w:tc>
          <w:tcPr>
            <w:tcW w:type="dxa" w:w="1800"/>
            <w:vAlign w:val="center"/>
            <w:tcMar>
              <w:top w:w="45" w:type="dxa"/>
              <w:start w:w="45" w:type="dxa"/>
              <w:bottom w:w="45" w:type="dxa"/>
              <w:end w:w="45" w:type="dxa"/>
            </w:tcMar>
          </w:tcPr>
          <w:p>
            <w:pPr>
              <w:spacing w:line="240" w:lineRule="auto" w:before="0" w:after="0"/>
              <w:jc w:val="center"/>
            </w:pPr>
            <w:r>
              <w:rPr>
                <w:rFonts w:ascii="Times New Roman" w:hAnsi="Times New Roman" w:eastAsia="Times New Roman"/>
                <w:sz w:val="17"/>
              </w:rPr>
              <w:t>Not available in archived laboratory records</w:t>
            </w:r>
          </w:p>
        </w:tc>
        <w:tc>
          <w:tcPr>
            <w:tcW w:type="dxa" w:w="2376"/>
            <w:vAlign w:val="center"/>
            <w:tcMar>
              <w:top w:w="45" w:type="dxa"/>
              <w:start w:w="45" w:type="dxa"/>
              <w:bottom w:w="45" w:type="dxa"/>
              <w:end w:w="45" w:type="dxa"/>
            </w:tcMar>
          </w:tcPr>
          <w:p>
            <w:pPr>
              <w:spacing w:line="240" w:lineRule="auto" w:before="0" w:after="0"/>
              <w:jc w:val="center"/>
            </w:pPr>
            <w:r>
              <w:rPr>
                <w:rFonts w:ascii="Times New Roman" w:hAnsi="Times New Roman" w:eastAsia="Times New Roman"/>
                <w:sz w:val="17"/>
              </w:rPr>
              <w:t>Not available in archived laboratory records</w:t>
            </w:r>
          </w:p>
        </w:tc>
        <w:tc>
          <w:tcPr>
            <w:tcW w:type="dxa" w:w="381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Cell stimulation for intracellular cytokine staining</w:t>
            </w:r>
          </w:p>
        </w:tc>
      </w:tr>
      <w:tr>
        <w:trPr>
          <w:cantSplit w:val="true"/>
          <w:cantSplit/>
        </w:trPr>
        <w:tc>
          <w:tcPr>
            <w:tcW w:type="dxa" w:w="605"/>
            <w:vAlign w:val="center"/>
            <w:tcMar>
              <w:top w:w="45" w:type="dxa"/>
              <w:start w:w="45" w:type="dxa"/>
              <w:bottom w:w="45" w:type="dxa"/>
              <w:end w:w="45" w:type="dxa"/>
            </w:tcMar>
          </w:tcPr>
          <w:p>
            <w:pPr>
              <w:spacing w:before="0" w:after="0" w:line="240" w:lineRule="auto"/>
              <w:jc w:val="left"/>
            </w:pPr>
            <w:r>
              <w:rPr>
                <w:rFonts w:ascii="Times New Roman" w:hAnsi="Times New Roman" w:eastAsia="Times New Roman"/>
                <w:sz w:val="17"/>
              </w:rPr>
            </w:r>
            <w:r>
              <w:rPr>
                <w:rFonts w:ascii="Times New Roman" w:hAnsi="Times New Roman" w:eastAsia="Times New Roman"/>
                <w:b w:val="0"/>
                <w:sz w:val="17"/>
              </w:rPr>
              <w:t>D</w:t>
            </w:r>
          </w:p>
        </w:tc>
        <w:tc>
          <w:tcPr>
            <w:tcW w:type="dxa" w:w="2232"/>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GolgiStop or equivalent protein-transport inhibitor</w:t>
            </w:r>
          </w:p>
        </w:tc>
        <w:tc>
          <w:tcPr>
            <w:tcW w:type="dxa" w:w="1584"/>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Not applicable</w:t>
            </w:r>
          </w:p>
        </w:tc>
        <w:tc>
          <w:tcPr>
            <w:tcW w:type="dxa" w:w="1267"/>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Not applicable</w:t>
            </w:r>
          </w:p>
        </w:tc>
        <w:tc>
          <w:tcPr>
            <w:tcW w:type="dxa" w:w="1800"/>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t>BD Biosciences (supplied with Kit 560751)</w:t>
            </w:r>
          </w:p>
        </w:tc>
        <w:tc>
          <w:tcPr>
            <w:tcW w:type="dxa" w:w="237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t>Kit component 51-2092KZ</w:t>
            </w:r>
          </w:p>
        </w:tc>
        <w:tc>
          <w:tcPr>
            <w:tcW w:type="dxa" w:w="3816"/>
            <w:vAlign w:val="center"/>
            <w:tcMar>
              <w:top w:w="45" w:type="dxa"/>
              <w:start w:w="45" w:type="dxa"/>
              <w:bottom w:w="45" w:type="dxa"/>
              <w:end w:w="45" w:type="dxa"/>
            </w:tcMar>
          </w:tcPr>
          <w:p>
            <w:pPr>
              <w:spacing w:before="0" w:after="0" w:line="240" w:lineRule="auto"/>
              <w:jc w:val="center"/>
            </w:pPr>
            <w:r>
              <w:rPr>
                <w:rFonts w:ascii="Times New Roman" w:hAnsi="Times New Roman" w:eastAsia="Times New Roman"/>
                <w:sz w:val="17"/>
              </w:rPr>
            </w:r>
            <w:r>
              <w:rPr>
                <w:rFonts w:ascii="Times New Roman" w:hAnsi="Times New Roman" w:eastAsia="Times New Roman"/>
                <w:b w:val="0"/>
                <w:sz w:val="17"/>
              </w:rPr>
              <w:t>Intracellular cytokine accumulation</w:t>
            </w:r>
          </w:p>
        </w:tc>
      </w:tr>
    </w:tbl>
    <w:p>
      <w:pPr>
        <w:spacing w:before="40" w:after="60" w:line="240" w:lineRule="auto"/>
      </w:pPr>
      <w:r>
        <w:rPr>
          <w:rFonts w:ascii="Times New Roman" w:hAnsi="Times New Roman" w:eastAsia="Times New Roman"/>
          <w:sz w:val="17"/>
        </w:rPr>
        <w:t>Notes: Panels A–C were separate tube-specific combinations and should not be interpreted as one simultaneous cocktail. Panel A was the BD Human Th1/Th2/Th17 Phenotyping Kit (catalog no. 560751). Panel B defined regulatory T cells as viable singlet CD4+CD25highCD127low/−FOXP3+ lymphocytes. Panel C was an ancillary CD4–CD161–CCR6–IL-17A phenotyping panel, was distinct from the functional IL-17A readout in Panel A, and was not used in the primary statistical analyses. Panel D lists supporting reagents documented in the study workflow. Only manufacturer/source and catalog or component identifiers verified from the formal-study records are shown. For ancillary reagents or controls used in the workflow but not traceable in the archived laboratory record, the corresponding manufacturer/source and catalog/lot fields are reported as “Not available in archived laboratory records” rather than inferred retrospectively. Lot numbers are omitted when unavailable. Product identifiers from pilot experiments or publications were not substituted because they do not establish which products were used for the formal study samples. No anti-CD3 reagent is listed because the analytical parent population was viable singlet CD4+ lymphocytes rather than a CD3+ parent gate.</w:t>
      </w:r>
    </w:p>
    <w:p>
      <w:pPr>
        <w:pageBreakBefore/>
        <w:spacing w:after="60" w:line="240" w:lineRule="auto" w:before="160"/>
        <w:keepNext/>
      </w:pPr>
      <w:r>
        <w:rPr>
          <w:rFonts w:ascii="Times New Roman" w:hAnsi="Times New Roman" w:eastAsia="Times New Roman"/>
          <w:b/>
          <w:sz w:val="19"/>
        </w:rPr>
        <w:t>Supplementary Table S10. Primer sequences used for quantitative real-time PCR</w:t>
      </w:r>
    </w:p>
    <w:tbl>
      <w:tblPr>
        <w:tblStyle w:val="TableGrid"/>
        <w:tblW w:type="auto" w:w="0"/>
        <w:tblLayout w:type="autofit"/>
        <w:tblLook w:firstColumn="1" w:firstRow="1" w:lastColumn="0" w:lastRow="0" w:noHBand="0" w:noVBand="1" w:val="04A0"/>
        <w:jc w:val="center"/>
        <w:tblBorders>
          <w:top w:val="single" w:sz="12" w:space="0" w:color="000000"/>
          <w:bottom w:val="single" w:sz="12" w:space="0" w:color="000000"/>
          <w:insideH w:val="single" w:sz="6" w:space="0" w:color="B7B7B7"/>
          <w:left w:val="nil"/>
          <w:right w:val="nil"/>
          <w:insideV w:val="nil"/>
        </w:tblBorders>
      </w:tblPr>
      <w:tblGrid>
        <w:gridCol w:w="5083"/>
        <w:gridCol w:w="5083"/>
        <w:gridCol w:w="5083"/>
      </w:tblGrid>
      <w:tr>
        <w:trPr>
          <w:tblHeader w:val="true"/>
          <w:tblHeader w:val="true"/>
          <w:cantSplit w:val="true"/>
        </w:trPr>
        <w:tc>
          <w:tcPr>
            <w:tcW w:type="dxa" w:w="144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Gene</w:t>
            </w:r>
          </w:p>
        </w:tc>
        <w:tc>
          <w:tcPr>
            <w:tcW w:type="dxa" w:w="39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Forward primer (5′–3′)</w:t>
            </w:r>
          </w:p>
        </w:tc>
        <w:tc>
          <w:tcPr>
            <w:tcW w:type="dxa" w:w="39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b/>
                <w:sz w:val="17"/>
              </w:rPr>
              <w:t>Reverse primer (5′–3′)</w:t>
            </w:r>
          </w:p>
        </w:tc>
      </w:tr>
      <w:tr>
        <w:trPr>
          <w:cantSplit w:val="true"/>
        </w:trPr>
        <w:tc>
          <w:tcPr>
            <w:tcW w:type="dxa" w:w="144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sz w:val="17"/>
              </w:rPr>
              <w:t>TBX21</w:t>
            </w:r>
          </w:p>
        </w:tc>
        <w:tc>
          <w:tcPr>
            <w:tcW w:type="dxa" w:w="39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CAGGGACGGCGGATGTTCC</w:t>
            </w:r>
          </w:p>
        </w:tc>
        <w:tc>
          <w:tcPr>
            <w:tcW w:type="dxa" w:w="39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TCCACACTGCACCCACTTGC</w:t>
            </w:r>
          </w:p>
        </w:tc>
      </w:tr>
      <w:tr>
        <w:trPr>
          <w:cantSplit w:val="true"/>
        </w:trPr>
        <w:tc>
          <w:tcPr>
            <w:tcW w:type="dxa" w:w="144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sz w:val="17"/>
              </w:rPr>
              <w:t>GATA3</w:t>
            </w:r>
          </w:p>
        </w:tc>
        <w:tc>
          <w:tcPr>
            <w:tcW w:type="dxa" w:w="39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ACAGAACCGGCCCCTCATTAA</w:t>
            </w:r>
          </w:p>
        </w:tc>
        <w:tc>
          <w:tcPr>
            <w:tcW w:type="dxa" w:w="39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TGGTCTGACAGTTCGCACAGGA</w:t>
            </w:r>
          </w:p>
        </w:tc>
      </w:tr>
      <w:tr>
        <w:trPr>
          <w:cantSplit w:val="true"/>
        </w:trPr>
        <w:tc>
          <w:tcPr>
            <w:tcW w:type="dxa" w:w="144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sz w:val="17"/>
              </w:rPr>
              <w:t>RORC2</w:t>
            </w:r>
          </w:p>
        </w:tc>
        <w:tc>
          <w:tcPr>
            <w:tcW w:type="dxa" w:w="39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GCCAAGGCCGGCAGAGCCAA</w:t>
            </w:r>
          </w:p>
        </w:tc>
        <w:tc>
          <w:tcPr>
            <w:tcW w:type="dxa" w:w="39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AAGAAGCCCTTGCACCCCTCACA</w:t>
            </w:r>
          </w:p>
        </w:tc>
      </w:tr>
      <w:tr>
        <w:trPr>
          <w:cantSplit w:val="true"/>
        </w:trPr>
        <w:tc>
          <w:tcPr>
            <w:tcW w:type="dxa" w:w="144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sz w:val="17"/>
              </w:rPr>
              <w:t>FOXP3</w:t>
            </w:r>
          </w:p>
        </w:tc>
        <w:tc>
          <w:tcPr>
            <w:tcW w:type="dxa" w:w="39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GTGGCCCGGATGTGAGAAG</w:t>
            </w:r>
          </w:p>
        </w:tc>
        <w:tc>
          <w:tcPr>
            <w:tcW w:type="dxa" w:w="39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GGAGCCCTTGTCGGATGATG</w:t>
            </w:r>
          </w:p>
        </w:tc>
      </w:tr>
      <w:tr>
        <w:trPr>
          <w:cantSplit w:val="true"/>
        </w:trPr>
        <w:tc>
          <w:tcPr>
            <w:tcW w:type="dxa" w:w="144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sz w:val="17"/>
              </w:rPr>
              <w:t>IFNG</w:t>
            </w:r>
          </w:p>
        </w:tc>
        <w:tc>
          <w:tcPr>
            <w:tcW w:type="dxa" w:w="39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CATCCAAAAGAGTGTGGAGACA</w:t>
            </w:r>
          </w:p>
        </w:tc>
        <w:tc>
          <w:tcPr>
            <w:tcW w:type="dxa" w:w="39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TGCTTTGCGTTGGACATTCAAG</w:t>
            </w:r>
          </w:p>
        </w:tc>
      </w:tr>
      <w:tr>
        <w:trPr>
          <w:cantSplit w:val="true"/>
        </w:trPr>
        <w:tc>
          <w:tcPr>
            <w:tcW w:type="dxa" w:w="144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sz w:val="17"/>
              </w:rPr>
              <w:t>IL4</w:t>
            </w:r>
          </w:p>
        </w:tc>
        <w:tc>
          <w:tcPr>
            <w:tcW w:type="dxa" w:w="39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GGTCACAGGAGAAGGGACGCC</w:t>
            </w:r>
          </w:p>
        </w:tc>
        <w:tc>
          <w:tcPr>
            <w:tcW w:type="dxa" w:w="39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TGCGAAGCACCTTGGAAGCCC</w:t>
            </w:r>
          </w:p>
        </w:tc>
      </w:tr>
      <w:tr>
        <w:trPr>
          <w:cantSplit w:val="true"/>
        </w:trPr>
        <w:tc>
          <w:tcPr>
            <w:tcW w:type="dxa" w:w="144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sz w:val="17"/>
              </w:rPr>
              <w:t>B2M</w:t>
            </w:r>
          </w:p>
        </w:tc>
        <w:tc>
          <w:tcPr>
            <w:tcW w:type="dxa" w:w="39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GAGGCTATCCAGCGTACTCCA</w:t>
            </w:r>
          </w:p>
        </w:tc>
        <w:tc>
          <w:tcPr>
            <w:tcW w:type="dxa" w:w="39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CGGCAGGCATACTCATCTTTT</w:t>
            </w:r>
          </w:p>
        </w:tc>
      </w:tr>
      <w:tr>
        <w:trPr>
          <w:cantSplit w:val="true"/>
        </w:trPr>
        <w:tc>
          <w:tcPr>
            <w:tcW w:type="dxa" w:w="144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sz w:val="17"/>
              </w:rPr>
              <w:t>HPRT1</w:t>
            </w:r>
          </w:p>
        </w:tc>
        <w:tc>
          <w:tcPr>
            <w:tcW w:type="dxa" w:w="39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TTTATTCCTCATGGACTAATTATGGA</w:t>
            </w:r>
          </w:p>
        </w:tc>
        <w:tc>
          <w:tcPr>
            <w:tcW w:type="dxa" w:w="39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CCTCCCATCTCCTTCATCAC</w:t>
            </w:r>
          </w:p>
        </w:tc>
      </w:tr>
      <w:tr>
        <w:trPr>
          <w:cantSplit w:val="true"/>
        </w:trPr>
        <w:tc>
          <w:tcPr>
            <w:tcW w:type="dxa" w:w="1440"/>
            <w:vAlign w:val="center"/>
            <w:tcMar>
              <w:top w:w="45" w:type="dxa"/>
              <w:start w:w="45" w:type="dxa"/>
              <w:bottom w:w="45" w:type="dxa"/>
              <w:end w:w="45" w:type="dxa"/>
            </w:tcMar>
          </w:tcPr>
          <w:p>
            <w:pPr>
              <w:spacing w:line="240" w:lineRule="auto" w:after="0" w:before="0"/>
              <w:jc w:val="left"/>
            </w:pPr>
            <w:r>
              <w:rPr>
                <w:rFonts w:ascii="Times New Roman" w:hAnsi="Times New Roman" w:eastAsia="Times New Roman"/>
                <w:b/>
                <w:sz w:val="17"/>
              </w:rPr>
              <w:t>ACTB</w:t>
            </w:r>
          </w:p>
        </w:tc>
        <w:tc>
          <w:tcPr>
            <w:tcW w:type="dxa" w:w="39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GAAGATCAAGATCATTGCTCCT</w:t>
            </w:r>
          </w:p>
        </w:tc>
        <w:tc>
          <w:tcPr>
            <w:tcW w:type="dxa" w:w="3960"/>
            <w:vAlign w:val="center"/>
            <w:tcMar>
              <w:top w:w="45" w:type="dxa"/>
              <w:start w:w="45" w:type="dxa"/>
              <w:bottom w:w="45" w:type="dxa"/>
              <w:end w:w="45" w:type="dxa"/>
            </w:tcMar>
          </w:tcPr>
          <w:p>
            <w:pPr>
              <w:spacing w:line="240" w:lineRule="auto" w:after="0" w:before="0"/>
              <w:jc w:val="center"/>
            </w:pPr>
            <w:r>
              <w:rPr>
                <w:rFonts w:ascii="Times New Roman" w:hAnsi="Times New Roman" w:eastAsia="Times New Roman"/>
                <w:sz w:val="17"/>
              </w:rPr>
              <w:t>TACTCCTGCTTGCTGATCCA</w:t>
            </w:r>
          </w:p>
        </w:tc>
      </w:tr>
    </w:tbl>
    <w:p>
      <w:pPr>
        <w:spacing w:before="40" w:after="60" w:line="240" w:lineRule="auto"/>
      </w:pPr>
      <w:r>
        <w:rPr>
          <w:rFonts w:ascii="Times New Roman" w:hAnsi="Times New Roman" w:eastAsia="Times New Roman"/>
          <w:sz w:val="17"/>
        </w:rPr>
        <w:t>Notes: All primer sequences are presented in the 5′ to 3′ direction. The primary analyses reported in the main manuscript used TBX21, GATA3, RORC2, FOXP3, B2M, and HPRT1. IFNG, IL4, and ACTB are listed as additional assays in the study qPCR panel. RORC2 denotes the RORC isoform encoding RORγt. The target-gene measurements were obtained from total RNA extracted from unsorted PBMCs and represent PBMC-level rather than CD4+ T-cell-specific transcriptional signals.</w:t>
      </w:r>
    </w:p>
    <w:p>
      <w:pPr>
        <w:keepNext/>
        <w:pageBreakBefore/>
        <w:spacing w:after="60" w:line="240" w:lineRule="auto" w:before="160"/>
      </w:pPr>
      <w:r>
        <w:rPr>
          <w:rFonts w:ascii="Times New Roman" w:hAnsi="Times New Roman" w:eastAsia="Times New Roman"/>
          <w:b/>
          <w:sz w:val="19"/>
        </w:rPr>
        <w:t>Supplementary Table S11. Within-T1DM correlations between cellular phenotypes and corresponding PBMC transcript measurements</w:t>
      </w:r>
    </w:p>
    <w:p>
      <w:pPr>
        <w:spacing w:after="60" w:line="240" w:lineRule="auto" w:before="40"/>
      </w:pPr>
      <w:r>
        <w:rPr>
          <w:rFonts w:ascii="Times New Roman" w:hAnsi="Times New Roman" w:eastAsia="Times New Roman"/>
          <w:b w:val="0"/>
          <w:sz w:val="17"/>
        </w:rPr>
        <w:t>Notes: Two-sided Spearman rank correlations were calculated among all 53 participants with T1DM. Percentile 95% confidence intervals were obtained from 10,000 participant-level nonparametric bootstrap resamples (random seed 20260717). BH-FDR correction was applied separately across the four prespecified corresponding marker pairs and across the two exploratory axis-level correlations. All bootstrap confidence intervals included zero. Non-significant correlations do not establish equivalence or absence of a biological relationship. PBMC transcript measurements were obtained from unsorted PBMCs.</w:t>
      </w:r>
    </w:p>
    <w:tbl>
      <w:tblPr>
        <w:tblStyle w:val="TableGrid"/>
        <w:tblW w:type="dxa" w:w="13896"/>
        <w:jc w:val="center"/>
        <w:tblLayout w:type="autofit"/>
        <w:tblLook w:firstColumn="1" w:firstRow="1" w:lastColumn="0" w:lastRow="0" w:noHBand="0" w:noVBand="1" w:val="04A0"/>
      </w:tblPr>
      <w:tblGrid>
        <w:gridCol w:w="1656"/>
        <w:gridCol w:w="5832"/>
        <w:gridCol w:w="648"/>
        <w:gridCol w:w="1224"/>
        <w:gridCol w:w="2088"/>
        <w:gridCol w:w="1224"/>
        <w:gridCol w:w="1224"/>
      </w:tblGrid>
      <w:tr>
        <w:trPr>
          <w:tblHeader w:val="true"/>
          <w:cantSplit w:val="true"/>
        </w:trPr>
        <w:tc>
          <w:tcPr>
            <w:tcW w:type="dxa" w:w="1656"/>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sz w:val="17"/>
              </w:rPr>
              <w:t>Analysis</w:t>
            </w:r>
          </w:p>
        </w:tc>
        <w:tc>
          <w:tcPr>
            <w:tcW w:type="dxa" w:w="5832"/>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sz w:val="17"/>
              </w:rPr>
              <w:t>Comparison</w:t>
            </w:r>
          </w:p>
        </w:tc>
        <w:tc>
          <w:tcPr>
            <w:tcW w:type="dxa" w:w="648"/>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sz w:val="17"/>
              </w:rPr>
              <w:t>n</w:t>
            </w:r>
          </w:p>
        </w:tc>
        <w:tc>
          <w:tcPr>
            <w:tcW w:type="dxa" w:w="1224"/>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sz w:val="17"/>
              </w:rPr>
              <w:t>Spearman ρ</w:t>
            </w:r>
          </w:p>
        </w:tc>
        <w:tc>
          <w:tcPr>
            <w:tcW w:type="dxa" w:w="2088"/>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sz w:val="17"/>
              </w:rPr>
              <w:t>Bootstrap 95% CI</w:t>
            </w:r>
          </w:p>
        </w:tc>
        <w:tc>
          <w:tcPr>
            <w:tcW w:type="dxa" w:w="1224"/>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sz w:val="17"/>
              </w:rPr>
              <w:t>P value</w:t>
            </w:r>
          </w:p>
        </w:tc>
        <w:tc>
          <w:tcPr>
            <w:tcW w:type="dxa" w:w="1224"/>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sz w:val="17"/>
              </w:rPr>
              <w:t>BH-FDR q</w:t>
            </w:r>
          </w:p>
        </w:tc>
      </w:tr>
      <w:tr>
        <w:trPr>
          <w:cantSplit w:val="true"/>
        </w:trPr>
        <w:tc>
          <w:tcPr>
            <w:tcW w:type="dxa" w:w="1656"/>
            <w:vAlign w:val="center"/>
            <w:tcMar>
              <w:top w:w="70" w:type="dxa"/>
              <w:start w:w="90" w:type="dxa"/>
              <w:bottom w:w="70" w:type="dxa"/>
              <w:end w:w="90" w:type="dxa"/>
            </w:tcMar>
          </w:tcPr>
          <w:p>
            <w:pPr>
              <w:spacing w:before="0" w:after="0" w:line="240" w:lineRule="auto"/>
              <w:jc w:val="left"/>
            </w:pPr>
            <w:r>
              <w:rPr>
                <w:rFonts w:ascii="Times New Roman" w:hAnsi="Times New Roman" w:eastAsia="Times New Roman"/>
                <w:b w:val="0"/>
                <w:sz w:val="17"/>
              </w:rPr>
              <w:t>Prespecified</w:t>
            </w:r>
          </w:p>
        </w:tc>
        <w:tc>
          <w:tcPr>
            <w:tcW w:type="dxa" w:w="5832"/>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Th1 cells vs TBX21 (T-bet)</w:t>
            </w:r>
          </w:p>
        </w:tc>
        <w:tc>
          <w:tcPr>
            <w:tcW w:type="dxa" w:w="648"/>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53</w:t>
            </w:r>
          </w:p>
        </w:tc>
        <w:tc>
          <w:tcPr>
            <w:tcW w:type="dxa" w:w="1224"/>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−0.213</w:t>
            </w:r>
          </w:p>
        </w:tc>
        <w:tc>
          <w:tcPr>
            <w:tcW w:type="dxa" w:w="2088"/>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−0.469 to 0.071</w:t>
            </w:r>
          </w:p>
        </w:tc>
        <w:tc>
          <w:tcPr>
            <w:tcW w:type="dxa" w:w="1224"/>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0.126</w:t>
            </w:r>
          </w:p>
        </w:tc>
        <w:tc>
          <w:tcPr>
            <w:tcW w:type="dxa" w:w="1224"/>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0.505</w:t>
            </w:r>
          </w:p>
        </w:tc>
      </w:tr>
      <w:tr>
        <w:trPr>
          <w:cantSplit w:val="true"/>
        </w:trPr>
        <w:tc>
          <w:tcPr>
            <w:tcW w:type="dxa" w:w="1656"/>
            <w:vAlign w:val="center"/>
            <w:tcMar>
              <w:top w:w="70" w:type="dxa"/>
              <w:start w:w="90" w:type="dxa"/>
              <w:bottom w:w="70" w:type="dxa"/>
              <w:end w:w="90" w:type="dxa"/>
            </w:tcMar>
          </w:tcPr>
          <w:p>
            <w:pPr>
              <w:spacing w:before="0" w:after="0" w:line="240" w:lineRule="auto"/>
              <w:jc w:val="left"/>
            </w:pPr>
            <w:r>
              <w:rPr>
                <w:rFonts w:ascii="Times New Roman" w:hAnsi="Times New Roman" w:eastAsia="Times New Roman"/>
                <w:b w:val="0"/>
                <w:sz w:val="17"/>
              </w:rPr>
              <w:t>Prespecified</w:t>
            </w:r>
          </w:p>
        </w:tc>
        <w:tc>
          <w:tcPr>
            <w:tcW w:type="dxa" w:w="5832"/>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Th2 cells vs GATA3</w:t>
            </w:r>
          </w:p>
        </w:tc>
        <w:tc>
          <w:tcPr>
            <w:tcW w:type="dxa" w:w="648"/>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53</w:t>
            </w:r>
          </w:p>
        </w:tc>
        <w:tc>
          <w:tcPr>
            <w:tcW w:type="dxa" w:w="1224"/>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−0.074</w:t>
            </w:r>
          </w:p>
        </w:tc>
        <w:tc>
          <w:tcPr>
            <w:tcW w:type="dxa" w:w="2088"/>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−0.366 to 0.217</w:t>
            </w:r>
          </w:p>
        </w:tc>
        <w:tc>
          <w:tcPr>
            <w:tcW w:type="dxa" w:w="1224"/>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0.599</w:t>
            </w:r>
          </w:p>
        </w:tc>
        <w:tc>
          <w:tcPr>
            <w:tcW w:type="dxa" w:w="1224"/>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0.890</w:t>
            </w:r>
          </w:p>
        </w:tc>
      </w:tr>
      <w:tr>
        <w:trPr>
          <w:cantSplit w:val="true"/>
        </w:trPr>
        <w:tc>
          <w:tcPr>
            <w:tcW w:type="dxa" w:w="1656"/>
            <w:vAlign w:val="center"/>
            <w:tcMar>
              <w:top w:w="70" w:type="dxa"/>
              <w:start w:w="90" w:type="dxa"/>
              <w:bottom w:w="70" w:type="dxa"/>
              <w:end w:w="90" w:type="dxa"/>
            </w:tcMar>
          </w:tcPr>
          <w:p>
            <w:pPr>
              <w:spacing w:before="0" w:after="0" w:line="240" w:lineRule="auto"/>
              <w:jc w:val="left"/>
            </w:pPr>
            <w:r>
              <w:rPr>
                <w:rFonts w:ascii="Times New Roman" w:hAnsi="Times New Roman" w:eastAsia="Times New Roman"/>
                <w:b w:val="0"/>
                <w:sz w:val="17"/>
              </w:rPr>
              <w:t>Prespecified</w:t>
            </w:r>
          </w:p>
        </w:tc>
        <w:tc>
          <w:tcPr>
            <w:tcW w:type="dxa" w:w="5832"/>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Th17 cells vs RORC2 (RORγt)</w:t>
            </w:r>
          </w:p>
        </w:tc>
        <w:tc>
          <w:tcPr>
            <w:tcW w:type="dxa" w:w="648"/>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53</w:t>
            </w:r>
          </w:p>
        </w:tc>
        <w:tc>
          <w:tcPr>
            <w:tcW w:type="dxa" w:w="1224"/>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−0.060</w:t>
            </w:r>
          </w:p>
        </w:tc>
        <w:tc>
          <w:tcPr>
            <w:tcW w:type="dxa" w:w="2088"/>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−0.311 to 0.189</w:t>
            </w:r>
          </w:p>
        </w:tc>
        <w:tc>
          <w:tcPr>
            <w:tcW w:type="dxa" w:w="1224"/>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0.668</w:t>
            </w:r>
          </w:p>
        </w:tc>
        <w:tc>
          <w:tcPr>
            <w:tcW w:type="dxa" w:w="1224"/>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0.890</w:t>
            </w:r>
          </w:p>
        </w:tc>
      </w:tr>
      <w:tr>
        <w:trPr>
          <w:cantSplit w:val="true"/>
        </w:trPr>
        <w:tc>
          <w:tcPr>
            <w:tcW w:type="dxa" w:w="1656"/>
            <w:vAlign w:val="center"/>
            <w:tcMar>
              <w:top w:w="70" w:type="dxa"/>
              <w:start w:w="90" w:type="dxa"/>
              <w:bottom w:w="70" w:type="dxa"/>
              <w:end w:w="90" w:type="dxa"/>
            </w:tcMar>
          </w:tcPr>
          <w:p>
            <w:pPr>
              <w:spacing w:before="0" w:after="0" w:line="240" w:lineRule="auto"/>
              <w:jc w:val="left"/>
            </w:pPr>
            <w:r>
              <w:rPr>
                <w:rFonts w:ascii="Times New Roman" w:hAnsi="Times New Roman" w:eastAsia="Times New Roman"/>
                <w:b w:val="0"/>
                <w:sz w:val="17"/>
              </w:rPr>
              <w:t>Prespecified</w:t>
            </w:r>
          </w:p>
        </w:tc>
        <w:tc>
          <w:tcPr>
            <w:tcW w:type="dxa" w:w="5832"/>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Phenotypically defined regulatory T cells vs FOXP3</w:t>
            </w:r>
          </w:p>
        </w:tc>
        <w:tc>
          <w:tcPr>
            <w:tcW w:type="dxa" w:w="648"/>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53</w:t>
            </w:r>
          </w:p>
        </w:tc>
        <w:tc>
          <w:tcPr>
            <w:tcW w:type="dxa" w:w="1224"/>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−0.014</w:t>
            </w:r>
          </w:p>
        </w:tc>
        <w:tc>
          <w:tcPr>
            <w:tcW w:type="dxa" w:w="2088"/>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−0.279 to 0.252</w:t>
            </w:r>
          </w:p>
        </w:tc>
        <w:tc>
          <w:tcPr>
            <w:tcW w:type="dxa" w:w="1224"/>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0.923</w:t>
            </w:r>
          </w:p>
        </w:tc>
        <w:tc>
          <w:tcPr>
            <w:tcW w:type="dxa" w:w="1224"/>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0.923</w:t>
            </w:r>
          </w:p>
        </w:tc>
      </w:tr>
      <w:tr>
        <w:trPr>
          <w:cantSplit w:val="true"/>
        </w:trPr>
        <w:tc>
          <w:tcPr>
            <w:tcW w:type="dxa" w:w="1656"/>
            <w:vAlign w:val="center"/>
            <w:tcMar>
              <w:top w:w="70" w:type="dxa"/>
              <w:start w:w="90" w:type="dxa"/>
              <w:bottom w:w="70" w:type="dxa"/>
              <w:end w:w="90" w:type="dxa"/>
            </w:tcMar>
          </w:tcPr>
          <w:p>
            <w:pPr>
              <w:spacing w:before="0" w:after="0" w:line="240" w:lineRule="auto"/>
              <w:jc w:val="left"/>
            </w:pPr>
            <w:r>
              <w:rPr>
                <w:rFonts w:ascii="Times New Roman" w:hAnsi="Times New Roman" w:eastAsia="Times New Roman"/>
                <w:b w:val="0"/>
                <w:sz w:val="17"/>
              </w:rPr>
              <w:t>Exploratory axis</w:t>
            </w:r>
          </w:p>
        </w:tc>
        <w:tc>
          <w:tcPr>
            <w:tcW w:type="dxa" w:w="5832"/>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Th1/Th2 cell ratio vs TBX21/GATA3 expression ratio</w:t>
            </w:r>
          </w:p>
        </w:tc>
        <w:tc>
          <w:tcPr>
            <w:tcW w:type="dxa" w:w="648"/>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53</w:t>
            </w:r>
          </w:p>
        </w:tc>
        <w:tc>
          <w:tcPr>
            <w:tcW w:type="dxa" w:w="1224"/>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−0.075</w:t>
            </w:r>
          </w:p>
        </w:tc>
        <w:tc>
          <w:tcPr>
            <w:tcW w:type="dxa" w:w="2088"/>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−0.365 to 0.235</w:t>
            </w:r>
          </w:p>
        </w:tc>
        <w:tc>
          <w:tcPr>
            <w:tcW w:type="dxa" w:w="1224"/>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0.592</w:t>
            </w:r>
          </w:p>
        </w:tc>
        <w:tc>
          <w:tcPr>
            <w:tcW w:type="dxa" w:w="1224"/>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0.721</w:t>
            </w:r>
          </w:p>
        </w:tc>
      </w:tr>
      <w:tr>
        <w:trPr>
          <w:cantSplit w:val="true"/>
        </w:trPr>
        <w:tc>
          <w:tcPr>
            <w:tcW w:type="dxa" w:w="1656"/>
            <w:vAlign w:val="center"/>
            <w:tcMar>
              <w:top w:w="70" w:type="dxa"/>
              <w:start w:w="90" w:type="dxa"/>
              <w:bottom w:w="70" w:type="dxa"/>
              <w:end w:w="90" w:type="dxa"/>
            </w:tcMar>
          </w:tcPr>
          <w:p>
            <w:pPr>
              <w:spacing w:before="0" w:after="0" w:line="240" w:lineRule="auto"/>
              <w:jc w:val="left"/>
            </w:pPr>
            <w:r>
              <w:rPr>
                <w:rFonts w:ascii="Times New Roman" w:hAnsi="Times New Roman" w:eastAsia="Times New Roman"/>
                <w:b w:val="0"/>
                <w:sz w:val="17"/>
              </w:rPr>
              <w:t>Exploratory axis</w:t>
            </w:r>
          </w:p>
        </w:tc>
        <w:tc>
          <w:tcPr>
            <w:tcW w:type="dxa" w:w="5832"/>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Th17/regulatory T-cell ratio vs RORC2/FOXP3 expression ratio</w:t>
            </w:r>
          </w:p>
        </w:tc>
        <w:tc>
          <w:tcPr>
            <w:tcW w:type="dxa" w:w="648"/>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53</w:t>
            </w:r>
          </w:p>
        </w:tc>
        <w:tc>
          <w:tcPr>
            <w:tcW w:type="dxa" w:w="1224"/>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−0.050</w:t>
            </w:r>
          </w:p>
        </w:tc>
        <w:tc>
          <w:tcPr>
            <w:tcW w:type="dxa" w:w="2088"/>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−0.304 to 0.209</w:t>
            </w:r>
          </w:p>
        </w:tc>
        <w:tc>
          <w:tcPr>
            <w:tcW w:type="dxa" w:w="1224"/>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0.721</w:t>
            </w:r>
          </w:p>
        </w:tc>
        <w:tc>
          <w:tcPr>
            <w:tcW w:type="dxa" w:w="1224"/>
            <w:vAlign w:val="center"/>
            <w:tcMar>
              <w:top w:w="70" w:type="dxa"/>
              <w:start w:w="90" w:type="dxa"/>
              <w:bottom w:w="70" w:type="dxa"/>
              <w:end w:w="90" w:type="dxa"/>
            </w:tcMar>
          </w:tcPr>
          <w:p>
            <w:pPr>
              <w:spacing w:before="0" w:after="0" w:line="240" w:lineRule="auto"/>
              <w:jc w:val="center"/>
            </w:pPr>
            <w:r>
              <w:rPr>
                <w:rFonts w:ascii="Times New Roman" w:hAnsi="Times New Roman" w:eastAsia="Times New Roman"/>
                <w:b w:val="0"/>
                <w:sz w:val="17"/>
              </w:rPr>
              <w:t>0.721</w:t>
            </w:r>
          </w:p>
        </w:tc>
      </w:tr>
    </w:tbl>
    <w:p>
      <w:pPr>
        <w:spacing w:before="40" w:after="60" w:line="240" w:lineRule="auto"/>
      </w:pPr>
      <w:r>
        <w:rPr>
          <w:rFonts w:ascii="Times New Roman" w:hAnsi="Times New Roman" w:eastAsia="Times New Roman"/>
          <w:b/>
          <w:sz w:val="17"/>
        </w:rPr>
        <w:t xml:space="preserve">Abbreviations: </w:t>
      </w:r>
      <w:r>
        <w:rPr>
          <w:rFonts w:ascii="Times New Roman" w:hAnsi="Times New Roman" w:eastAsia="Times New Roman"/>
          <w:b w:val="0"/>
          <w:sz w:val="17"/>
        </w:rPr>
        <w:t>BH-FDR, Benjamini–Hochberg false discovery rate; CI, confidence interval; PBMC, peripheral blood mononuclear cell; T1DM, type 1 diabetes mellitus.</w:t>
      </w:r>
    </w:p>
    <w:sectPr>
      <w:footerReference w:type="default" r:id="rId9"/>
      <w:pgSz w:w="16838" w:h="11906" w:orient="landscape"/>
      <w:pgMar w:top="680" w:right="680" w:bottom="680" w:left="680" w:header="720"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sz w:val="20"/>
      </w:rPr>
      <w:t xml:space="preserve">Page </w:t>
    </w:r>
    <w:r>
      <w:rPr>
        <w:rFonts w:ascii="Times New Roman" w:hAnsi="Times New Roman" w:eastAsia="Times New Roman"/>
        <w:sz w:val="20"/>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before="0" w:after="0"/>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0" w:line="480" w:lineRule="auto"/>
      <w:outlineLvl w:val="0"/>
    </w:pPr>
    <w:rPr>
      <w:rFonts w:asciiTheme="majorHAnsi" w:eastAsiaTheme="majorEastAsia" w:hAnsiTheme="majorHAnsi" w:cstheme="majorBidi" w:ascii="Times New Roman" w:hAnsi="Times New Roman" w:eastAsia="Times New Roman"/>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0" w:after="0" w:line="480" w:lineRule="auto"/>
      <w:outlineLvl w:val="1"/>
    </w:pPr>
    <w:rPr>
      <w:rFonts w:asciiTheme="majorHAnsi" w:eastAsiaTheme="majorEastAsia" w:hAnsiTheme="majorHAnsi" w:cstheme="majorBidi" w:ascii="Times New Roman" w:hAnsi="Times New Roman" w:eastAsia="Times New Roman"/>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0" w:after="0" w:line="480" w:lineRule="auto"/>
      <w:outlineLvl w:val="2"/>
    </w:pPr>
    <w:rPr>
      <w:rFonts w:asciiTheme="majorHAnsi" w:eastAsiaTheme="majorEastAsia" w:hAnsiTheme="majorHAnsi" w:cstheme="majorBidi" w:ascii="Times New Roman" w:hAnsi="Times New Roman" w:eastAsia="Times New Roman"/>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0" w:line="480" w:lineRule="auto" w:before="0"/>
      <w:contextualSpacing/>
    </w:pPr>
    <w:rPr>
      <w:rFonts w:asciiTheme="majorHAnsi" w:eastAsiaTheme="majorEastAsia" w:hAnsiTheme="majorHAnsi" w:cstheme="majorBidi" w:ascii="Times New Roman" w:hAnsi="Times New Roman" w:eastAsia="Times New Roman"/>
      <w:b/>
      <w:color w:val="17365D" w:themeColor="text2" w:themeShade="BF"/>
      <w:spacing w:val="5"/>
      <w:kern w:val="28"/>
      <w:sz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file 1: Supplementary Tables S1-S11</dc:title>
  <dc:subject>Supplementary material for BMC Endocrine Disorders</dc:subject>
  <dc:creator>Wei Chen et al.</dc:creator>
  <cp:keywords/>
  <dc:description/>
  <cp:lastModifiedBy>Authors</cp:lastModifiedBy>
  <cp:revision>1</cp:revision>
  <dcterms:created xsi:type="dcterms:W3CDTF">2026-07-17T00:00:00Z</dcterms:created>
  <dcterms:modified xsi:type="dcterms:W3CDTF">2026-07-17T00:00:00Z</dcterms:modified>
  <cp:category/>
</cp:coreProperties>
</file>