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21F5" w14:textId="77777777" w:rsidR="00764B13" w:rsidRDefault="00764B13" w:rsidP="00764B13">
      <w:pPr>
        <w:pStyle w:val="Heading1"/>
        <w:rPr>
          <w:color w:val="000000" w:themeColor="text1"/>
        </w:rPr>
      </w:pPr>
      <w:r>
        <w:rPr>
          <w:rFonts w:ascii="Times New Roman" w:eastAsia="Cambria" w:hAnsi="Times New Roman" w:cs="Times New Roman"/>
          <w:b/>
          <w:color w:val="000000" w:themeColor="text1"/>
          <w:sz w:val="24"/>
          <w:szCs w:val="24"/>
        </w:rPr>
        <w:t>Appendix A. Auditable Variable Definitions</w:t>
      </w:r>
    </w:p>
    <w:p w14:paraId="6C1080E1" w14:textId="77777777" w:rsidR="00764B13" w:rsidRDefault="00764B13" w:rsidP="00764B13">
      <w:pPr>
        <w:pStyle w:val="Caption"/>
        <w:rPr>
          <w:rFonts w:eastAsiaTheme="minorEastAsia"/>
          <w:color w:val="000000" w:themeColor="text1"/>
        </w:rPr>
      </w:pPr>
      <w:r>
        <w:t>Table A1. Auditable variable definitions and source-item mapping</w:t>
      </w:r>
    </w:p>
    <w:tbl>
      <w:tblPr>
        <w:tblW w:w="9026" w:type="dxa"/>
        <w:tblInd w:w="120" w:type="dxa"/>
        <w:tblLook w:val="04A0" w:firstRow="1" w:lastRow="0" w:firstColumn="1" w:lastColumn="0" w:noHBand="0" w:noVBand="1"/>
      </w:tblPr>
      <w:tblGrid>
        <w:gridCol w:w="1850"/>
        <w:gridCol w:w="1200"/>
        <w:gridCol w:w="2500"/>
        <w:gridCol w:w="3476"/>
      </w:tblGrid>
      <w:tr w:rsidR="00764B13" w14:paraId="67DAFF5C" w14:textId="77777777" w:rsidTr="00965747">
        <w:trPr>
          <w:cantSplit/>
          <w:tblHeader/>
        </w:trPr>
        <w:tc>
          <w:tcPr>
            <w:tcW w:w="1850"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502D1F83" w14:textId="77777777" w:rsidR="00764B13" w:rsidRDefault="00764B13" w:rsidP="00965747">
            <w:pPr>
              <w:spacing w:before="0" w:after="0"/>
              <w:jc w:val="center"/>
              <w:rPr>
                <w:bCs/>
                <w:sz w:val="18"/>
                <w:szCs w:val="18"/>
              </w:rPr>
            </w:pPr>
            <w:r>
              <w:rPr>
                <w:rFonts w:eastAsia="Times New Roman"/>
                <w:b/>
                <w:bCs/>
                <w:color w:val="000000"/>
                <w:sz w:val="16"/>
                <w:szCs w:val="18"/>
              </w:rPr>
              <w:t>Field</w:t>
            </w:r>
          </w:p>
        </w:tc>
        <w:tc>
          <w:tcPr>
            <w:tcW w:w="1200"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6E1ED475" w14:textId="77777777" w:rsidR="00764B13" w:rsidRDefault="00764B13" w:rsidP="00965747">
            <w:pPr>
              <w:spacing w:before="0" w:after="0"/>
              <w:jc w:val="center"/>
              <w:rPr>
                <w:bCs/>
                <w:sz w:val="18"/>
                <w:szCs w:val="18"/>
              </w:rPr>
            </w:pPr>
            <w:r>
              <w:rPr>
                <w:rFonts w:eastAsia="Times New Roman"/>
                <w:b/>
                <w:bCs/>
                <w:color w:val="000000"/>
                <w:sz w:val="16"/>
                <w:szCs w:val="18"/>
              </w:rPr>
              <w:t>Range</w:t>
            </w:r>
          </w:p>
        </w:tc>
        <w:tc>
          <w:tcPr>
            <w:tcW w:w="2500"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2FC96D9D" w14:textId="77777777" w:rsidR="00764B13" w:rsidRDefault="00764B13" w:rsidP="00965747">
            <w:pPr>
              <w:spacing w:before="0" w:after="0"/>
              <w:jc w:val="center"/>
              <w:rPr>
                <w:bCs/>
                <w:sz w:val="18"/>
                <w:szCs w:val="18"/>
              </w:rPr>
            </w:pPr>
            <w:r>
              <w:rPr>
                <w:rFonts w:eastAsia="Times New Roman"/>
                <w:b/>
                <w:bCs/>
                <w:color w:val="000000"/>
                <w:sz w:val="16"/>
                <w:szCs w:val="18"/>
              </w:rPr>
              <w:t>Use in the revised analysis</w:t>
            </w:r>
          </w:p>
        </w:tc>
        <w:tc>
          <w:tcPr>
            <w:tcW w:w="3476"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5D7EE318" w14:textId="77777777" w:rsidR="00764B13" w:rsidRDefault="00764B13" w:rsidP="00965747">
            <w:pPr>
              <w:spacing w:before="0" w:after="0"/>
              <w:jc w:val="center"/>
              <w:rPr>
                <w:bCs/>
                <w:sz w:val="18"/>
                <w:szCs w:val="18"/>
              </w:rPr>
            </w:pPr>
            <w:r>
              <w:rPr>
                <w:rFonts w:eastAsia="Times New Roman"/>
                <w:b/>
                <w:bCs/>
                <w:color w:val="000000"/>
                <w:sz w:val="16"/>
                <w:szCs w:val="18"/>
              </w:rPr>
              <w:t>Audit status and limitation</w:t>
            </w:r>
          </w:p>
        </w:tc>
      </w:tr>
      <w:tr w:rsidR="00764B13" w14:paraId="20FB402B"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57835EFC" w14:textId="77777777" w:rsidR="00764B13" w:rsidRDefault="00764B13" w:rsidP="00965747">
            <w:pPr>
              <w:spacing w:before="0" w:after="0" w:line="252" w:lineRule="auto"/>
              <w:rPr>
                <w:sz w:val="18"/>
                <w:szCs w:val="18"/>
              </w:rPr>
            </w:pPr>
            <w:r>
              <w:rPr>
                <w:rFonts w:eastAsia="Times New Roman"/>
                <w:color w:val="000000"/>
                <w:sz w:val="16"/>
                <w:szCs w:val="18"/>
              </w:rPr>
              <w:t>cesd_score</w:t>
            </w:r>
          </w:p>
        </w:tc>
        <w:tc>
          <w:tcPr>
            <w:tcW w:w="1200" w:type="dxa"/>
            <w:tcBorders>
              <w:top w:val="nil"/>
              <w:left w:val="nil"/>
              <w:bottom w:val="nil"/>
              <w:right w:val="nil"/>
            </w:tcBorders>
            <w:tcMar>
              <w:top w:w="80" w:type="dxa"/>
              <w:left w:w="100" w:type="dxa"/>
              <w:bottom w:w="80" w:type="dxa"/>
              <w:right w:w="100" w:type="dxa"/>
            </w:tcMar>
            <w:vAlign w:val="center"/>
          </w:tcPr>
          <w:p w14:paraId="65DFDF55" w14:textId="77777777" w:rsidR="00764B13" w:rsidRDefault="00764B13" w:rsidP="00965747">
            <w:pPr>
              <w:spacing w:before="0" w:after="0" w:line="252" w:lineRule="auto"/>
              <w:jc w:val="center"/>
              <w:rPr>
                <w:sz w:val="18"/>
                <w:szCs w:val="18"/>
              </w:rPr>
            </w:pPr>
            <w:r>
              <w:rPr>
                <w:rFonts w:eastAsia="Times New Roman"/>
                <w:color w:val="000000"/>
                <w:sz w:val="16"/>
                <w:szCs w:val="18"/>
              </w:rPr>
              <w:t>0 to 30</w:t>
            </w:r>
          </w:p>
        </w:tc>
        <w:tc>
          <w:tcPr>
            <w:tcW w:w="2500" w:type="dxa"/>
            <w:tcBorders>
              <w:top w:val="nil"/>
              <w:left w:val="nil"/>
              <w:bottom w:val="nil"/>
              <w:right w:val="nil"/>
            </w:tcBorders>
            <w:tcMar>
              <w:top w:w="80" w:type="dxa"/>
              <w:left w:w="100" w:type="dxa"/>
              <w:bottom w:w="80" w:type="dxa"/>
              <w:right w:w="100" w:type="dxa"/>
            </w:tcMar>
            <w:vAlign w:val="center"/>
          </w:tcPr>
          <w:p w14:paraId="5887AE66" w14:textId="77777777" w:rsidR="00764B13" w:rsidRDefault="00764B13" w:rsidP="00965747">
            <w:pPr>
              <w:spacing w:before="0" w:after="0" w:line="252" w:lineRule="auto"/>
              <w:jc w:val="center"/>
              <w:rPr>
                <w:sz w:val="18"/>
                <w:szCs w:val="18"/>
              </w:rPr>
            </w:pPr>
            <w:r>
              <w:rPr>
                <w:rFonts w:eastAsia="Times New Roman"/>
                <w:color w:val="000000"/>
                <w:sz w:val="16"/>
                <w:szCs w:val="18"/>
              </w:rPr>
              <w:t>CES-D-10 total</w:t>
            </w:r>
          </w:p>
        </w:tc>
        <w:tc>
          <w:tcPr>
            <w:tcW w:w="3476" w:type="dxa"/>
            <w:tcBorders>
              <w:top w:val="nil"/>
              <w:left w:val="nil"/>
              <w:bottom w:val="nil"/>
              <w:right w:val="nil"/>
            </w:tcBorders>
            <w:tcMar>
              <w:top w:w="80" w:type="dxa"/>
              <w:left w:w="100" w:type="dxa"/>
              <w:bottom w:w="80" w:type="dxa"/>
              <w:right w:w="100" w:type="dxa"/>
            </w:tcMar>
            <w:vAlign w:val="center"/>
          </w:tcPr>
          <w:p w14:paraId="683A55D2" w14:textId="77777777" w:rsidR="00764B13" w:rsidRDefault="00764B13" w:rsidP="00965747">
            <w:pPr>
              <w:spacing w:before="0" w:after="0" w:line="252" w:lineRule="auto"/>
              <w:jc w:val="center"/>
              <w:rPr>
                <w:sz w:val="18"/>
                <w:szCs w:val="18"/>
              </w:rPr>
            </w:pPr>
            <w:r>
              <w:rPr>
                <w:rFonts w:eastAsia="Times New Roman"/>
                <w:color w:val="000000"/>
                <w:sz w:val="16"/>
                <w:szCs w:val="18"/>
              </w:rPr>
              <w:t>Reproducible as the sum of dc016_n to dc025_n minus 10</w:t>
            </w:r>
          </w:p>
        </w:tc>
      </w:tr>
      <w:tr w:rsidR="00764B13" w14:paraId="366BC005"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61D97428" w14:textId="77777777" w:rsidR="00764B13" w:rsidRDefault="00764B13" w:rsidP="00965747">
            <w:pPr>
              <w:spacing w:before="0" w:after="0" w:line="252" w:lineRule="auto"/>
              <w:rPr>
                <w:sz w:val="18"/>
                <w:szCs w:val="18"/>
              </w:rPr>
            </w:pPr>
            <w:r>
              <w:rPr>
                <w:rFonts w:eastAsia="Times New Roman"/>
                <w:color w:val="000000"/>
                <w:sz w:val="16"/>
                <w:szCs w:val="18"/>
              </w:rPr>
              <w:t>childhood_pollution</w:t>
            </w:r>
          </w:p>
        </w:tc>
        <w:tc>
          <w:tcPr>
            <w:tcW w:w="1200" w:type="dxa"/>
            <w:tcBorders>
              <w:top w:val="nil"/>
              <w:left w:val="nil"/>
              <w:bottom w:val="nil"/>
              <w:right w:val="nil"/>
            </w:tcBorders>
            <w:tcMar>
              <w:top w:w="80" w:type="dxa"/>
              <w:left w:w="100" w:type="dxa"/>
              <w:bottom w:w="80" w:type="dxa"/>
              <w:right w:w="100" w:type="dxa"/>
            </w:tcMar>
            <w:vAlign w:val="center"/>
          </w:tcPr>
          <w:p w14:paraId="6E4A07C2" w14:textId="77777777" w:rsidR="00764B13" w:rsidRDefault="00764B13" w:rsidP="00965747">
            <w:r>
              <w:rPr>
                <w:sz w:val="16"/>
              </w:rPr>
              <w:t>0/1</w:t>
            </w:r>
          </w:p>
        </w:tc>
        <w:tc>
          <w:tcPr>
            <w:tcW w:w="2500" w:type="dxa"/>
            <w:tcBorders>
              <w:top w:val="nil"/>
              <w:left w:val="nil"/>
              <w:bottom w:val="nil"/>
              <w:right w:val="nil"/>
            </w:tcBorders>
            <w:tcMar>
              <w:top w:w="80" w:type="dxa"/>
              <w:left w:w="100" w:type="dxa"/>
              <w:bottom w:w="80" w:type="dxa"/>
              <w:right w:w="100" w:type="dxa"/>
            </w:tcMar>
            <w:vAlign w:val="center"/>
          </w:tcPr>
          <w:p w14:paraId="29188687" w14:textId="77777777" w:rsidR="00764B13" w:rsidRDefault="00764B13" w:rsidP="00965747">
            <w:r>
              <w:rPr>
                <w:sz w:val="16"/>
              </w:rPr>
              <w:t>Any household-environment component</w:t>
            </w:r>
          </w:p>
        </w:tc>
        <w:tc>
          <w:tcPr>
            <w:tcW w:w="3476" w:type="dxa"/>
            <w:tcBorders>
              <w:top w:val="nil"/>
              <w:left w:val="nil"/>
              <w:bottom w:val="nil"/>
              <w:right w:val="nil"/>
            </w:tcBorders>
            <w:tcMar>
              <w:top w:w="80" w:type="dxa"/>
              <w:left w:w="100" w:type="dxa"/>
              <w:bottom w:w="80" w:type="dxa"/>
              <w:right w:w="100" w:type="dxa"/>
            </w:tcMar>
            <w:vAlign w:val="center"/>
          </w:tcPr>
          <w:p w14:paraId="2CEDB5FF" w14:textId="77777777" w:rsidR="00764B13" w:rsidRDefault="00764B13" w:rsidP="00965747">
            <w:r>
              <w:rPr>
                <w:sz w:val="16"/>
              </w:rPr>
              <w:t>Constructed from ac006s1/ac006s3, ac005b_1_, and ac005a_1_; not a pollution dose</w:t>
            </w:r>
          </w:p>
        </w:tc>
      </w:tr>
      <w:tr w:rsidR="00764B13" w14:paraId="62DE759F"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5EB24520" w14:textId="77777777" w:rsidR="00764B13" w:rsidRDefault="00764B13" w:rsidP="00965747">
            <w:pPr>
              <w:spacing w:before="0" w:after="0" w:line="252" w:lineRule="auto"/>
              <w:rPr>
                <w:sz w:val="18"/>
                <w:szCs w:val="18"/>
              </w:rPr>
            </w:pPr>
            <w:r>
              <w:rPr>
                <w:rFonts w:eastAsia="Times New Roman"/>
                <w:color w:val="000000"/>
                <w:sz w:val="16"/>
                <w:szCs w:val="18"/>
              </w:rPr>
              <w:t>childhood_pollution_idx</w:t>
            </w:r>
          </w:p>
        </w:tc>
        <w:tc>
          <w:tcPr>
            <w:tcW w:w="1200" w:type="dxa"/>
            <w:tcBorders>
              <w:top w:val="nil"/>
              <w:left w:val="nil"/>
              <w:bottom w:val="nil"/>
              <w:right w:val="nil"/>
            </w:tcBorders>
            <w:tcMar>
              <w:top w:w="80" w:type="dxa"/>
              <w:left w:w="100" w:type="dxa"/>
              <w:bottom w:w="80" w:type="dxa"/>
              <w:right w:w="100" w:type="dxa"/>
            </w:tcMar>
            <w:vAlign w:val="center"/>
          </w:tcPr>
          <w:p w14:paraId="7812B723" w14:textId="77777777" w:rsidR="00764B13" w:rsidRDefault="00764B13" w:rsidP="00965747">
            <w:r>
              <w:rPr>
                <w:sz w:val="16"/>
              </w:rPr>
              <w:t>0 to 3</w:t>
            </w:r>
          </w:p>
        </w:tc>
        <w:tc>
          <w:tcPr>
            <w:tcW w:w="2500" w:type="dxa"/>
            <w:tcBorders>
              <w:top w:val="nil"/>
              <w:left w:val="nil"/>
              <w:bottom w:val="nil"/>
              <w:right w:val="nil"/>
            </w:tcBorders>
            <w:tcMar>
              <w:top w:w="80" w:type="dxa"/>
              <w:left w:w="100" w:type="dxa"/>
              <w:bottom w:w="80" w:type="dxa"/>
              <w:right w:w="100" w:type="dxa"/>
            </w:tcMar>
            <w:vAlign w:val="center"/>
          </w:tcPr>
          <w:p w14:paraId="0108A3BE" w14:textId="77777777" w:rsidR="00764B13" w:rsidRDefault="00764B13" w:rsidP="00965747">
            <w:r>
              <w:rPr>
                <w:sz w:val="16"/>
              </w:rPr>
              <w:t>Sum of three components</w:t>
            </w:r>
          </w:p>
        </w:tc>
        <w:tc>
          <w:tcPr>
            <w:tcW w:w="3476" w:type="dxa"/>
            <w:tcBorders>
              <w:top w:val="nil"/>
              <w:left w:val="nil"/>
              <w:bottom w:val="nil"/>
              <w:right w:val="nil"/>
            </w:tcBorders>
            <w:tcMar>
              <w:top w:w="80" w:type="dxa"/>
              <w:left w:w="100" w:type="dxa"/>
              <w:bottom w:w="80" w:type="dxa"/>
              <w:right w:w="100" w:type="dxa"/>
            </w:tcMar>
            <w:vAlign w:val="center"/>
          </w:tcPr>
          <w:p w14:paraId="437E6466" w14:textId="77777777" w:rsidR="00764B13" w:rsidRDefault="00764B13" w:rsidP="00965747">
            <w:r>
              <w:rPr>
                <w:sz w:val="16"/>
              </w:rPr>
              <w:t>Component count with equal weighting; construct validity remains limited</w:t>
            </w:r>
          </w:p>
        </w:tc>
      </w:tr>
      <w:tr w:rsidR="00764B13" w14:paraId="609C7921"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0B532E88" w14:textId="77777777" w:rsidR="00764B13" w:rsidRDefault="00764B13" w:rsidP="00965747">
            <w:pPr>
              <w:spacing w:before="0" w:after="0" w:line="252" w:lineRule="auto"/>
              <w:rPr>
                <w:sz w:val="18"/>
                <w:szCs w:val="18"/>
              </w:rPr>
            </w:pPr>
            <w:r>
              <w:rPr>
                <w:rFonts w:eastAsia="Times New Roman"/>
                <w:color w:val="000000"/>
                <w:sz w:val="16"/>
                <w:szCs w:val="18"/>
              </w:rPr>
              <w:t>childhood_solidfuel</w:t>
            </w:r>
          </w:p>
        </w:tc>
        <w:tc>
          <w:tcPr>
            <w:tcW w:w="1200" w:type="dxa"/>
            <w:tcBorders>
              <w:top w:val="nil"/>
              <w:left w:val="nil"/>
              <w:bottom w:val="nil"/>
              <w:right w:val="nil"/>
            </w:tcBorders>
            <w:tcMar>
              <w:top w:w="80" w:type="dxa"/>
              <w:left w:w="100" w:type="dxa"/>
              <w:bottom w:w="80" w:type="dxa"/>
              <w:right w:w="100" w:type="dxa"/>
            </w:tcMar>
            <w:vAlign w:val="center"/>
          </w:tcPr>
          <w:p w14:paraId="112CBBC0" w14:textId="77777777" w:rsidR="00764B13" w:rsidRDefault="00764B13" w:rsidP="00965747">
            <w:r>
              <w:rPr>
                <w:sz w:val="16"/>
              </w:rPr>
              <w:t>0/1</w:t>
            </w:r>
          </w:p>
        </w:tc>
        <w:tc>
          <w:tcPr>
            <w:tcW w:w="2500" w:type="dxa"/>
            <w:tcBorders>
              <w:top w:val="nil"/>
              <w:left w:val="nil"/>
              <w:bottom w:val="nil"/>
              <w:right w:val="nil"/>
            </w:tcBorders>
            <w:tcMar>
              <w:top w:w="80" w:type="dxa"/>
              <w:left w:w="100" w:type="dxa"/>
              <w:bottom w:w="80" w:type="dxa"/>
              <w:right w:w="100" w:type="dxa"/>
            </w:tcMar>
            <w:vAlign w:val="center"/>
          </w:tcPr>
          <w:p w14:paraId="7C2B6BE5" w14:textId="77777777" w:rsidR="00764B13" w:rsidRDefault="00764B13" w:rsidP="00965747">
            <w:r>
              <w:rPr>
                <w:sz w:val="16"/>
              </w:rPr>
              <w:t>Solid-fuel component</w:t>
            </w:r>
          </w:p>
        </w:tc>
        <w:tc>
          <w:tcPr>
            <w:tcW w:w="3476" w:type="dxa"/>
            <w:tcBorders>
              <w:top w:val="nil"/>
              <w:left w:val="nil"/>
              <w:bottom w:val="nil"/>
              <w:right w:val="nil"/>
            </w:tcBorders>
            <w:tcMar>
              <w:top w:w="80" w:type="dxa"/>
              <w:left w:w="100" w:type="dxa"/>
              <w:bottom w:w="80" w:type="dxa"/>
              <w:right w:w="100" w:type="dxa"/>
            </w:tcMar>
            <w:vAlign w:val="center"/>
          </w:tcPr>
          <w:p w14:paraId="28D72468" w14:textId="77777777" w:rsidR="00764B13" w:rsidRDefault="00764B13" w:rsidP="00965747">
            <w:r>
              <w:rPr>
                <w:sz w:val="16"/>
              </w:rPr>
              <w:t>Coal or biomass fuel before age 17; exact duration unavailable</w:t>
            </w:r>
          </w:p>
        </w:tc>
      </w:tr>
      <w:tr w:rsidR="00764B13" w14:paraId="6A566631"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6DDFCE89" w14:textId="77777777" w:rsidR="00764B13" w:rsidRDefault="00764B13" w:rsidP="00965747">
            <w:pPr>
              <w:spacing w:before="0" w:after="0" w:line="252" w:lineRule="auto"/>
              <w:rPr>
                <w:sz w:val="18"/>
                <w:szCs w:val="18"/>
              </w:rPr>
            </w:pPr>
            <w:r>
              <w:rPr>
                <w:rFonts w:eastAsia="Times New Roman"/>
                <w:color w:val="000000"/>
                <w:sz w:val="16"/>
                <w:szCs w:val="18"/>
              </w:rPr>
              <w:t>childhood_novent</w:t>
            </w:r>
          </w:p>
        </w:tc>
        <w:tc>
          <w:tcPr>
            <w:tcW w:w="1200" w:type="dxa"/>
            <w:tcBorders>
              <w:top w:val="nil"/>
              <w:left w:val="nil"/>
              <w:bottom w:val="nil"/>
              <w:right w:val="nil"/>
            </w:tcBorders>
            <w:tcMar>
              <w:top w:w="80" w:type="dxa"/>
              <w:left w:w="100" w:type="dxa"/>
              <w:bottom w:w="80" w:type="dxa"/>
              <w:right w:w="100" w:type="dxa"/>
            </w:tcMar>
            <w:vAlign w:val="center"/>
          </w:tcPr>
          <w:p w14:paraId="3E035F05" w14:textId="77777777" w:rsidR="00764B13" w:rsidRDefault="00764B13" w:rsidP="00965747">
            <w:r>
              <w:rPr>
                <w:sz w:val="16"/>
              </w:rPr>
              <w:t>0/1</w:t>
            </w:r>
          </w:p>
        </w:tc>
        <w:tc>
          <w:tcPr>
            <w:tcW w:w="2500" w:type="dxa"/>
            <w:tcBorders>
              <w:top w:val="nil"/>
              <w:left w:val="nil"/>
              <w:bottom w:val="nil"/>
              <w:right w:val="nil"/>
            </w:tcBorders>
            <w:tcMar>
              <w:top w:w="80" w:type="dxa"/>
              <w:left w:w="100" w:type="dxa"/>
              <w:bottom w:w="80" w:type="dxa"/>
              <w:right w:w="100" w:type="dxa"/>
            </w:tcMar>
            <w:vAlign w:val="center"/>
          </w:tcPr>
          <w:p w14:paraId="22612965" w14:textId="77777777" w:rsidR="00764B13" w:rsidRDefault="00764B13" w:rsidP="00965747">
            <w:r>
              <w:rPr>
                <w:sz w:val="16"/>
              </w:rPr>
              <w:t>No-kitchen component</w:t>
            </w:r>
          </w:p>
        </w:tc>
        <w:tc>
          <w:tcPr>
            <w:tcW w:w="3476" w:type="dxa"/>
            <w:tcBorders>
              <w:top w:val="nil"/>
              <w:left w:val="nil"/>
              <w:bottom w:val="nil"/>
              <w:right w:val="nil"/>
            </w:tcBorders>
            <w:tcMar>
              <w:top w:w="80" w:type="dxa"/>
              <w:left w:w="100" w:type="dxa"/>
              <w:bottom w:w="80" w:type="dxa"/>
              <w:right w:w="100" w:type="dxa"/>
            </w:tcMar>
            <w:vAlign w:val="center"/>
          </w:tcPr>
          <w:p w14:paraId="047DD4B9" w14:textId="77777777" w:rsidR="00764B13" w:rsidRDefault="00764B13" w:rsidP="00965747">
            <w:r>
              <w:rPr>
                <w:sz w:val="16"/>
              </w:rPr>
              <w:t>Mapped to ac005b_1_; absence of a kitchen, not direct ventilation</w:t>
            </w:r>
          </w:p>
        </w:tc>
      </w:tr>
      <w:tr w:rsidR="00764B13" w14:paraId="3828341E"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0F9B4D5B" w14:textId="77777777" w:rsidR="00764B13" w:rsidRDefault="00764B13" w:rsidP="00965747">
            <w:pPr>
              <w:spacing w:before="0" w:after="0" w:line="252" w:lineRule="auto"/>
              <w:rPr>
                <w:sz w:val="18"/>
                <w:szCs w:val="18"/>
              </w:rPr>
            </w:pPr>
            <w:r>
              <w:rPr>
                <w:rFonts w:eastAsia="Times New Roman"/>
                <w:color w:val="000000"/>
                <w:sz w:val="16"/>
                <w:szCs w:val="18"/>
              </w:rPr>
              <w:t>childhood_poorhouse</w:t>
            </w:r>
          </w:p>
        </w:tc>
        <w:tc>
          <w:tcPr>
            <w:tcW w:w="1200" w:type="dxa"/>
            <w:tcBorders>
              <w:top w:val="nil"/>
              <w:left w:val="nil"/>
              <w:bottom w:val="nil"/>
              <w:right w:val="nil"/>
            </w:tcBorders>
            <w:tcMar>
              <w:top w:w="80" w:type="dxa"/>
              <w:left w:w="100" w:type="dxa"/>
              <w:bottom w:w="80" w:type="dxa"/>
              <w:right w:w="100" w:type="dxa"/>
            </w:tcMar>
            <w:vAlign w:val="center"/>
          </w:tcPr>
          <w:p w14:paraId="53F35095" w14:textId="77777777" w:rsidR="00764B13" w:rsidRDefault="00764B13" w:rsidP="00965747">
            <w:r>
              <w:rPr>
                <w:sz w:val="16"/>
              </w:rPr>
              <w:t>0/1</w:t>
            </w:r>
          </w:p>
        </w:tc>
        <w:tc>
          <w:tcPr>
            <w:tcW w:w="2500" w:type="dxa"/>
            <w:tcBorders>
              <w:top w:val="nil"/>
              <w:left w:val="nil"/>
              <w:bottom w:val="nil"/>
              <w:right w:val="nil"/>
            </w:tcBorders>
            <w:tcMar>
              <w:top w:w="80" w:type="dxa"/>
              <w:left w:w="100" w:type="dxa"/>
              <w:bottom w:w="80" w:type="dxa"/>
              <w:right w:w="100" w:type="dxa"/>
            </w:tcMar>
            <w:vAlign w:val="center"/>
          </w:tcPr>
          <w:p w14:paraId="38674AA2" w14:textId="77777777" w:rsidR="00764B13" w:rsidRDefault="00764B13" w:rsidP="00965747">
            <w:r>
              <w:rPr>
                <w:sz w:val="16"/>
              </w:rPr>
              <w:t>Poor-housing component</w:t>
            </w:r>
          </w:p>
        </w:tc>
        <w:tc>
          <w:tcPr>
            <w:tcW w:w="3476" w:type="dxa"/>
            <w:tcBorders>
              <w:top w:val="nil"/>
              <w:left w:val="nil"/>
              <w:bottom w:val="nil"/>
              <w:right w:val="nil"/>
            </w:tcBorders>
            <w:tcMar>
              <w:top w:w="80" w:type="dxa"/>
              <w:left w:w="100" w:type="dxa"/>
              <w:bottom w:w="80" w:type="dxa"/>
              <w:right w:w="100" w:type="dxa"/>
            </w:tcMar>
            <w:vAlign w:val="center"/>
          </w:tcPr>
          <w:p w14:paraId="6DA6EEE8" w14:textId="77777777" w:rsidR="00764B13" w:rsidRDefault="00764B13" w:rsidP="00965747">
            <w:r>
              <w:rPr>
                <w:sz w:val="16"/>
              </w:rPr>
              <w:t>Mapped to ac005a_1_; may reflect housing deprivation and pollution conditions</w:t>
            </w:r>
          </w:p>
        </w:tc>
      </w:tr>
      <w:tr w:rsidR="00764B13" w14:paraId="01AF7547"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796423DC" w14:textId="77777777" w:rsidR="00764B13" w:rsidRDefault="00764B13" w:rsidP="00965747">
            <w:pPr>
              <w:spacing w:before="0" w:after="0" w:line="252" w:lineRule="auto"/>
              <w:rPr>
                <w:sz w:val="18"/>
                <w:szCs w:val="18"/>
              </w:rPr>
            </w:pPr>
            <w:r>
              <w:rPr>
                <w:rFonts w:eastAsia="Times New Roman"/>
                <w:color w:val="000000"/>
                <w:sz w:val="16"/>
                <w:szCs w:val="18"/>
              </w:rPr>
              <w:t>ex_days</w:t>
            </w:r>
          </w:p>
        </w:tc>
        <w:tc>
          <w:tcPr>
            <w:tcW w:w="1200" w:type="dxa"/>
            <w:tcBorders>
              <w:top w:val="nil"/>
              <w:left w:val="nil"/>
              <w:bottom w:val="nil"/>
              <w:right w:val="nil"/>
            </w:tcBorders>
            <w:tcMar>
              <w:top w:w="80" w:type="dxa"/>
              <w:left w:w="100" w:type="dxa"/>
              <w:bottom w:w="80" w:type="dxa"/>
              <w:right w:w="100" w:type="dxa"/>
            </w:tcMar>
            <w:vAlign w:val="center"/>
          </w:tcPr>
          <w:p w14:paraId="11C09B45" w14:textId="77777777" w:rsidR="00764B13" w:rsidRDefault="00764B13" w:rsidP="00965747">
            <w:r>
              <w:rPr>
                <w:sz w:val="16"/>
              </w:rPr>
              <w:t>0 to 7</w:t>
            </w:r>
          </w:p>
        </w:tc>
        <w:tc>
          <w:tcPr>
            <w:tcW w:w="2500" w:type="dxa"/>
            <w:tcBorders>
              <w:top w:val="nil"/>
              <w:left w:val="nil"/>
              <w:bottom w:val="nil"/>
              <w:right w:val="nil"/>
            </w:tcBorders>
            <w:tcMar>
              <w:top w:w="80" w:type="dxa"/>
              <w:left w:w="100" w:type="dxa"/>
              <w:bottom w:w="80" w:type="dxa"/>
              <w:right w:w="100" w:type="dxa"/>
            </w:tcMar>
            <w:vAlign w:val="center"/>
          </w:tcPr>
          <w:p w14:paraId="251172B8" w14:textId="77777777" w:rsidR="00764B13" w:rsidRDefault="00764B13" w:rsidP="00965747">
            <w:r>
              <w:rPr>
                <w:sz w:val="16"/>
              </w:rPr>
              <w:t>Exercise days per week</w:t>
            </w:r>
          </w:p>
        </w:tc>
        <w:tc>
          <w:tcPr>
            <w:tcW w:w="3476" w:type="dxa"/>
            <w:tcBorders>
              <w:top w:val="nil"/>
              <w:left w:val="nil"/>
              <w:bottom w:val="nil"/>
              <w:right w:val="nil"/>
            </w:tcBorders>
            <w:tcMar>
              <w:top w:w="80" w:type="dxa"/>
              <w:left w:w="100" w:type="dxa"/>
              <w:bottom w:w="80" w:type="dxa"/>
              <w:right w:w="100" w:type="dxa"/>
            </w:tcMar>
            <w:vAlign w:val="center"/>
          </w:tcPr>
          <w:p w14:paraId="296ACFB7" w14:textId="77777777" w:rsidR="00764B13" w:rsidRDefault="00764B13" w:rsidP="00965747">
            <w:r>
              <w:rPr>
                <w:sz w:val="16"/>
              </w:rPr>
              <w:t>Used directly; uniform 45-minute conversion discarded</w:t>
            </w:r>
          </w:p>
        </w:tc>
      </w:tr>
      <w:tr w:rsidR="00764B13" w14:paraId="0A825D68"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4332D772" w14:textId="77777777" w:rsidR="00764B13" w:rsidRDefault="00764B13" w:rsidP="00965747">
            <w:pPr>
              <w:spacing w:before="0" w:after="0" w:line="252" w:lineRule="auto"/>
              <w:rPr>
                <w:sz w:val="18"/>
                <w:szCs w:val="18"/>
              </w:rPr>
            </w:pPr>
            <w:r>
              <w:rPr>
                <w:rFonts w:eastAsia="Times New Roman"/>
                <w:color w:val="000000"/>
                <w:sz w:val="16"/>
                <w:szCs w:val="18"/>
              </w:rPr>
              <w:t>exercise_3plus</w:t>
            </w:r>
          </w:p>
        </w:tc>
        <w:tc>
          <w:tcPr>
            <w:tcW w:w="1200" w:type="dxa"/>
            <w:tcBorders>
              <w:top w:val="nil"/>
              <w:left w:val="nil"/>
              <w:bottom w:val="nil"/>
              <w:right w:val="nil"/>
            </w:tcBorders>
            <w:tcMar>
              <w:top w:w="80" w:type="dxa"/>
              <w:left w:w="100" w:type="dxa"/>
              <w:bottom w:w="80" w:type="dxa"/>
              <w:right w:w="100" w:type="dxa"/>
            </w:tcMar>
            <w:vAlign w:val="center"/>
          </w:tcPr>
          <w:p w14:paraId="1080022B" w14:textId="77777777" w:rsidR="00764B13" w:rsidRDefault="00764B13" w:rsidP="00965747">
            <w:r>
              <w:rPr>
                <w:sz w:val="16"/>
              </w:rPr>
              <w:t>0/1</w:t>
            </w:r>
          </w:p>
        </w:tc>
        <w:tc>
          <w:tcPr>
            <w:tcW w:w="2500" w:type="dxa"/>
            <w:tcBorders>
              <w:top w:val="nil"/>
              <w:left w:val="nil"/>
              <w:bottom w:val="nil"/>
              <w:right w:val="nil"/>
            </w:tcBorders>
            <w:tcMar>
              <w:top w:w="80" w:type="dxa"/>
              <w:left w:w="100" w:type="dxa"/>
              <w:bottom w:w="80" w:type="dxa"/>
              <w:right w:w="100" w:type="dxa"/>
            </w:tcMar>
            <w:vAlign w:val="center"/>
          </w:tcPr>
          <w:p w14:paraId="19DFD642" w14:textId="77777777" w:rsidR="00764B13" w:rsidRDefault="00764B13" w:rsidP="00965747">
            <w:r>
              <w:rPr>
                <w:sz w:val="16"/>
              </w:rPr>
              <w:t>Exercise at least 3 days per week</w:t>
            </w:r>
          </w:p>
        </w:tc>
        <w:tc>
          <w:tcPr>
            <w:tcW w:w="3476" w:type="dxa"/>
            <w:tcBorders>
              <w:top w:val="nil"/>
              <w:left w:val="nil"/>
              <w:bottom w:val="nil"/>
              <w:right w:val="nil"/>
            </w:tcBorders>
            <w:tcMar>
              <w:top w:w="80" w:type="dxa"/>
              <w:left w:w="100" w:type="dxa"/>
              <w:bottom w:w="80" w:type="dxa"/>
              <w:right w:w="100" w:type="dxa"/>
            </w:tcMar>
            <w:vAlign w:val="center"/>
          </w:tcPr>
          <w:p w14:paraId="3B2B6304" w14:textId="77777777" w:rsidR="00764B13" w:rsidRDefault="00764B13" w:rsidP="00965747">
            <w:r>
              <w:rPr>
                <w:sz w:val="16"/>
              </w:rPr>
              <w:t>Reconstructed from ex_days; session duration unavailable</w:t>
            </w:r>
          </w:p>
        </w:tc>
      </w:tr>
      <w:tr w:rsidR="00764B13" w14:paraId="036C7C89"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46462729" w14:textId="77777777" w:rsidR="00764B13" w:rsidRDefault="00764B13" w:rsidP="00965747">
            <w:pPr>
              <w:spacing w:before="0" w:after="0" w:line="252" w:lineRule="auto"/>
              <w:rPr>
                <w:sz w:val="18"/>
                <w:szCs w:val="18"/>
              </w:rPr>
            </w:pPr>
            <w:r>
              <w:rPr>
                <w:rFonts w:eastAsia="Times New Roman"/>
                <w:color w:val="000000"/>
                <w:sz w:val="16"/>
                <w:szCs w:val="18"/>
              </w:rPr>
              <w:t>edu_years</w:t>
            </w:r>
          </w:p>
        </w:tc>
        <w:tc>
          <w:tcPr>
            <w:tcW w:w="1200" w:type="dxa"/>
            <w:tcBorders>
              <w:top w:val="nil"/>
              <w:left w:val="nil"/>
              <w:bottom w:val="nil"/>
              <w:right w:val="nil"/>
            </w:tcBorders>
            <w:tcMar>
              <w:top w:w="80" w:type="dxa"/>
              <w:left w:w="100" w:type="dxa"/>
              <w:bottom w:w="80" w:type="dxa"/>
              <w:right w:w="100" w:type="dxa"/>
            </w:tcMar>
            <w:vAlign w:val="center"/>
          </w:tcPr>
          <w:p w14:paraId="0C593B92" w14:textId="77777777" w:rsidR="00764B13" w:rsidRDefault="00764B13" w:rsidP="00965747">
            <w:r>
              <w:rPr>
                <w:sz w:val="16"/>
              </w:rPr>
              <w:t>0 to 22</w:t>
            </w:r>
          </w:p>
        </w:tc>
        <w:tc>
          <w:tcPr>
            <w:tcW w:w="2500" w:type="dxa"/>
            <w:tcBorders>
              <w:top w:val="nil"/>
              <w:left w:val="nil"/>
              <w:bottom w:val="nil"/>
              <w:right w:val="nil"/>
            </w:tcBorders>
            <w:tcMar>
              <w:top w:w="80" w:type="dxa"/>
              <w:left w:w="100" w:type="dxa"/>
              <w:bottom w:w="80" w:type="dxa"/>
              <w:right w:w="100" w:type="dxa"/>
            </w:tcMar>
            <w:vAlign w:val="center"/>
          </w:tcPr>
          <w:p w14:paraId="564F0430" w14:textId="77777777" w:rsidR="00764B13" w:rsidRDefault="00764B13" w:rsidP="00965747">
            <w:r>
              <w:rPr>
                <w:sz w:val="16"/>
              </w:rPr>
              <w:t>Years of education</w:t>
            </w:r>
          </w:p>
        </w:tc>
        <w:tc>
          <w:tcPr>
            <w:tcW w:w="3476" w:type="dxa"/>
            <w:tcBorders>
              <w:top w:val="nil"/>
              <w:left w:val="nil"/>
              <w:bottom w:val="nil"/>
              <w:right w:val="nil"/>
            </w:tcBorders>
            <w:tcMar>
              <w:top w:w="80" w:type="dxa"/>
              <w:left w:w="100" w:type="dxa"/>
              <w:bottom w:w="80" w:type="dxa"/>
              <w:right w:w="100" w:type="dxa"/>
            </w:tcMar>
            <w:vAlign w:val="center"/>
          </w:tcPr>
          <w:p w14:paraId="30608F76" w14:textId="77777777" w:rsidR="00764B13" w:rsidRDefault="00764B13" w:rsidP="00965747">
            <w:r>
              <w:rPr>
                <w:sz w:val="16"/>
              </w:rPr>
              <w:t>Missing for 1,216 records; complete-case and imputation analyses</w:t>
            </w:r>
          </w:p>
        </w:tc>
      </w:tr>
      <w:tr w:rsidR="00764B13" w14:paraId="5A0E478A" w14:textId="77777777" w:rsidTr="00965747">
        <w:trPr>
          <w:cantSplit/>
        </w:trPr>
        <w:tc>
          <w:tcPr>
            <w:tcW w:w="1850" w:type="dxa"/>
            <w:tcBorders>
              <w:top w:val="nil"/>
              <w:left w:val="nil"/>
              <w:bottom w:val="nil"/>
              <w:right w:val="nil"/>
            </w:tcBorders>
            <w:tcMar>
              <w:top w:w="80" w:type="dxa"/>
              <w:left w:w="100" w:type="dxa"/>
              <w:bottom w:w="80" w:type="dxa"/>
              <w:right w:w="100" w:type="dxa"/>
            </w:tcMar>
            <w:vAlign w:val="center"/>
          </w:tcPr>
          <w:p w14:paraId="73F23F00" w14:textId="77777777" w:rsidR="00764B13" w:rsidRDefault="00764B13" w:rsidP="00965747">
            <w:pPr>
              <w:spacing w:before="0" w:after="0" w:line="252" w:lineRule="auto"/>
              <w:rPr>
                <w:sz w:val="18"/>
                <w:szCs w:val="18"/>
              </w:rPr>
            </w:pPr>
            <w:r>
              <w:rPr>
                <w:rFonts w:eastAsia="Times New Roman"/>
                <w:color w:val="000000"/>
                <w:sz w:val="16"/>
                <w:szCs w:val="18"/>
              </w:rPr>
              <w:t>communityID</w:t>
            </w:r>
          </w:p>
        </w:tc>
        <w:tc>
          <w:tcPr>
            <w:tcW w:w="1200" w:type="dxa"/>
            <w:tcBorders>
              <w:top w:val="nil"/>
              <w:left w:val="nil"/>
              <w:bottom w:val="nil"/>
              <w:right w:val="nil"/>
            </w:tcBorders>
            <w:tcMar>
              <w:top w:w="80" w:type="dxa"/>
              <w:left w:w="100" w:type="dxa"/>
              <w:bottom w:w="80" w:type="dxa"/>
              <w:right w:w="100" w:type="dxa"/>
            </w:tcMar>
            <w:vAlign w:val="center"/>
          </w:tcPr>
          <w:p w14:paraId="2F67DBC9" w14:textId="77777777" w:rsidR="00764B13" w:rsidRDefault="00764B13" w:rsidP="00965747">
            <w:r>
              <w:rPr>
                <w:sz w:val="16"/>
              </w:rPr>
              <w:t>445 main-sample clusters</w:t>
            </w:r>
          </w:p>
        </w:tc>
        <w:tc>
          <w:tcPr>
            <w:tcW w:w="2500" w:type="dxa"/>
            <w:tcBorders>
              <w:top w:val="nil"/>
              <w:left w:val="nil"/>
              <w:bottom w:val="nil"/>
              <w:right w:val="nil"/>
            </w:tcBorders>
            <w:tcMar>
              <w:top w:w="80" w:type="dxa"/>
              <w:left w:w="100" w:type="dxa"/>
              <w:bottom w:w="80" w:type="dxa"/>
              <w:right w:w="100" w:type="dxa"/>
            </w:tcMar>
            <w:vAlign w:val="center"/>
          </w:tcPr>
          <w:p w14:paraId="3E67805E" w14:textId="77777777" w:rsidR="00764B13" w:rsidRDefault="00764B13" w:rsidP="00965747">
            <w:r>
              <w:rPr>
                <w:sz w:val="16"/>
              </w:rPr>
              <w:t>Community cluster</w:t>
            </w:r>
          </w:p>
        </w:tc>
        <w:tc>
          <w:tcPr>
            <w:tcW w:w="3476" w:type="dxa"/>
            <w:tcBorders>
              <w:top w:val="nil"/>
              <w:left w:val="nil"/>
              <w:bottom w:val="nil"/>
              <w:right w:val="nil"/>
            </w:tcBorders>
            <w:tcMar>
              <w:top w:w="80" w:type="dxa"/>
              <w:left w:w="100" w:type="dxa"/>
              <w:bottom w:w="80" w:type="dxa"/>
              <w:right w:w="100" w:type="dxa"/>
            </w:tcMar>
            <w:vAlign w:val="center"/>
          </w:tcPr>
          <w:p w14:paraId="23B46187" w14:textId="77777777" w:rsidR="00764B13" w:rsidRDefault="00764B13" w:rsidP="00965747">
            <w:r>
              <w:rPr>
                <w:sz w:val="16"/>
              </w:rPr>
              <w:t>Used for clustered SE; does not reproduce full survey design</w:t>
            </w:r>
          </w:p>
        </w:tc>
      </w:tr>
      <w:tr w:rsidR="00764B13" w14:paraId="31821409" w14:textId="77777777" w:rsidTr="00965747">
        <w:trPr>
          <w:cantSplit/>
        </w:trPr>
        <w:tc>
          <w:tcPr>
            <w:tcW w:w="1850" w:type="dxa"/>
            <w:tcBorders>
              <w:top w:val="nil"/>
              <w:left w:val="nil"/>
              <w:bottom w:val="single" w:sz="12" w:space="0" w:color="000000"/>
              <w:right w:val="nil"/>
            </w:tcBorders>
            <w:tcMar>
              <w:top w:w="80" w:type="dxa"/>
              <w:left w:w="100" w:type="dxa"/>
              <w:bottom w:w="80" w:type="dxa"/>
              <w:right w:w="100" w:type="dxa"/>
            </w:tcMar>
            <w:vAlign w:val="center"/>
          </w:tcPr>
          <w:p w14:paraId="70DB6E9E" w14:textId="77777777" w:rsidR="00764B13" w:rsidRDefault="00764B13" w:rsidP="00965747">
            <w:pPr>
              <w:spacing w:before="0" w:after="0" w:line="252" w:lineRule="auto"/>
              <w:rPr>
                <w:sz w:val="18"/>
                <w:szCs w:val="18"/>
              </w:rPr>
            </w:pPr>
            <w:r>
              <w:rPr>
                <w:rFonts w:eastAsia="Times New Roman"/>
                <w:color w:val="000000"/>
                <w:sz w:val="16"/>
                <w:szCs w:val="18"/>
              </w:rPr>
              <w:t>province_code</w:t>
            </w:r>
          </w:p>
        </w:tc>
        <w:tc>
          <w:tcPr>
            <w:tcW w:w="1200" w:type="dxa"/>
            <w:tcBorders>
              <w:top w:val="nil"/>
              <w:left w:val="nil"/>
              <w:bottom w:val="single" w:sz="12" w:space="0" w:color="000000"/>
              <w:right w:val="nil"/>
            </w:tcBorders>
            <w:tcMar>
              <w:top w:w="80" w:type="dxa"/>
              <w:left w:w="100" w:type="dxa"/>
              <w:bottom w:w="80" w:type="dxa"/>
              <w:right w:w="100" w:type="dxa"/>
            </w:tcMar>
            <w:vAlign w:val="center"/>
          </w:tcPr>
          <w:p w14:paraId="2D2F9C69" w14:textId="77777777" w:rsidR="00764B13" w:rsidRDefault="00764B13" w:rsidP="00965747">
            <w:r>
              <w:rPr>
                <w:sz w:val="16"/>
              </w:rPr>
              <w:t>27 categories</w:t>
            </w:r>
          </w:p>
        </w:tc>
        <w:tc>
          <w:tcPr>
            <w:tcW w:w="2500" w:type="dxa"/>
            <w:tcBorders>
              <w:top w:val="nil"/>
              <w:left w:val="nil"/>
              <w:bottom w:val="single" w:sz="12" w:space="0" w:color="000000"/>
              <w:right w:val="nil"/>
            </w:tcBorders>
            <w:tcMar>
              <w:top w:w="80" w:type="dxa"/>
              <w:left w:w="100" w:type="dxa"/>
              <w:bottom w:w="80" w:type="dxa"/>
              <w:right w:w="100" w:type="dxa"/>
            </w:tcMar>
            <w:vAlign w:val="center"/>
          </w:tcPr>
          <w:p w14:paraId="1690291C" w14:textId="77777777" w:rsidR="00764B13" w:rsidRDefault="00764B13" w:rsidP="00965747">
            <w:r>
              <w:rPr>
                <w:sz w:val="16"/>
              </w:rPr>
              <w:t>Province fixed effects</w:t>
            </w:r>
          </w:p>
        </w:tc>
        <w:tc>
          <w:tcPr>
            <w:tcW w:w="3476" w:type="dxa"/>
            <w:tcBorders>
              <w:top w:val="nil"/>
              <w:left w:val="nil"/>
              <w:bottom w:val="single" w:sz="12" w:space="0" w:color="000000"/>
              <w:right w:val="nil"/>
            </w:tcBorders>
            <w:tcMar>
              <w:top w:w="80" w:type="dxa"/>
              <w:left w:w="100" w:type="dxa"/>
              <w:bottom w:w="80" w:type="dxa"/>
              <w:right w:w="100" w:type="dxa"/>
            </w:tcMar>
            <w:vAlign w:val="center"/>
          </w:tcPr>
          <w:p w14:paraId="3385DD28" w14:textId="77777777" w:rsidR="00764B13" w:rsidRDefault="00764B13" w:rsidP="00965747">
            <w:r>
              <w:rPr>
                <w:sz w:val="16"/>
              </w:rPr>
              <w:t>Controls for broad regional differences</w:t>
            </w:r>
          </w:p>
        </w:tc>
      </w:tr>
    </w:tbl>
    <w:p w14:paraId="66476234" w14:textId="77777777" w:rsidR="00764B13" w:rsidRDefault="00764B13" w:rsidP="00764B13">
      <w:pPr>
        <w:spacing w:before="80" w:after="80" w:line="276" w:lineRule="auto"/>
      </w:pPr>
      <w:r>
        <w:rPr>
          <w:sz w:val="17"/>
        </w:rPr>
        <w:t>Note: The source audit maps the available derived variables to the supplied CHARLS questionnaire and data dictionary. Exact exposure duration, residential transitions, and complete survey-design reconstruction remain unavailable.</w:t>
      </w:r>
    </w:p>
    <w:p w14:paraId="5B8F42ED" w14:textId="77777777" w:rsidR="00764B13" w:rsidRDefault="00764B13" w:rsidP="00764B13">
      <w:pPr>
        <w:pStyle w:val="Heading1"/>
        <w:rPr>
          <w:color w:val="000000" w:themeColor="text1"/>
        </w:rPr>
      </w:pPr>
      <w:r>
        <w:rPr>
          <w:rFonts w:ascii="Times New Roman" w:eastAsia="Cambria" w:hAnsi="Times New Roman" w:cs="Times New Roman"/>
          <w:b/>
          <w:color w:val="000000" w:themeColor="text1"/>
          <w:sz w:val="24"/>
          <w:szCs w:val="24"/>
        </w:rPr>
        <w:t>Appendix B. Complete-Case Selection</w:t>
      </w:r>
    </w:p>
    <w:p w14:paraId="2207565E" w14:textId="77777777" w:rsidR="00764B13" w:rsidRDefault="00764B13" w:rsidP="00764B13">
      <w:pPr>
        <w:pStyle w:val="Caption"/>
        <w:rPr>
          <w:rFonts w:eastAsia="Cambria"/>
          <w:bCs w:val="0"/>
          <w:color w:val="000000" w:themeColor="text1"/>
        </w:rPr>
      </w:pPr>
      <w:r>
        <w:t>Table A2. Characteristics of the education-complete sample and participants excluded for missing education</w:t>
      </w:r>
    </w:p>
    <w:tbl>
      <w:tblPr>
        <w:tblW w:w="9026" w:type="dxa"/>
        <w:tblInd w:w="120" w:type="dxa"/>
        <w:tblLook w:val="04A0" w:firstRow="1" w:lastRow="0" w:firstColumn="1" w:lastColumn="0" w:noHBand="0" w:noVBand="1"/>
      </w:tblPr>
      <w:tblGrid>
        <w:gridCol w:w="3000"/>
        <w:gridCol w:w="1900"/>
        <w:gridCol w:w="1900"/>
        <w:gridCol w:w="2226"/>
      </w:tblGrid>
      <w:tr w:rsidR="00764B13" w14:paraId="07792129" w14:textId="77777777" w:rsidTr="00965747">
        <w:trPr>
          <w:cantSplit/>
          <w:tblHeader/>
        </w:trPr>
        <w:tc>
          <w:tcPr>
            <w:tcW w:w="3000"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0E890694" w14:textId="77777777" w:rsidR="00764B13" w:rsidRDefault="00764B13" w:rsidP="00965747">
            <w:pPr>
              <w:spacing w:before="0" w:after="0"/>
              <w:jc w:val="center"/>
              <w:rPr>
                <w:bCs/>
                <w:sz w:val="18"/>
                <w:szCs w:val="18"/>
              </w:rPr>
            </w:pPr>
            <w:r>
              <w:rPr>
                <w:rFonts w:eastAsia="Times New Roman"/>
                <w:b/>
                <w:bCs/>
                <w:color w:val="000000"/>
                <w:sz w:val="16"/>
                <w:szCs w:val="18"/>
              </w:rPr>
              <w:t>Variable</w:t>
            </w:r>
          </w:p>
        </w:tc>
        <w:tc>
          <w:tcPr>
            <w:tcW w:w="1900"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39CE189C" w14:textId="77777777" w:rsidR="00764B13" w:rsidRDefault="00764B13" w:rsidP="00965747">
            <w:pPr>
              <w:spacing w:before="0" w:after="0"/>
              <w:jc w:val="center"/>
              <w:rPr>
                <w:bCs/>
                <w:sz w:val="18"/>
                <w:szCs w:val="18"/>
              </w:rPr>
            </w:pPr>
            <w:r>
              <w:rPr>
                <w:rFonts w:eastAsia="Times New Roman"/>
                <w:b/>
                <w:bCs/>
                <w:color w:val="000000"/>
                <w:sz w:val="16"/>
                <w:szCs w:val="18"/>
              </w:rPr>
              <w:t>Included mean</w:t>
            </w:r>
          </w:p>
        </w:tc>
        <w:tc>
          <w:tcPr>
            <w:tcW w:w="1900"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3292DF08" w14:textId="77777777" w:rsidR="00764B13" w:rsidRDefault="00764B13" w:rsidP="00965747">
            <w:pPr>
              <w:spacing w:before="0" w:after="0"/>
              <w:jc w:val="center"/>
              <w:rPr>
                <w:bCs/>
                <w:sz w:val="18"/>
                <w:szCs w:val="18"/>
              </w:rPr>
            </w:pPr>
            <w:r>
              <w:rPr>
                <w:rFonts w:eastAsia="Times New Roman"/>
                <w:b/>
                <w:bCs/>
                <w:color w:val="000000"/>
                <w:sz w:val="16"/>
                <w:szCs w:val="18"/>
              </w:rPr>
              <w:t>Excluded mean</w:t>
            </w:r>
          </w:p>
        </w:tc>
        <w:tc>
          <w:tcPr>
            <w:tcW w:w="2226" w:type="dxa"/>
            <w:tcBorders>
              <w:top w:val="single" w:sz="12" w:space="0" w:color="000000"/>
              <w:left w:val="nil"/>
              <w:bottom w:val="single" w:sz="8" w:space="0" w:color="000000"/>
              <w:right w:val="nil"/>
            </w:tcBorders>
            <w:tcMar>
              <w:top w:w="80" w:type="dxa"/>
              <w:left w:w="100" w:type="dxa"/>
              <w:bottom w:w="80" w:type="dxa"/>
              <w:right w:w="100" w:type="dxa"/>
            </w:tcMar>
            <w:vAlign w:val="center"/>
          </w:tcPr>
          <w:p w14:paraId="4782FEE3" w14:textId="77777777" w:rsidR="00764B13" w:rsidRDefault="00764B13" w:rsidP="00965747">
            <w:pPr>
              <w:spacing w:before="0" w:after="0"/>
              <w:jc w:val="center"/>
              <w:rPr>
                <w:bCs/>
                <w:sz w:val="18"/>
                <w:szCs w:val="18"/>
              </w:rPr>
            </w:pPr>
            <w:r>
              <w:rPr>
                <w:rFonts w:eastAsia="Times New Roman"/>
                <w:b/>
                <w:bCs/>
                <w:color w:val="000000"/>
                <w:sz w:val="16"/>
                <w:szCs w:val="18"/>
              </w:rPr>
              <w:t>Standardized difference</w:t>
            </w:r>
          </w:p>
        </w:tc>
      </w:tr>
      <w:tr w:rsidR="00764B13" w14:paraId="5968DF25"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4CF9DB70" w14:textId="77777777" w:rsidR="00764B13" w:rsidRDefault="00764B13" w:rsidP="00965747">
            <w:pPr>
              <w:spacing w:before="0" w:after="0" w:line="252" w:lineRule="auto"/>
              <w:rPr>
                <w:sz w:val="18"/>
                <w:szCs w:val="18"/>
              </w:rPr>
            </w:pPr>
            <w:r>
              <w:rPr>
                <w:rFonts w:eastAsia="Times New Roman"/>
                <w:color w:val="000000"/>
                <w:sz w:val="16"/>
                <w:szCs w:val="18"/>
              </w:rPr>
              <w:t>CES-D-10 score</w:t>
            </w:r>
          </w:p>
        </w:tc>
        <w:tc>
          <w:tcPr>
            <w:tcW w:w="1900" w:type="dxa"/>
            <w:tcBorders>
              <w:top w:val="nil"/>
              <w:left w:val="nil"/>
              <w:bottom w:val="nil"/>
              <w:right w:val="nil"/>
            </w:tcBorders>
            <w:tcMar>
              <w:top w:w="80" w:type="dxa"/>
              <w:left w:w="100" w:type="dxa"/>
              <w:bottom w:w="80" w:type="dxa"/>
              <w:right w:w="100" w:type="dxa"/>
            </w:tcMar>
            <w:vAlign w:val="center"/>
          </w:tcPr>
          <w:p w14:paraId="286444B6" w14:textId="77777777" w:rsidR="00764B13" w:rsidRDefault="00764B13" w:rsidP="00965747">
            <w:pPr>
              <w:spacing w:before="0" w:after="0" w:line="252" w:lineRule="auto"/>
              <w:jc w:val="center"/>
              <w:rPr>
                <w:sz w:val="18"/>
                <w:szCs w:val="18"/>
              </w:rPr>
            </w:pPr>
            <w:r>
              <w:rPr>
                <w:rFonts w:eastAsia="Times New Roman"/>
                <w:color w:val="000000"/>
                <w:sz w:val="16"/>
                <w:szCs w:val="18"/>
              </w:rPr>
              <w:t>9.049</w:t>
            </w:r>
          </w:p>
        </w:tc>
        <w:tc>
          <w:tcPr>
            <w:tcW w:w="1900" w:type="dxa"/>
            <w:tcBorders>
              <w:top w:val="nil"/>
              <w:left w:val="nil"/>
              <w:bottom w:val="nil"/>
              <w:right w:val="nil"/>
            </w:tcBorders>
            <w:tcMar>
              <w:top w:w="80" w:type="dxa"/>
              <w:left w:w="100" w:type="dxa"/>
              <w:bottom w:w="80" w:type="dxa"/>
              <w:right w:w="100" w:type="dxa"/>
            </w:tcMar>
            <w:vAlign w:val="center"/>
          </w:tcPr>
          <w:p w14:paraId="29ACB89C" w14:textId="77777777" w:rsidR="00764B13" w:rsidRDefault="00764B13" w:rsidP="00965747">
            <w:pPr>
              <w:spacing w:before="0" w:after="0" w:line="252" w:lineRule="auto"/>
              <w:jc w:val="center"/>
              <w:rPr>
                <w:sz w:val="18"/>
                <w:szCs w:val="18"/>
              </w:rPr>
            </w:pPr>
            <w:r>
              <w:rPr>
                <w:rFonts w:eastAsia="Times New Roman"/>
                <w:color w:val="000000"/>
                <w:sz w:val="16"/>
                <w:szCs w:val="18"/>
              </w:rPr>
              <w:t>8.436</w:t>
            </w:r>
          </w:p>
        </w:tc>
        <w:tc>
          <w:tcPr>
            <w:tcW w:w="2226" w:type="dxa"/>
            <w:tcBorders>
              <w:top w:val="nil"/>
              <w:left w:val="nil"/>
              <w:bottom w:val="nil"/>
              <w:right w:val="nil"/>
            </w:tcBorders>
            <w:tcMar>
              <w:top w:w="80" w:type="dxa"/>
              <w:left w:w="100" w:type="dxa"/>
              <w:bottom w:w="80" w:type="dxa"/>
              <w:right w:w="100" w:type="dxa"/>
            </w:tcMar>
            <w:vAlign w:val="center"/>
          </w:tcPr>
          <w:p w14:paraId="6232FEE1" w14:textId="77777777" w:rsidR="00764B13" w:rsidRDefault="00764B13" w:rsidP="00965747">
            <w:pPr>
              <w:spacing w:before="0" w:after="0" w:line="252" w:lineRule="auto"/>
              <w:jc w:val="center"/>
              <w:rPr>
                <w:sz w:val="18"/>
                <w:szCs w:val="18"/>
              </w:rPr>
            </w:pPr>
            <w:r>
              <w:rPr>
                <w:rFonts w:eastAsia="Times New Roman"/>
                <w:color w:val="000000"/>
                <w:sz w:val="16"/>
                <w:szCs w:val="18"/>
              </w:rPr>
              <w:t>0.092</w:t>
            </w:r>
          </w:p>
        </w:tc>
      </w:tr>
      <w:tr w:rsidR="00764B13" w14:paraId="4CAC9E92"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27456D61" w14:textId="77777777" w:rsidR="00764B13" w:rsidRDefault="00764B13" w:rsidP="00965747">
            <w:pPr>
              <w:spacing w:before="0" w:after="0" w:line="252" w:lineRule="auto"/>
              <w:rPr>
                <w:sz w:val="18"/>
                <w:szCs w:val="18"/>
              </w:rPr>
            </w:pPr>
            <w:r>
              <w:rPr>
                <w:rFonts w:eastAsia="Times New Roman"/>
                <w:color w:val="000000"/>
                <w:sz w:val="16"/>
                <w:szCs w:val="18"/>
              </w:rPr>
              <w:lastRenderedPageBreak/>
              <w:t>Any proxy component</w:t>
            </w:r>
          </w:p>
        </w:tc>
        <w:tc>
          <w:tcPr>
            <w:tcW w:w="1900" w:type="dxa"/>
            <w:tcBorders>
              <w:top w:val="nil"/>
              <w:left w:val="nil"/>
              <w:bottom w:val="nil"/>
              <w:right w:val="nil"/>
            </w:tcBorders>
            <w:tcMar>
              <w:top w:w="80" w:type="dxa"/>
              <w:left w:w="100" w:type="dxa"/>
              <w:bottom w:w="80" w:type="dxa"/>
              <w:right w:w="100" w:type="dxa"/>
            </w:tcMar>
            <w:vAlign w:val="center"/>
          </w:tcPr>
          <w:p w14:paraId="2D81DB09" w14:textId="77777777" w:rsidR="00764B13" w:rsidRDefault="00764B13" w:rsidP="00965747">
            <w:pPr>
              <w:spacing w:before="0" w:after="0" w:line="252" w:lineRule="auto"/>
              <w:jc w:val="center"/>
              <w:rPr>
                <w:sz w:val="18"/>
                <w:szCs w:val="18"/>
              </w:rPr>
            </w:pPr>
            <w:r>
              <w:rPr>
                <w:rFonts w:eastAsia="Times New Roman"/>
                <w:color w:val="000000"/>
                <w:sz w:val="16"/>
                <w:szCs w:val="18"/>
              </w:rPr>
              <w:t>0.891</w:t>
            </w:r>
          </w:p>
        </w:tc>
        <w:tc>
          <w:tcPr>
            <w:tcW w:w="1900" w:type="dxa"/>
            <w:tcBorders>
              <w:top w:val="nil"/>
              <w:left w:val="nil"/>
              <w:bottom w:val="nil"/>
              <w:right w:val="nil"/>
            </w:tcBorders>
            <w:tcMar>
              <w:top w:w="80" w:type="dxa"/>
              <w:left w:w="100" w:type="dxa"/>
              <w:bottom w:w="80" w:type="dxa"/>
              <w:right w:w="100" w:type="dxa"/>
            </w:tcMar>
            <w:vAlign w:val="center"/>
          </w:tcPr>
          <w:p w14:paraId="69BCB5F8" w14:textId="77777777" w:rsidR="00764B13" w:rsidRDefault="00764B13" w:rsidP="00965747">
            <w:pPr>
              <w:spacing w:before="0" w:after="0" w:line="252" w:lineRule="auto"/>
              <w:jc w:val="center"/>
              <w:rPr>
                <w:sz w:val="18"/>
                <w:szCs w:val="18"/>
              </w:rPr>
            </w:pPr>
            <w:r>
              <w:rPr>
                <w:rFonts w:eastAsia="Times New Roman"/>
                <w:color w:val="000000"/>
                <w:sz w:val="16"/>
                <w:szCs w:val="18"/>
              </w:rPr>
              <w:t>0.683</w:t>
            </w:r>
          </w:p>
        </w:tc>
        <w:tc>
          <w:tcPr>
            <w:tcW w:w="2226" w:type="dxa"/>
            <w:tcBorders>
              <w:top w:val="nil"/>
              <w:left w:val="nil"/>
              <w:bottom w:val="nil"/>
              <w:right w:val="nil"/>
            </w:tcBorders>
            <w:tcMar>
              <w:top w:w="80" w:type="dxa"/>
              <w:left w:w="100" w:type="dxa"/>
              <w:bottom w:w="80" w:type="dxa"/>
              <w:right w:w="100" w:type="dxa"/>
            </w:tcMar>
            <w:vAlign w:val="center"/>
          </w:tcPr>
          <w:p w14:paraId="079DD2CC" w14:textId="77777777" w:rsidR="00764B13" w:rsidRDefault="00764B13" w:rsidP="00965747">
            <w:pPr>
              <w:spacing w:before="0" w:after="0" w:line="252" w:lineRule="auto"/>
              <w:jc w:val="center"/>
              <w:rPr>
                <w:sz w:val="18"/>
                <w:szCs w:val="18"/>
              </w:rPr>
            </w:pPr>
            <w:r>
              <w:rPr>
                <w:rFonts w:eastAsia="Times New Roman"/>
                <w:color w:val="000000"/>
                <w:sz w:val="16"/>
                <w:szCs w:val="18"/>
              </w:rPr>
              <w:t>0.526</w:t>
            </w:r>
          </w:p>
        </w:tc>
      </w:tr>
      <w:tr w:rsidR="00764B13" w14:paraId="50675029"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154C254D" w14:textId="77777777" w:rsidR="00764B13" w:rsidRDefault="00764B13" w:rsidP="00965747">
            <w:pPr>
              <w:spacing w:before="0" w:after="0" w:line="252" w:lineRule="auto"/>
              <w:rPr>
                <w:sz w:val="18"/>
                <w:szCs w:val="18"/>
              </w:rPr>
            </w:pPr>
            <w:r>
              <w:rPr>
                <w:rFonts w:eastAsia="Times New Roman"/>
                <w:color w:val="000000"/>
                <w:sz w:val="16"/>
                <w:szCs w:val="18"/>
              </w:rPr>
              <w:t>Age</w:t>
            </w:r>
          </w:p>
        </w:tc>
        <w:tc>
          <w:tcPr>
            <w:tcW w:w="1900" w:type="dxa"/>
            <w:tcBorders>
              <w:top w:val="nil"/>
              <w:left w:val="nil"/>
              <w:bottom w:val="nil"/>
              <w:right w:val="nil"/>
            </w:tcBorders>
            <w:tcMar>
              <w:top w:w="80" w:type="dxa"/>
              <w:left w:w="100" w:type="dxa"/>
              <w:bottom w:w="80" w:type="dxa"/>
              <w:right w:w="100" w:type="dxa"/>
            </w:tcMar>
            <w:vAlign w:val="center"/>
          </w:tcPr>
          <w:p w14:paraId="253FC1C8" w14:textId="77777777" w:rsidR="00764B13" w:rsidRDefault="00764B13" w:rsidP="00965747">
            <w:pPr>
              <w:spacing w:before="0" w:after="0" w:line="252" w:lineRule="auto"/>
              <w:jc w:val="center"/>
              <w:rPr>
                <w:sz w:val="18"/>
                <w:szCs w:val="18"/>
              </w:rPr>
            </w:pPr>
            <w:r>
              <w:rPr>
                <w:rFonts w:eastAsia="Times New Roman"/>
                <w:color w:val="000000"/>
                <w:sz w:val="16"/>
                <w:szCs w:val="18"/>
              </w:rPr>
              <w:t>61.267</w:t>
            </w:r>
          </w:p>
        </w:tc>
        <w:tc>
          <w:tcPr>
            <w:tcW w:w="1900" w:type="dxa"/>
            <w:tcBorders>
              <w:top w:val="nil"/>
              <w:left w:val="nil"/>
              <w:bottom w:val="nil"/>
              <w:right w:val="nil"/>
            </w:tcBorders>
            <w:tcMar>
              <w:top w:w="80" w:type="dxa"/>
              <w:left w:w="100" w:type="dxa"/>
              <w:bottom w:w="80" w:type="dxa"/>
              <w:right w:w="100" w:type="dxa"/>
            </w:tcMar>
            <w:vAlign w:val="center"/>
          </w:tcPr>
          <w:p w14:paraId="19F9E216" w14:textId="77777777" w:rsidR="00764B13" w:rsidRDefault="00764B13" w:rsidP="00965747">
            <w:pPr>
              <w:spacing w:before="0" w:after="0" w:line="252" w:lineRule="auto"/>
              <w:jc w:val="center"/>
              <w:rPr>
                <w:sz w:val="18"/>
                <w:szCs w:val="18"/>
              </w:rPr>
            </w:pPr>
            <w:r>
              <w:rPr>
                <w:rFonts w:eastAsia="Times New Roman"/>
                <w:color w:val="000000"/>
                <w:sz w:val="16"/>
                <w:szCs w:val="18"/>
              </w:rPr>
              <w:t>62.104</w:t>
            </w:r>
          </w:p>
        </w:tc>
        <w:tc>
          <w:tcPr>
            <w:tcW w:w="2226" w:type="dxa"/>
            <w:tcBorders>
              <w:top w:val="nil"/>
              <w:left w:val="nil"/>
              <w:bottom w:val="nil"/>
              <w:right w:val="nil"/>
            </w:tcBorders>
            <w:tcMar>
              <w:top w:w="80" w:type="dxa"/>
              <w:left w:w="100" w:type="dxa"/>
              <w:bottom w:w="80" w:type="dxa"/>
              <w:right w:w="100" w:type="dxa"/>
            </w:tcMar>
            <w:vAlign w:val="center"/>
          </w:tcPr>
          <w:p w14:paraId="226323F6" w14:textId="77777777" w:rsidR="00764B13" w:rsidRDefault="00764B13" w:rsidP="00965747">
            <w:pPr>
              <w:spacing w:before="0" w:after="0" w:line="252" w:lineRule="auto"/>
              <w:jc w:val="center"/>
              <w:rPr>
                <w:sz w:val="18"/>
                <w:szCs w:val="18"/>
              </w:rPr>
            </w:pPr>
            <w:r>
              <w:rPr>
                <w:rFonts w:eastAsia="Times New Roman"/>
                <w:color w:val="000000"/>
                <w:sz w:val="16"/>
                <w:szCs w:val="18"/>
              </w:rPr>
              <w:t>-0.092</w:t>
            </w:r>
          </w:p>
        </w:tc>
      </w:tr>
      <w:tr w:rsidR="00764B13" w14:paraId="36E31A97"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267B0CCA" w14:textId="77777777" w:rsidR="00764B13" w:rsidRDefault="00764B13" w:rsidP="00965747">
            <w:pPr>
              <w:spacing w:before="0" w:after="0" w:line="252" w:lineRule="auto"/>
              <w:rPr>
                <w:sz w:val="18"/>
                <w:szCs w:val="18"/>
              </w:rPr>
            </w:pPr>
            <w:r>
              <w:rPr>
                <w:rFonts w:eastAsia="Times New Roman"/>
                <w:color w:val="000000"/>
                <w:sz w:val="16"/>
                <w:szCs w:val="18"/>
              </w:rPr>
              <w:t>Male</w:t>
            </w:r>
          </w:p>
        </w:tc>
        <w:tc>
          <w:tcPr>
            <w:tcW w:w="1900" w:type="dxa"/>
            <w:tcBorders>
              <w:top w:val="nil"/>
              <w:left w:val="nil"/>
              <w:bottom w:val="nil"/>
              <w:right w:val="nil"/>
            </w:tcBorders>
            <w:tcMar>
              <w:top w:w="80" w:type="dxa"/>
              <w:left w:w="100" w:type="dxa"/>
              <w:bottom w:w="80" w:type="dxa"/>
              <w:right w:w="100" w:type="dxa"/>
            </w:tcMar>
            <w:vAlign w:val="center"/>
          </w:tcPr>
          <w:p w14:paraId="59A65754" w14:textId="77777777" w:rsidR="00764B13" w:rsidRDefault="00764B13" w:rsidP="00965747">
            <w:pPr>
              <w:spacing w:before="0" w:after="0" w:line="252" w:lineRule="auto"/>
              <w:jc w:val="center"/>
              <w:rPr>
                <w:sz w:val="18"/>
                <w:szCs w:val="18"/>
              </w:rPr>
            </w:pPr>
            <w:r>
              <w:rPr>
                <w:rFonts w:eastAsia="Times New Roman"/>
                <w:color w:val="000000"/>
                <w:sz w:val="16"/>
                <w:szCs w:val="18"/>
              </w:rPr>
              <w:t>0.468</w:t>
            </w:r>
          </w:p>
        </w:tc>
        <w:tc>
          <w:tcPr>
            <w:tcW w:w="1900" w:type="dxa"/>
            <w:tcBorders>
              <w:top w:val="nil"/>
              <w:left w:val="nil"/>
              <w:bottom w:val="nil"/>
              <w:right w:val="nil"/>
            </w:tcBorders>
            <w:tcMar>
              <w:top w:w="80" w:type="dxa"/>
              <w:left w:w="100" w:type="dxa"/>
              <w:bottom w:w="80" w:type="dxa"/>
              <w:right w:w="100" w:type="dxa"/>
            </w:tcMar>
            <w:vAlign w:val="center"/>
          </w:tcPr>
          <w:p w14:paraId="5D712953" w14:textId="77777777" w:rsidR="00764B13" w:rsidRDefault="00764B13" w:rsidP="00965747">
            <w:pPr>
              <w:spacing w:before="0" w:after="0" w:line="252" w:lineRule="auto"/>
              <w:jc w:val="center"/>
              <w:rPr>
                <w:sz w:val="18"/>
                <w:szCs w:val="18"/>
              </w:rPr>
            </w:pPr>
            <w:r>
              <w:rPr>
                <w:rFonts w:eastAsia="Times New Roman"/>
                <w:color w:val="000000"/>
                <w:sz w:val="16"/>
                <w:szCs w:val="18"/>
              </w:rPr>
              <w:t>0.481</w:t>
            </w:r>
          </w:p>
        </w:tc>
        <w:tc>
          <w:tcPr>
            <w:tcW w:w="2226" w:type="dxa"/>
            <w:tcBorders>
              <w:top w:val="nil"/>
              <w:left w:val="nil"/>
              <w:bottom w:val="nil"/>
              <w:right w:val="nil"/>
            </w:tcBorders>
            <w:tcMar>
              <w:top w:w="80" w:type="dxa"/>
              <w:left w:w="100" w:type="dxa"/>
              <w:bottom w:w="80" w:type="dxa"/>
              <w:right w:w="100" w:type="dxa"/>
            </w:tcMar>
            <w:vAlign w:val="center"/>
          </w:tcPr>
          <w:p w14:paraId="594B4000" w14:textId="77777777" w:rsidR="00764B13" w:rsidRDefault="00764B13" w:rsidP="00965747">
            <w:pPr>
              <w:spacing w:before="0" w:after="0" w:line="252" w:lineRule="auto"/>
              <w:jc w:val="center"/>
              <w:rPr>
                <w:sz w:val="18"/>
                <w:szCs w:val="18"/>
              </w:rPr>
            </w:pPr>
            <w:r>
              <w:rPr>
                <w:rFonts w:eastAsia="Times New Roman"/>
                <w:color w:val="000000"/>
                <w:sz w:val="16"/>
                <w:szCs w:val="18"/>
              </w:rPr>
              <w:t>-0.026</w:t>
            </w:r>
          </w:p>
        </w:tc>
      </w:tr>
      <w:tr w:rsidR="00764B13" w14:paraId="6FB5621C"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417FDD7C" w14:textId="77777777" w:rsidR="00764B13" w:rsidRDefault="00764B13" w:rsidP="00965747">
            <w:pPr>
              <w:spacing w:before="0" w:after="0" w:line="252" w:lineRule="auto"/>
              <w:rPr>
                <w:sz w:val="18"/>
                <w:szCs w:val="18"/>
              </w:rPr>
            </w:pPr>
            <w:r>
              <w:rPr>
                <w:rFonts w:eastAsia="Times New Roman"/>
                <w:color w:val="000000"/>
                <w:sz w:val="16"/>
                <w:szCs w:val="18"/>
              </w:rPr>
              <w:t>Rural residence</w:t>
            </w:r>
          </w:p>
        </w:tc>
        <w:tc>
          <w:tcPr>
            <w:tcW w:w="1900" w:type="dxa"/>
            <w:tcBorders>
              <w:top w:val="nil"/>
              <w:left w:val="nil"/>
              <w:bottom w:val="nil"/>
              <w:right w:val="nil"/>
            </w:tcBorders>
            <w:tcMar>
              <w:top w:w="80" w:type="dxa"/>
              <w:left w:w="100" w:type="dxa"/>
              <w:bottom w:w="80" w:type="dxa"/>
              <w:right w:w="100" w:type="dxa"/>
            </w:tcMar>
            <w:vAlign w:val="center"/>
          </w:tcPr>
          <w:p w14:paraId="6160B496" w14:textId="77777777" w:rsidR="00764B13" w:rsidRDefault="00764B13" w:rsidP="00965747">
            <w:pPr>
              <w:spacing w:before="0" w:after="0" w:line="252" w:lineRule="auto"/>
              <w:jc w:val="center"/>
              <w:rPr>
                <w:sz w:val="18"/>
                <w:szCs w:val="18"/>
              </w:rPr>
            </w:pPr>
            <w:r>
              <w:rPr>
                <w:rFonts w:eastAsia="Times New Roman"/>
                <w:color w:val="000000"/>
                <w:sz w:val="16"/>
                <w:szCs w:val="18"/>
              </w:rPr>
              <w:t>0.759</w:t>
            </w:r>
          </w:p>
        </w:tc>
        <w:tc>
          <w:tcPr>
            <w:tcW w:w="1900" w:type="dxa"/>
            <w:tcBorders>
              <w:top w:val="nil"/>
              <w:left w:val="nil"/>
              <w:bottom w:val="nil"/>
              <w:right w:val="nil"/>
            </w:tcBorders>
            <w:tcMar>
              <w:top w:w="80" w:type="dxa"/>
              <w:left w:w="100" w:type="dxa"/>
              <w:bottom w:w="80" w:type="dxa"/>
              <w:right w:w="100" w:type="dxa"/>
            </w:tcMar>
            <w:vAlign w:val="center"/>
          </w:tcPr>
          <w:p w14:paraId="55FCD6D3" w14:textId="77777777" w:rsidR="00764B13" w:rsidRDefault="00764B13" w:rsidP="00965747">
            <w:pPr>
              <w:spacing w:before="0" w:after="0" w:line="252" w:lineRule="auto"/>
              <w:jc w:val="center"/>
              <w:rPr>
                <w:sz w:val="18"/>
                <w:szCs w:val="18"/>
              </w:rPr>
            </w:pPr>
            <w:r>
              <w:rPr>
                <w:rFonts w:eastAsia="Times New Roman"/>
                <w:color w:val="000000"/>
                <w:sz w:val="16"/>
                <w:szCs w:val="18"/>
              </w:rPr>
              <w:t>0.612</w:t>
            </w:r>
          </w:p>
        </w:tc>
        <w:tc>
          <w:tcPr>
            <w:tcW w:w="2226" w:type="dxa"/>
            <w:tcBorders>
              <w:top w:val="nil"/>
              <w:left w:val="nil"/>
              <w:bottom w:val="nil"/>
              <w:right w:val="nil"/>
            </w:tcBorders>
            <w:tcMar>
              <w:top w:w="80" w:type="dxa"/>
              <w:left w:w="100" w:type="dxa"/>
              <w:bottom w:w="80" w:type="dxa"/>
              <w:right w:w="100" w:type="dxa"/>
            </w:tcMar>
            <w:vAlign w:val="center"/>
          </w:tcPr>
          <w:p w14:paraId="5FCA51EA" w14:textId="77777777" w:rsidR="00764B13" w:rsidRDefault="00764B13" w:rsidP="00965747">
            <w:pPr>
              <w:spacing w:before="0" w:after="0" w:line="252" w:lineRule="auto"/>
              <w:jc w:val="center"/>
              <w:rPr>
                <w:sz w:val="18"/>
                <w:szCs w:val="18"/>
              </w:rPr>
            </w:pPr>
            <w:r>
              <w:rPr>
                <w:rFonts w:eastAsia="Times New Roman"/>
                <w:color w:val="000000"/>
                <w:sz w:val="16"/>
                <w:szCs w:val="18"/>
              </w:rPr>
              <w:t>0.322</w:t>
            </w:r>
          </w:p>
        </w:tc>
      </w:tr>
      <w:tr w:rsidR="00764B13" w14:paraId="0545C34A"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1C81BFCA" w14:textId="77777777" w:rsidR="00764B13" w:rsidRDefault="00764B13" w:rsidP="00965747">
            <w:pPr>
              <w:spacing w:before="0" w:after="0" w:line="252" w:lineRule="auto"/>
              <w:rPr>
                <w:sz w:val="18"/>
                <w:szCs w:val="18"/>
              </w:rPr>
            </w:pPr>
            <w:r>
              <w:rPr>
                <w:rFonts w:eastAsia="Times New Roman"/>
                <w:color w:val="000000"/>
                <w:sz w:val="16"/>
                <w:szCs w:val="18"/>
              </w:rPr>
              <w:t>Married or partnered</w:t>
            </w:r>
          </w:p>
        </w:tc>
        <w:tc>
          <w:tcPr>
            <w:tcW w:w="1900" w:type="dxa"/>
            <w:tcBorders>
              <w:top w:val="nil"/>
              <w:left w:val="nil"/>
              <w:bottom w:val="nil"/>
              <w:right w:val="nil"/>
            </w:tcBorders>
            <w:tcMar>
              <w:top w:w="80" w:type="dxa"/>
              <w:left w:w="100" w:type="dxa"/>
              <w:bottom w:w="80" w:type="dxa"/>
              <w:right w:w="100" w:type="dxa"/>
            </w:tcMar>
            <w:vAlign w:val="center"/>
          </w:tcPr>
          <w:p w14:paraId="38A76659" w14:textId="77777777" w:rsidR="00764B13" w:rsidRDefault="00764B13" w:rsidP="00965747">
            <w:pPr>
              <w:spacing w:before="0" w:after="0" w:line="252" w:lineRule="auto"/>
              <w:jc w:val="center"/>
              <w:rPr>
                <w:sz w:val="18"/>
                <w:szCs w:val="18"/>
              </w:rPr>
            </w:pPr>
            <w:r>
              <w:rPr>
                <w:rFonts w:eastAsia="Times New Roman"/>
                <w:color w:val="000000"/>
                <w:sz w:val="16"/>
                <w:szCs w:val="18"/>
              </w:rPr>
              <w:t>0.847</w:t>
            </w:r>
          </w:p>
        </w:tc>
        <w:tc>
          <w:tcPr>
            <w:tcW w:w="1900" w:type="dxa"/>
            <w:tcBorders>
              <w:top w:val="nil"/>
              <w:left w:val="nil"/>
              <w:bottom w:val="nil"/>
              <w:right w:val="nil"/>
            </w:tcBorders>
            <w:tcMar>
              <w:top w:w="80" w:type="dxa"/>
              <w:left w:w="100" w:type="dxa"/>
              <w:bottom w:w="80" w:type="dxa"/>
              <w:right w:w="100" w:type="dxa"/>
            </w:tcMar>
            <w:vAlign w:val="center"/>
          </w:tcPr>
          <w:p w14:paraId="090E467E" w14:textId="77777777" w:rsidR="00764B13" w:rsidRDefault="00764B13" w:rsidP="00965747">
            <w:pPr>
              <w:spacing w:before="0" w:after="0" w:line="252" w:lineRule="auto"/>
              <w:jc w:val="center"/>
              <w:rPr>
                <w:sz w:val="18"/>
                <w:szCs w:val="18"/>
              </w:rPr>
            </w:pPr>
            <w:r>
              <w:rPr>
                <w:rFonts w:eastAsia="Times New Roman"/>
                <w:color w:val="000000"/>
                <w:sz w:val="16"/>
                <w:szCs w:val="18"/>
              </w:rPr>
              <w:t>0.836</w:t>
            </w:r>
          </w:p>
        </w:tc>
        <w:tc>
          <w:tcPr>
            <w:tcW w:w="2226" w:type="dxa"/>
            <w:tcBorders>
              <w:top w:val="nil"/>
              <w:left w:val="nil"/>
              <w:bottom w:val="nil"/>
              <w:right w:val="nil"/>
            </w:tcBorders>
            <w:tcMar>
              <w:top w:w="80" w:type="dxa"/>
              <w:left w:w="100" w:type="dxa"/>
              <w:bottom w:w="80" w:type="dxa"/>
              <w:right w:w="100" w:type="dxa"/>
            </w:tcMar>
            <w:vAlign w:val="center"/>
          </w:tcPr>
          <w:p w14:paraId="03B3014E" w14:textId="77777777" w:rsidR="00764B13" w:rsidRDefault="00764B13" w:rsidP="00965747">
            <w:pPr>
              <w:spacing w:before="0" w:after="0" w:line="252" w:lineRule="auto"/>
              <w:jc w:val="center"/>
              <w:rPr>
                <w:sz w:val="18"/>
                <w:szCs w:val="18"/>
              </w:rPr>
            </w:pPr>
            <w:r>
              <w:rPr>
                <w:rFonts w:eastAsia="Times New Roman"/>
                <w:color w:val="000000"/>
                <w:sz w:val="16"/>
                <w:szCs w:val="18"/>
              </w:rPr>
              <w:t>0.033</w:t>
            </w:r>
          </w:p>
        </w:tc>
      </w:tr>
      <w:tr w:rsidR="00764B13" w14:paraId="2B16D57B" w14:textId="77777777" w:rsidTr="00965747">
        <w:trPr>
          <w:cantSplit/>
        </w:trPr>
        <w:tc>
          <w:tcPr>
            <w:tcW w:w="3000" w:type="dxa"/>
            <w:tcBorders>
              <w:top w:val="nil"/>
              <w:left w:val="nil"/>
              <w:bottom w:val="nil"/>
              <w:right w:val="nil"/>
            </w:tcBorders>
            <w:tcMar>
              <w:top w:w="80" w:type="dxa"/>
              <w:left w:w="100" w:type="dxa"/>
              <w:bottom w:w="80" w:type="dxa"/>
              <w:right w:w="100" w:type="dxa"/>
            </w:tcMar>
            <w:vAlign w:val="center"/>
          </w:tcPr>
          <w:p w14:paraId="606198F7" w14:textId="77777777" w:rsidR="00764B13" w:rsidRDefault="00764B13" w:rsidP="00965747">
            <w:pPr>
              <w:spacing w:before="0" w:after="0" w:line="252" w:lineRule="auto"/>
              <w:rPr>
                <w:sz w:val="18"/>
                <w:szCs w:val="18"/>
              </w:rPr>
            </w:pPr>
            <w:r>
              <w:rPr>
                <w:rFonts w:eastAsia="Times New Roman"/>
                <w:color w:val="000000"/>
                <w:sz w:val="16"/>
                <w:szCs w:val="18"/>
              </w:rPr>
              <w:t>Current smoking</w:t>
            </w:r>
          </w:p>
        </w:tc>
        <w:tc>
          <w:tcPr>
            <w:tcW w:w="1900" w:type="dxa"/>
            <w:tcBorders>
              <w:top w:val="nil"/>
              <w:left w:val="nil"/>
              <w:bottom w:val="nil"/>
              <w:right w:val="nil"/>
            </w:tcBorders>
            <w:tcMar>
              <w:top w:w="80" w:type="dxa"/>
              <w:left w:w="100" w:type="dxa"/>
              <w:bottom w:w="80" w:type="dxa"/>
              <w:right w:w="100" w:type="dxa"/>
            </w:tcMar>
            <w:vAlign w:val="center"/>
          </w:tcPr>
          <w:p w14:paraId="1B362695" w14:textId="77777777" w:rsidR="00764B13" w:rsidRDefault="00764B13" w:rsidP="00965747">
            <w:pPr>
              <w:spacing w:before="0" w:after="0" w:line="252" w:lineRule="auto"/>
              <w:jc w:val="center"/>
              <w:rPr>
                <w:sz w:val="18"/>
                <w:szCs w:val="18"/>
              </w:rPr>
            </w:pPr>
            <w:r>
              <w:rPr>
                <w:rFonts w:eastAsia="Times New Roman"/>
                <w:color w:val="000000"/>
                <w:sz w:val="16"/>
                <w:szCs w:val="18"/>
              </w:rPr>
              <w:t>0.407</w:t>
            </w:r>
          </w:p>
        </w:tc>
        <w:tc>
          <w:tcPr>
            <w:tcW w:w="1900" w:type="dxa"/>
            <w:tcBorders>
              <w:top w:val="nil"/>
              <w:left w:val="nil"/>
              <w:bottom w:val="nil"/>
              <w:right w:val="nil"/>
            </w:tcBorders>
            <w:tcMar>
              <w:top w:w="80" w:type="dxa"/>
              <w:left w:w="100" w:type="dxa"/>
              <w:bottom w:w="80" w:type="dxa"/>
              <w:right w:w="100" w:type="dxa"/>
            </w:tcMar>
            <w:vAlign w:val="center"/>
          </w:tcPr>
          <w:p w14:paraId="0772D65C" w14:textId="77777777" w:rsidR="00764B13" w:rsidRDefault="00764B13" w:rsidP="00965747">
            <w:pPr>
              <w:spacing w:before="0" w:after="0" w:line="252" w:lineRule="auto"/>
              <w:jc w:val="center"/>
              <w:rPr>
                <w:sz w:val="18"/>
                <w:szCs w:val="18"/>
              </w:rPr>
            </w:pPr>
            <w:r>
              <w:rPr>
                <w:rFonts w:eastAsia="Times New Roman"/>
                <w:color w:val="000000"/>
                <w:sz w:val="16"/>
                <w:szCs w:val="18"/>
              </w:rPr>
              <w:t>0.320</w:t>
            </w:r>
          </w:p>
        </w:tc>
        <w:tc>
          <w:tcPr>
            <w:tcW w:w="2226" w:type="dxa"/>
            <w:tcBorders>
              <w:top w:val="nil"/>
              <w:left w:val="nil"/>
              <w:bottom w:val="nil"/>
              <w:right w:val="nil"/>
            </w:tcBorders>
            <w:tcMar>
              <w:top w:w="80" w:type="dxa"/>
              <w:left w:w="100" w:type="dxa"/>
              <w:bottom w:w="80" w:type="dxa"/>
              <w:right w:w="100" w:type="dxa"/>
            </w:tcMar>
            <w:vAlign w:val="center"/>
          </w:tcPr>
          <w:p w14:paraId="5B962BB0" w14:textId="77777777" w:rsidR="00764B13" w:rsidRDefault="00764B13" w:rsidP="00965747">
            <w:pPr>
              <w:spacing w:before="0" w:after="0" w:line="252" w:lineRule="auto"/>
              <w:jc w:val="center"/>
              <w:rPr>
                <w:sz w:val="18"/>
                <w:szCs w:val="18"/>
              </w:rPr>
            </w:pPr>
            <w:r>
              <w:rPr>
                <w:rFonts w:eastAsia="Times New Roman"/>
                <w:color w:val="000000"/>
                <w:sz w:val="16"/>
                <w:szCs w:val="18"/>
              </w:rPr>
              <w:t>0.182</w:t>
            </w:r>
          </w:p>
        </w:tc>
      </w:tr>
      <w:tr w:rsidR="00764B13" w14:paraId="7563496C" w14:textId="77777777" w:rsidTr="00965747">
        <w:trPr>
          <w:cantSplit/>
        </w:trPr>
        <w:tc>
          <w:tcPr>
            <w:tcW w:w="3000" w:type="dxa"/>
            <w:tcBorders>
              <w:top w:val="nil"/>
              <w:left w:val="nil"/>
              <w:bottom w:val="single" w:sz="12" w:space="0" w:color="000000"/>
              <w:right w:val="nil"/>
            </w:tcBorders>
            <w:tcMar>
              <w:top w:w="80" w:type="dxa"/>
              <w:left w:w="100" w:type="dxa"/>
              <w:bottom w:w="80" w:type="dxa"/>
              <w:right w:w="100" w:type="dxa"/>
            </w:tcMar>
            <w:vAlign w:val="center"/>
          </w:tcPr>
          <w:p w14:paraId="2608A1A8" w14:textId="77777777" w:rsidR="00764B13" w:rsidRDefault="00764B13" w:rsidP="00965747">
            <w:pPr>
              <w:spacing w:before="0" w:after="0" w:line="252" w:lineRule="auto"/>
              <w:rPr>
                <w:sz w:val="18"/>
                <w:szCs w:val="18"/>
              </w:rPr>
            </w:pPr>
            <w:r>
              <w:rPr>
                <w:rFonts w:eastAsia="Times New Roman"/>
                <w:color w:val="000000"/>
                <w:sz w:val="16"/>
                <w:szCs w:val="18"/>
              </w:rPr>
              <w:t>Current alcohol use</w:t>
            </w:r>
          </w:p>
        </w:tc>
        <w:tc>
          <w:tcPr>
            <w:tcW w:w="1900" w:type="dxa"/>
            <w:tcBorders>
              <w:top w:val="nil"/>
              <w:left w:val="nil"/>
              <w:bottom w:val="single" w:sz="12" w:space="0" w:color="000000"/>
              <w:right w:val="nil"/>
            </w:tcBorders>
            <w:tcMar>
              <w:top w:w="80" w:type="dxa"/>
              <w:left w:w="100" w:type="dxa"/>
              <w:bottom w:w="80" w:type="dxa"/>
              <w:right w:w="100" w:type="dxa"/>
            </w:tcMar>
            <w:vAlign w:val="center"/>
          </w:tcPr>
          <w:p w14:paraId="342E78EF" w14:textId="77777777" w:rsidR="00764B13" w:rsidRDefault="00764B13" w:rsidP="00965747">
            <w:pPr>
              <w:spacing w:before="0" w:after="0" w:line="252" w:lineRule="auto"/>
              <w:jc w:val="center"/>
              <w:rPr>
                <w:sz w:val="18"/>
                <w:szCs w:val="18"/>
              </w:rPr>
            </w:pPr>
            <w:r>
              <w:rPr>
                <w:rFonts w:eastAsia="Times New Roman"/>
                <w:color w:val="000000"/>
                <w:sz w:val="16"/>
                <w:szCs w:val="18"/>
              </w:rPr>
              <w:t>0.268</w:t>
            </w:r>
          </w:p>
        </w:tc>
        <w:tc>
          <w:tcPr>
            <w:tcW w:w="1900" w:type="dxa"/>
            <w:tcBorders>
              <w:top w:val="nil"/>
              <w:left w:val="nil"/>
              <w:bottom w:val="single" w:sz="12" w:space="0" w:color="000000"/>
              <w:right w:val="nil"/>
            </w:tcBorders>
            <w:tcMar>
              <w:top w:w="80" w:type="dxa"/>
              <w:left w:w="100" w:type="dxa"/>
              <w:bottom w:w="80" w:type="dxa"/>
              <w:right w:w="100" w:type="dxa"/>
            </w:tcMar>
            <w:vAlign w:val="center"/>
          </w:tcPr>
          <w:p w14:paraId="75E22690" w14:textId="77777777" w:rsidR="00764B13" w:rsidRDefault="00764B13" w:rsidP="00965747">
            <w:pPr>
              <w:spacing w:before="0" w:after="0" w:line="252" w:lineRule="auto"/>
              <w:jc w:val="center"/>
              <w:rPr>
                <w:sz w:val="18"/>
                <w:szCs w:val="18"/>
              </w:rPr>
            </w:pPr>
            <w:r>
              <w:rPr>
                <w:rFonts w:eastAsia="Times New Roman"/>
                <w:color w:val="000000"/>
                <w:sz w:val="16"/>
                <w:szCs w:val="18"/>
              </w:rPr>
              <w:t>0.272</w:t>
            </w:r>
          </w:p>
        </w:tc>
        <w:tc>
          <w:tcPr>
            <w:tcW w:w="2226" w:type="dxa"/>
            <w:tcBorders>
              <w:top w:val="nil"/>
              <w:left w:val="nil"/>
              <w:bottom w:val="single" w:sz="12" w:space="0" w:color="000000"/>
              <w:right w:val="nil"/>
            </w:tcBorders>
            <w:tcMar>
              <w:top w:w="80" w:type="dxa"/>
              <w:left w:w="100" w:type="dxa"/>
              <w:bottom w:w="80" w:type="dxa"/>
              <w:right w:w="100" w:type="dxa"/>
            </w:tcMar>
            <w:vAlign w:val="center"/>
          </w:tcPr>
          <w:p w14:paraId="7FEE55EC" w14:textId="77777777" w:rsidR="00764B13" w:rsidRDefault="00764B13" w:rsidP="00965747">
            <w:pPr>
              <w:spacing w:before="0" w:after="0" w:line="252" w:lineRule="auto"/>
              <w:jc w:val="center"/>
              <w:rPr>
                <w:sz w:val="18"/>
                <w:szCs w:val="18"/>
              </w:rPr>
            </w:pPr>
            <w:r>
              <w:rPr>
                <w:rFonts w:eastAsia="Times New Roman"/>
                <w:color w:val="000000"/>
                <w:sz w:val="16"/>
                <w:szCs w:val="18"/>
              </w:rPr>
              <w:t>-0.010</w:t>
            </w:r>
          </w:p>
        </w:tc>
      </w:tr>
    </w:tbl>
    <w:p w14:paraId="7D04BCD3" w14:textId="77777777" w:rsidR="00764B13" w:rsidRDefault="00764B13" w:rsidP="00764B13">
      <w:pPr>
        <w:spacing w:before="80" w:after="80" w:line="276" w:lineRule="auto"/>
      </w:pPr>
      <w:r>
        <w:rPr>
          <w:rFonts w:eastAsia="Times New Roman"/>
          <w:color w:val="000000"/>
          <w:sz w:val="17"/>
        </w:rPr>
        <w:t>Note: The main model included 16,031 participants and excluded 1,216 participants with missing education. An absolute standardized difference of at least 0.10 is commonly interpreted as evidence of imbalance. This table is a selection diagnostic and does not identify the missingness mechanism.</w:t>
      </w:r>
    </w:p>
    <w:p w14:paraId="39CCEFF3" w14:textId="77777777" w:rsidR="00764B13" w:rsidRDefault="00764B13" w:rsidP="00764B13">
      <w:pPr>
        <w:pStyle w:val="Heading1"/>
      </w:pPr>
      <w:r>
        <w:rPr>
          <w:rFonts w:ascii="Times New Roman" w:hAnsi="Times New Roman"/>
        </w:rPr>
        <w:t>Appendix C. Exploratory CFPS comparability assessment</w:t>
      </w:r>
    </w:p>
    <w:p w14:paraId="061E1C84" w14:textId="77777777" w:rsidR="00764B13" w:rsidRDefault="00764B13" w:rsidP="00764B13">
      <w:pPr>
        <w:pStyle w:val="Caption"/>
      </w:pPr>
      <w:r>
        <w:t>Table A3. Measurement comparability between CHARLS and CFPS analyses</w:t>
      </w:r>
    </w:p>
    <w:tbl>
      <w:tblPr>
        <w:tblW w:w="9026" w:type="dxa"/>
        <w:tblInd w:w="120" w:type="dxa"/>
        <w:tblLook w:val="04A0" w:firstRow="1" w:lastRow="0" w:firstColumn="1" w:lastColumn="0" w:noHBand="0" w:noVBand="1"/>
      </w:tblPr>
      <w:tblGrid>
        <w:gridCol w:w="2229"/>
        <w:gridCol w:w="2265"/>
        <w:gridCol w:w="2261"/>
        <w:gridCol w:w="2271"/>
      </w:tblGrid>
      <w:tr w:rsidR="00764B13" w14:paraId="5158350B" w14:textId="77777777" w:rsidTr="00965747">
        <w:trPr>
          <w:tblHeader/>
        </w:trPr>
        <w:tc>
          <w:tcPr>
            <w:tcW w:w="2444" w:type="dxa"/>
            <w:vAlign w:val="center"/>
          </w:tcPr>
          <w:p w14:paraId="4C38A242" w14:textId="77777777" w:rsidR="00764B13" w:rsidRDefault="00764B13" w:rsidP="00965747">
            <w:pPr>
              <w:spacing w:before="0" w:after="0"/>
            </w:pPr>
            <w:r>
              <w:rPr>
                <w:b/>
                <w:sz w:val="16"/>
              </w:rPr>
              <w:t>Domain</w:t>
            </w:r>
          </w:p>
        </w:tc>
        <w:tc>
          <w:tcPr>
            <w:tcW w:w="2444" w:type="dxa"/>
            <w:vAlign w:val="center"/>
          </w:tcPr>
          <w:p w14:paraId="33B5A18F" w14:textId="77777777" w:rsidR="00764B13" w:rsidRDefault="00764B13" w:rsidP="00965747">
            <w:pPr>
              <w:spacing w:before="0" w:after="0"/>
            </w:pPr>
            <w:r>
              <w:rPr>
                <w:b/>
                <w:sz w:val="16"/>
              </w:rPr>
              <w:t>CHARLS main analysis</w:t>
            </w:r>
          </w:p>
        </w:tc>
        <w:tc>
          <w:tcPr>
            <w:tcW w:w="2444" w:type="dxa"/>
            <w:vAlign w:val="center"/>
          </w:tcPr>
          <w:p w14:paraId="5A03ADC9" w14:textId="77777777" w:rsidR="00764B13" w:rsidRDefault="00764B13" w:rsidP="00965747">
            <w:pPr>
              <w:spacing w:before="0" w:after="0"/>
            </w:pPr>
            <w:r>
              <w:rPr>
                <w:b/>
                <w:sz w:val="16"/>
              </w:rPr>
              <w:t>CFPS exploratory analysis</w:t>
            </w:r>
          </w:p>
        </w:tc>
        <w:tc>
          <w:tcPr>
            <w:tcW w:w="2444" w:type="dxa"/>
            <w:vAlign w:val="center"/>
          </w:tcPr>
          <w:p w14:paraId="5A2ED2C2" w14:textId="77777777" w:rsidR="00764B13" w:rsidRDefault="00764B13" w:rsidP="00965747">
            <w:pPr>
              <w:spacing w:before="0" w:after="0"/>
            </w:pPr>
            <w:r>
              <w:rPr>
                <w:b/>
                <w:sz w:val="16"/>
              </w:rPr>
              <w:t>Interpretive consequence</w:t>
            </w:r>
          </w:p>
        </w:tc>
      </w:tr>
      <w:tr w:rsidR="00764B13" w14:paraId="212D4896" w14:textId="77777777" w:rsidTr="00965747">
        <w:tc>
          <w:tcPr>
            <w:tcW w:w="2444" w:type="dxa"/>
            <w:vAlign w:val="center"/>
          </w:tcPr>
          <w:p w14:paraId="3FF7B54C" w14:textId="77777777" w:rsidR="00764B13" w:rsidRDefault="00764B13" w:rsidP="00965747">
            <w:pPr>
              <w:spacing w:before="0" w:after="0"/>
            </w:pPr>
            <w:r>
              <w:rPr>
                <w:sz w:val="16"/>
              </w:rPr>
              <w:t>Exposure</w:t>
            </w:r>
          </w:p>
        </w:tc>
        <w:tc>
          <w:tcPr>
            <w:tcW w:w="2444" w:type="dxa"/>
            <w:vAlign w:val="center"/>
          </w:tcPr>
          <w:p w14:paraId="1CF2F755" w14:textId="77777777" w:rsidR="00764B13" w:rsidRDefault="00764B13" w:rsidP="00965747">
            <w:pPr>
              <w:spacing w:before="0" w:after="0"/>
            </w:pPr>
            <w:r>
              <w:rPr>
                <w:sz w:val="16"/>
              </w:rPr>
              <w:t>Retrospective fuel, kitchen, and housing items before age 17</w:t>
            </w:r>
          </w:p>
        </w:tc>
        <w:tc>
          <w:tcPr>
            <w:tcW w:w="2444" w:type="dxa"/>
            <w:vAlign w:val="center"/>
          </w:tcPr>
          <w:p w14:paraId="30073FBD" w14:textId="77777777" w:rsidR="00764B13" w:rsidRDefault="00764B13" w:rsidP="00965747">
            <w:pPr>
              <w:spacing w:before="0" w:after="0"/>
            </w:pPr>
            <w:r>
              <w:rPr>
                <w:sz w:val="16"/>
              </w:rPr>
              <w:t>Agricultural hukou, current rural residence, and community economic disadvantage</w:t>
            </w:r>
          </w:p>
        </w:tc>
        <w:tc>
          <w:tcPr>
            <w:tcW w:w="2444" w:type="dxa"/>
            <w:vAlign w:val="center"/>
          </w:tcPr>
          <w:p w14:paraId="2124F08E" w14:textId="77777777" w:rsidR="00764B13" w:rsidRDefault="00764B13" w:rsidP="00965747">
            <w:pPr>
              <w:spacing w:before="0" w:after="0"/>
            </w:pPr>
            <w:r>
              <w:rPr>
                <w:sz w:val="16"/>
              </w:rPr>
              <w:t>Broader environmental disadvantage; not a measurement-equivalent exposure</w:t>
            </w:r>
          </w:p>
        </w:tc>
      </w:tr>
      <w:tr w:rsidR="00764B13" w14:paraId="020F8BF5" w14:textId="77777777" w:rsidTr="00965747">
        <w:tc>
          <w:tcPr>
            <w:tcW w:w="2444" w:type="dxa"/>
            <w:vAlign w:val="center"/>
          </w:tcPr>
          <w:p w14:paraId="61466387" w14:textId="77777777" w:rsidR="00764B13" w:rsidRDefault="00764B13" w:rsidP="00965747">
            <w:pPr>
              <w:spacing w:before="0" w:after="0"/>
            </w:pPr>
            <w:r>
              <w:rPr>
                <w:sz w:val="16"/>
              </w:rPr>
              <w:t>Mental-health outcome</w:t>
            </w:r>
          </w:p>
        </w:tc>
        <w:tc>
          <w:tcPr>
            <w:tcW w:w="2444" w:type="dxa"/>
            <w:vAlign w:val="center"/>
          </w:tcPr>
          <w:p w14:paraId="6465255B" w14:textId="77777777" w:rsidR="00764B13" w:rsidRDefault="00764B13" w:rsidP="00965747">
            <w:pPr>
              <w:spacing w:before="0" w:after="0"/>
            </w:pPr>
            <w:r>
              <w:rPr>
                <w:sz w:val="16"/>
              </w:rPr>
              <w:t>CES-D-10 score (0-30)</w:t>
            </w:r>
          </w:p>
        </w:tc>
        <w:tc>
          <w:tcPr>
            <w:tcW w:w="2444" w:type="dxa"/>
            <w:vAlign w:val="center"/>
          </w:tcPr>
          <w:p w14:paraId="175702CE" w14:textId="77777777" w:rsidR="00764B13" w:rsidRDefault="00764B13" w:rsidP="00965747">
            <w:pPr>
              <w:spacing w:before="0" w:after="0"/>
            </w:pPr>
            <w:r>
              <w:rPr>
                <w:sz w:val="16"/>
              </w:rPr>
              <w:t>Self-rated health in 2020; six-item emotional-distress score in 2016-2022</w:t>
            </w:r>
          </w:p>
        </w:tc>
        <w:tc>
          <w:tcPr>
            <w:tcW w:w="2444" w:type="dxa"/>
            <w:vAlign w:val="center"/>
          </w:tcPr>
          <w:p w14:paraId="00135E26" w14:textId="77777777" w:rsidR="00764B13" w:rsidRDefault="00764B13" w:rsidP="00965747">
            <w:pPr>
              <w:spacing w:before="0" w:after="0"/>
            </w:pPr>
            <w:r>
              <w:rPr>
                <w:sz w:val="16"/>
              </w:rPr>
              <w:t>Outcome constructs and item content differ</w:t>
            </w:r>
          </w:p>
        </w:tc>
      </w:tr>
      <w:tr w:rsidR="00764B13" w14:paraId="0C139F4E" w14:textId="77777777" w:rsidTr="00965747">
        <w:tc>
          <w:tcPr>
            <w:tcW w:w="2444" w:type="dxa"/>
            <w:vAlign w:val="center"/>
          </w:tcPr>
          <w:p w14:paraId="2978F9AB" w14:textId="77777777" w:rsidR="00764B13" w:rsidRDefault="00764B13" w:rsidP="00965747">
            <w:pPr>
              <w:spacing w:before="0" w:after="0"/>
            </w:pPr>
            <w:r>
              <w:rPr>
                <w:sz w:val="16"/>
              </w:rPr>
              <w:t>Physical activity</w:t>
            </w:r>
          </w:p>
        </w:tc>
        <w:tc>
          <w:tcPr>
            <w:tcW w:w="2444" w:type="dxa"/>
            <w:vAlign w:val="center"/>
          </w:tcPr>
          <w:p w14:paraId="210ED714" w14:textId="77777777" w:rsidR="00764B13" w:rsidRDefault="00764B13" w:rsidP="00965747">
            <w:pPr>
              <w:spacing w:before="0" w:after="0"/>
            </w:pPr>
            <w:r>
              <w:rPr>
                <w:sz w:val="16"/>
              </w:rPr>
              <w:t>Days per week and at least 3 days/week</w:t>
            </w:r>
          </w:p>
        </w:tc>
        <w:tc>
          <w:tcPr>
            <w:tcW w:w="2444" w:type="dxa"/>
            <w:vAlign w:val="center"/>
          </w:tcPr>
          <w:p w14:paraId="515DE63E" w14:textId="77777777" w:rsidR="00764B13" w:rsidRDefault="00764B13" w:rsidP="00965747">
            <w:pPr>
              <w:spacing w:before="0" w:after="0"/>
            </w:pPr>
            <w:r>
              <w:rPr>
                <w:sz w:val="16"/>
              </w:rPr>
              <w:t>Binary exercise indicator</w:t>
            </w:r>
          </w:p>
        </w:tc>
        <w:tc>
          <w:tcPr>
            <w:tcW w:w="2444" w:type="dxa"/>
            <w:vAlign w:val="center"/>
          </w:tcPr>
          <w:p w14:paraId="1A56B969" w14:textId="77777777" w:rsidR="00764B13" w:rsidRDefault="00764B13" w:rsidP="00965747">
            <w:pPr>
              <w:spacing w:before="0" w:after="0"/>
            </w:pPr>
            <w:r>
              <w:rPr>
                <w:sz w:val="16"/>
              </w:rPr>
              <w:t>Lower measurement resolution reduces interaction-test comparability</w:t>
            </w:r>
          </w:p>
        </w:tc>
      </w:tr>
      <w:tr w:rsidR="00764B13" w14:paraId="272591D9" w14:textId="77777777" w:rsidTr="00965747">
        <w:tc>
          <w:tcPr>
            <w:tcW w:w="2444" w:type="dxa"/>
            <w:vAlign w:val="center"/>
          </w:tcPr>
          <w:p w14:paraId="67D3229D" w14:textId="77777777" w:rsidR="00764B13" w:rsidRDefault="00764B13" w:rsidP="00965747">
            <w:pPr>
              <w:spacing w:before="0" w:after="0"/>
            </w:pPr>
            <w:r>
              <w:rPr>
                <w:sz w:val="16"/>
              </w:rPr>
              <w:t>Analytic sample</w:t>
            </w:r>
          </w:p>
        </w:tc>
        <w:tc>
          <w:tcPr>
            <w:tcW w:w="2444" w:type="dxa"/>
            <w:vAlign w:val="center"/>
          </w:tcPr>
          <w:p w14:paraId="29E3D27A" w14:textId="77777777" w:rsidR="00764B13" w:rsidRDefault="00764B13" w:rsidP="00965747">
            <w:pPr>
              <w:spacing w:before="0" w:after="0"/>
            </w:pPr>
            <w:r>
              <w:rPr>
                <w:sz w:val="16"/>
              </w:rPr>
              <w:t>2020 cross-section linked to 2014 life history</w:t>
            </w:r>
          </w:p>
        </w:tc>
        <w:tc>
          <w:tcPr>
            <w:tcW w:w="2444" w:type="dxa"/>
            <w:vAlign w:val="center"/>
          </w:tcPr>
          <w:p w14:paraId="240E6C50" w14:textId="77777777" w:rsidR="00764B13" w:rsidRDefault="00764B13" w:rsidP="00965747">
            <w:pPr>
              <w:spacing w:before="0" w:after="0"/>
            </w:pPr>
            <w:r>
              <w:rPr>
                <w:sz w:val="16"/>
              </w:rPr>
              <w:t>Preprocessed 2010-2022 balanced panel</w:t>
            </w:r>
          </w:p>
        </w:tc>
        <w:tc>
          <w:tcPr>
            <w:tcW w:w="2444" w:type="dxa"/>
            <w:vAlign w:val="center"/>
          </w:tcPr>
          <w:p w14:paraId="585DF24E" w14:textId="77777777" w:rsidR="00764B13" w:rsidRDefault="00764B13" w:rsidP="00965747">
            <w:pPr>
              <w:spacing w:before="0" w:after="0"/>
            </w:pPr>
            <w:r>
              <w:rPr>
                <w:sz w:val="16"/>
              </w:rPr>
              <w:t>Pooled CFPS observations include repeated measurements</w:t>
            </w:r>
          </w:p>
        </w:tc>
      </w:tr>
      <w:tr w:rsidR="00764B13" w14:paraId="7E1F0D9D" w14:textId="77777777" w:rsidTr="00965747">
        <w:tc>
          <w:tcPr>
            <w:tcW w:w="2444" w:type="dxa"/>
            <w:vAlign w:val="center"/>
          </w:tcPr>
          <w:p w14:paraId="675900CE" w14:textId="77777777" w:rsidR="00764B13" w:rsidRDefault="00764B13" w:rsidP="00965747">
            <w:pPr>
              <w:spacing w:before="0" w:after="0"/>
            </w:pPr>
            <w:r>
              <w:rPr>
                <w:sz w:val="16"/>
              </w:rPr>
              <w:t>Survey design</w:t>
            </w:r>
          </w:p>
        </w:tc>
        <w:tc>
          <w:tcPr>
            <w:tcW w:w="2444" w:type="dxa"/>
            <w:vAlign w:val="center"/>
          </w:tcPr>
          <w:p w14:paraId="5C80C9E8" w14:textId="77777777" w:rsidR="00764B13" w:rsidRDefault="00764B13" w:rsidP="00965747">
            <w:pPr>
              <w:spacing w:before="0" w:after="0"/>
            </w:pPr>
            <w:r>
              <w:rPr>
                <w:sz w:val="16"/>
              </w:rPr>
              <w:t>Community-clustered SE and province fixed effects; weights unavailable</w:t>
            </w:r>
          </w:p>
        </w:tc>
        <w:tc>
          <w:tcPr>
            <w:tcW w:w="2444" w:type="dxa"/>
            <w:vAlign w:val="center"/>
          </w:tcPr>
          <w:p w14:paraId="53CEB8C6" w14:textId="77777777" w:rsidR="00764B13" w:rsidRDefault="00764B13" w:rsidP="00965747">
            <w:pPr>
              <w:spacing w:before="0" w:after="0"/>
            </w:pPr>
            <w:r>
              <w:rPr>
                <w:sz w:val="16"/>
              </w:rPr>
              <w:t>HC1 robust SE with province or year fixed effects; design variables incomplete</w:t>
            </w:r>
          </w:p>
        </w:tc>
        <w:tc>
          <w:tcPr>
            <w:tcW w:w="2444" w:type="dxa"/>
            <w:vAlign w:val="center"/>
          </w:tcPr>
          <w:p w14:paraId="3C93688F" w14:textId="77777777" w:rsidR="00764B13" w:rsidRDefault="00764B13" w:rsidP="00965747">
            <w:pPr>
              <w:spacing w:before="0" w:after="0"/>
            </w:pPr>
            <w:r>
              <w:rPr>
                <w:sz w:val="16"/>
              </w:rPr>
              <w:t>Neither analysis reproduces full complex-survey inference</w:t>
            </w:r>
          </w:p>
        </w:tc>
      </w:tr>
    </w:tbl>
    <w:p w14:paraId="085A2DCF" w14:textId="77777777" w:rsidR="00764B13" w:rsidRDefault="00764B13" w:rsidP="00764B13">
      <w:r>
        <w:rPr>
          <w:sz w:val="17"/>
        </w:rPr>
        <w:t>Note: The CFPS analysis assesses transportability of a broad household-environment hypothesis. It should not be described as robust independent validation of the CHARLS exposure or moderation results.</w:t>
      </w:r>
    </w:p>
    <w:p w14:paraId="4A8A6F07"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13"/>
    <w:rsid w:val="001D3053"/>
    <w:rsid w:val="001E3A92"/>
    <w:rsid w:val="00217E67"/>
    <w:rsid w:val="002C7D54"/>
    <w:rsid w:val="0033371E"/>
    <w:rsid w:val="005C0D39"/>
    <w:rsid w:val="0070406C"/>
    <w:rsid w:val="00724754"/>
    <w:rsid w:val="00764B13"/>
    <w:rsid w:val="0077440E"/>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1247"/>
  <w15:chartTrackingRefBased/>
  <w15:docId w15:val="{95F681F2-8080-4F4F-A118-2287B379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B13"/>
    <w:pPr>
      <w:spacing w:before="120" w:after="240" w:line="240"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2"/>
    <w:qFormat/>
    <w:rsid w:val="00764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764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764B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2"/>
    <w:unhideWhenUsed/>
    <w:qFormat/>
    <w:rsid w:val="00764B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2"/>
    <w:unhideWhenUsed/>
    <w:qFormat/>
    <w:rsid w:val="00764B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B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B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B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B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qFormat/>
    <w:rsid w:val="00764B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B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B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B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B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B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B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B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B13"/>
    <w:rPr>
      <w:rFonts w:eastAsiaTheme="majorEastAsia" w:cstheme="majorBidi"/>
      <w:color w:val="272727" w:themeColor="text1" w:themeTint="D8"/>
    </w:rPr>
  </w:style>
  <w:style w:type="paragraph" w:styleId="Title">
    <w:name w:val="Title"/>
    <w:basedOn w:val="Normal"/>
    <w:next w:val="Normal"/>
    <w:link w:val="TitleChar"/>
    <w:uiPriority w:val="10"/>
    <w:qFormat/>
    <w:rsid w:val="00764B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B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B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B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B13"/>
    <w:pPr>
      <w:spacing w:before="160"/>
      <w:jc w:val="center"/>
    </w:pPr>
    <w:rPr>
      <w:i/>
      <w:iCs/>
      <w:color w:val="404040" w:themeColor="text1" w:themeTint="BF"/>
    </w:rPr>
  </w:style>
  <w:style w:type="character" w:customStyle="1" w:styleId="QuoteChar">
    <w:name w:val="Quote Char"/>
    <w:basedOn w:val="DefaultParagraphFont"/>
    <w:link w:val="Quote"/>
    <w:uiPriority w:val="29"/>
    <w:rsid w:val="00764B13"/>
    <w:rPr>
      <w:i/>
      <w:iCs/>
      <w:color w:val="404040" w:themeColor="text1" w:themeTint="BF"/>
    </w:rPr>
  </w:style>
  <w:style w:type="paragraph" w:styleId="ListParagraph">
    <w:name w:val="List Paragraph"/>
    <w:basedOn w:val="Normal"/>
    <w:uiPriority w:val="34"/>
    <w:qFormat/>
    <w:rsid w:val="00764B13"/>
    <w:pPr>
      <w:ind w:left="720"/>
      <w:contextualSpacing/>
    </w:pPr>
  </w:style>
  <w:style w:type="character" w:styleId="IntenseEmphasis">
    <w:name w:val="Intense Emphasis"/>
    <w:basedOn w:val="DefaultParagraphFont"/>
    <w:uiPriority w:val="21"/>
    <w:qFormat/>
    <w:rsid w:val="00764B13"/>
    <w:rPr>
      <w:i/>
      <w:iCs/>
      <w:color w:val="0F4761" w:themeColor="accent1" w:themeShade="BF"/>
    </w:rPr>
  </w:style>
  <w:style w:type="paragraph" w:styleId="IntenseQuote">
    <w:name w:val="Intense Quote"/>
    <w:basedOn w:val="Normal"/>
    <w:next w:val="Normal"/>
    <w:link w:val="IntenseQuoteChar"/>
    <w:uiPriority w:val="30"/>
    <w:qFormat/>
    <w:rsid w:val="00764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B13"/>
    <w:rPr>
      <w:i/>
      <w:iCs/>
      <w:color w:val="0F4761" w:themeColor="accent1" w:themeShade="BF"/>
    </w:rPr>
  </w:style>
  <w:style w:type="character" w:styleId="IntenseReference">
    <w:name w:val="Intense Reference"/>
    <w:basedOn w:val="DefaultParagraphFont"/>
    <w:uiPriority w:val="32"/>
    <w:qFormat/>
    <w:rsid w:val="00764B13"/>
    <w:rPr>
      <w:b/>
      <w:bCs/>
      <w:smallCaps/>
      <w:color w:val="0F4761" w:themeColor="accent1" w:themeShade="BF"/>
      <w:spacing w:val="5"/>
    </w:rPr>
  </w:style>
  <w:style w:type="paragraph" w:styleId="Caption">
    <w:name w:val="caption"/>
    <w:basedOn w:val="Normal"/>
    <w:next w:val="NoSpacing"/>
    <w:uiPriority w:val="35"/>
    <w:unhideWhenUsed/>
    <w:qFormat/>
    <w:rsid w:val="00764B13"/>
    <w:pPr>
      <w:keepNext/>
    </w:pPr>
    <w:rPr>
      <w:rFonts w:cs="Times New Roman"/>
      <w:b/>
      <w:bCs/>
      <w:szCs w:val="24"/>
    </w:rPr>
  </w:style>
  <w:style w:type="paragraph" w:styleId="NoSpacing">
    <w:name w:val="No Spacing"/>
    <w:uiPriority w:val="1"/>
    <w:qFormat/>
    <w:rsid w:val="00764B13"/>
    <w:pPr>
      <w:spacing w:after="0" w:line="240" w:lineRule="auto"/>
    </w:pPr>
    <w:rPr>
      <w:rFonts w:ascii="Times New Roman" w:hAnsi="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2026-09-08T14:17:00Z</dcterms:created>
  <dcterms:modified xsi:type="dcterms:W3CDTF">2026-09-08T14:17:00Z</dcterms:modified>
</cp:coreProperties>
</file>