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96C79" w14:textId="77777777" w:rsidR="002A5CF3" w:rsidRDefault="00A66EF6" w:rsidP="00292399">
      <w:pPr>
        <w:pStyle w:val="Titel"/>
      </w:pPr>
      <w:bookmarkStart w:id="0" w:name="_GoBack"/>
      <w:bookmarkEnd w:id="0"/>
      <w:r>
        <w:t>Gene–Radon Interaction Effects on Lung Cancer Risk: Validation of Susceptibility Loci Using Archived DNA from German Uranium Miners</w:t>
      </w:r>
    </w:p>
    <w:p w14:paraId="3D596C7A" w14:textId="77777777" w:rsidR="002A5CF3" w:rsidRDefault="002A5CF3"/>
    <w:p w14:paraId="3D596C7B" w14:textId="123DA59D" w:rsidR="002A5CF3" w:rsidRPr="00182371" w:rsidRDefault="00A66EF6">
      <w:r w:rsidRPr="00182371">
        <w:t>Rosenberger Albert, Bonzheim Irina, Fend Falko, Hochstrat Beate, Johnen Georg,</w:t>
      </w:r>
      <w:r w:rsidR="00915457" w:rsidRPr="00182371">
        <w:t xml:space="preserve"> </w:t>
      </w:r>
      <w:r w:rsidRPr="00182371">
        <w:t>Brik Alexander, Rozynek Peter, Bickeböller Heike, Mörtl Simone, Gomolka Maria</w:t>
      </w:r>
    </w:p>
    <w:p w14:paraId="3D597103" w14:textId="027B0E7F" w:rsidR="002A5CF3" w:rsidRDefault="00A66EF6" w:rsidP="00BB36AB">
      <w:pPr>
        <w:pStyle w:val="berschrift1"/>
        <w:pageBreakBefore/>
      </w:pPr>
      <w:r>
        <w:lastRenderedPageBreak/>
        <w:t>Supplementary Information</w:t>
      </w:r>
    </w:p>
    <w:p w14:paraId="3D597104" w14:textId="0BB9A3FE" w:rsidR="002A5CF3" w:rsidRDefault="00431EE7" w:rsidP="00431EE7">
      <w:pPr>
        <w:pStyle w:val="berschrift2"/>
      </w:pPr>
      <w:r>
        <w:t>Priority list of markers to be typed</w:t>
      </w:r>
    </w:p>
    <w:p w14:paraId="173D0657" w14:textId="214E4B06" w:rsidR="00431EE7" w:rsidRDefault="00431EE7" w:rsidP="00431EE7">
      <w:pPr>
        <w:rPr>
          <w:szCs w:val="20"/>
        </w:rPr>
      </w:pPr>
      <w:r>
        <w:t xml:space="preserve">Based on an extensive literature search, a list of 34 genes was compiled, evaluated and prioritised according to association, function and expression </w:t>
      </w:r>
      <w:r>
        <w:fldChar w:fldCharType="begin"/>
      </w:r>
      <w:r w:rsidR="00F53735">
        <w:instrText xml:space="preserve"> ADDIN ZOTERO_ITEM CSL_CITATION {"citationID":"kkOBpz26","properties":{"formattedCitation":"(1\\uc0\\u8211{}4)","plainCitation":"(1–4)","noteIndex":0},"citationItems":[{"id":4874,"uris":["http://zotero.org/users/806795/items/HFAAGFK4"],"itemData":{"id":4874,"type":"article-journal","abstract":"The GWAS Catalog delivers a high-quality curated collection of all published genome-wide association studies enabling investigations to identify causal variants, understand disease mechanisms, and establish targets for novel therapies. The scope of the Catalog has also expanded to targeted and exome arrays with 1000 new associations added for these technologies. As of September 2018, the Catalog contains 5687 GWAS comprising 71673 variant-trait associations from 3567 publications. New content includes 284 full P-value summary statistics datasets for genome-wide and new targeted array studies, representing 6 × 109 individual variant-trait statistics. In the last 12 months, the Catalog's user interface was accessed by </w:instrText>
      </w:r>
      <w:r w:rsidR="00F53735">
        <w:rPr>
          <w:rFonts w:ascii="Cambria Math" w:hAnsi="Cambria Math" w:cs="Cambria Math"/>
        </w:rPr>
        <w:instrText>∼</w:instrText>
      </w:r>
      <w:r w:rsidR="00F53735">
        <w:instrText xml:space="preserve">90000 unique users who viewed &gt;1 million pages. We have improved data access with the release of a new RESTful API to support high-throughput programmatic access, an improved web interface and a new summary statistics database. Summary statistics provision is supported by a new format proposed as a community standard for summary statistics data representation. This format was derived from our experience in standardizing heterogeneous submissions, mapping formats and in harmonizing content. Availability: https://www.ebi.ac.uk/gwas/.","container-title":"Nucleic Acids Research","DOI":"10.1093/nar/gky1120","ISSN":"1362-4962","issue":"D1","journalAbbreviation":"Nucleic Acids Res","language":"eng","page":"D1005-D1012","PMID":"30445434","PMCID":"PMC6323933","source":"PubMed","title":"The NHGRI-EBI GWAS Catalog of published genome-wide association studies, targeted arrays and summary statistics 2019","volume":"47","author":[{"family":"Buniello","given":"Annalisa"},{"family":"MacArthur","given":"Jacqueline A. L."},{"family":"Cerezo","given":"Maria"},{"family":"Harris","given":"Laura W."},{"family":"Hayhurst","given":"James"},{"family":"Malangone","given":"Cinzia"},{"family":"McMahon","given":"Aoife"},{"family":"Morales","given":"Joannella"},{"family":"Mountjoy","given":"Edward"},{"family":"Sollis","given":"Elliot"},{"family":"Suveges","given":"Daniel"},{"family":"Vrousgou","given":"Olga"},{"family":"Whetzel","given":"Patricia L."},{"family":"Amode","given":"Ridwan"},{"family":"Guillen","given":"Jose A."},{"family":"Riat","given":"Harpreet S."},{"family":"Trevanion","given":"Stephen J."},{"family":"Hall","given":"Peggy"},{"family":"Junkins","given":"Heather"},{"family":"Flicek","given":"Paul"},{"family":"Burdett","given":"Tony"},{"family":"Hindorff","given":"Lucia A."},{"family":"Cunningham","given":"Fiona"},{"family":"Parkinson","given":"Helen"}],"issued":{"date-parts":[["2019",1,8]]}}},{"id":1036,"uris":["http://zotero.org/users/806795/items/I6ETYDTT",["http://zotero.org/users/806795/items/I6ETYDTT"]],"itemData":{"id":1036,"type":"webpage","title":"dbGene","URL":"https://www.ncbi.nlm.nih.gov/gene","author":[{"family":"National Center for Biotechnology Information (NCBI)[Internet]. Bethesda (MD)","given":""}]}},{"id":5095,"uris":["http://zotero.org/users/806795/items/V2TAF487"],"itemData":{"id":5095,"type":"webpage","title":"The Human Protein Atlas","URL":"https://www.proteinatlas.org/","accessed":{"date-parts":[["2021",2,5]]}}},{"id":960,"uris":["http://zotero.org/users/806795/items/PQ2JGGW3",["http://zotero.org/users/806795/items/PQ2JGGW3"]],"itemData":{"id":960,"type":"article-journal","abstract":"Ensembl (http://www.ensembl.org) is a genomic interpretation system providing the most up-to-date annotations, querying tools and access methods for chordates and key model organisms. This year we released updated annotation (gene models, comparative genomics, regulatory regions and variation) on the new human assembly, GRCh38, although we continue to support researchers using the GRCh37.p13 assembly through a dedicated site (http://grch37.ensembl.org). Our Regulatory Build has been revamped to identify regulatory regions of interest and to efficiently highlight their activity across disparate epigenetic data sets. A number of new interfaces allow users to perform large-scale comparisons of their data against our annotations. The REST server (http://rest.ensembl.org), which allows programs written in any language to query our databases, has moved to a full service alongside our upgraded website tools. Our online Variant Effect Predictor tool has been updated to process more variants and calculate summary statistics. Lastly, the WiggleTools package enables users to summarize large collections of data sets and view them as single tracks in Ensembl. The Ensembl code base itself is more accessible: it is now hosted on our GitHub organization page (https://github.com/Ensembl) under an Apache 2.0 open source license.","archive_location":"25352552","container-title":"Nucleic Acids Res","DOI":"10.1093/nar/gku1010","ISSN":"1362-4962 (Electronic) 0305-1048 (Linking)","issue":"Database issue","journalAbbreviation":"Nucleic acids research","page":"D662-9","title":"Ensembl 2015","URL":"https://www.ncbi.nlm.nih.gov/pubmed/25352552","volume":"43","author":[{"family":"Cunningham","given":"F."},{"family":"Amode","given":"M. R."},{"family":"Barrell","given":"D."},{"family":"Beal","given":"K."},{"family":"Billis","given":"K."},{"family":"Brent","given":"S."},{"family":"Carvalho-Silva","given":"D."},{"family":"Clapham","given":"P."},{"family":"Coates","given":"G."},{"family":"Fitzgerald","given":"S."},{"family":"Gil","given":"L."},{"family":"Giron","given":"C. G."},{"family":"Gordon","given":"L."},{"family":"Hourlier","given":"T."},{"family":"Hunt","given":"S. E."},{"family":"Janacek","given":"S. H."},{"family":"Johnson","given":"N."},{"family":"Juettemann","given":"T."},{"family":"Kahari","given":"A. K."},{"family":"Keenan","given":"S."},{"family":"Martin","given":"F. J."},{"family":"Maurel","given":"T."},{"family":"McLaren","given":"W."},{"family":"Murphy","given":"D. N."},{"family":"Nag","given":"R."},{"family":"Overduin","given":"B."},{"family":"Parker","given":"A."},{"family":"Patricio","given":"M."},{"family":"Perry","given":"E."},{"family":"Pignatelli","given":"M."},{"family":"Riat","given":"H. S."},{"family":"Sheppard","given":"D."},{"family":"Taylor","given":"K."},{"family":"Thormann","given":"A."},{"family":"Vullo","given":"A."},{"family":"Wilder","given":"S. P."},{"family":"Zadissa","given":"A."},{"family":"Aken","given":"B. L."},{"family":"Birney","given":"E."},{"family":"Harrow","given":"J."},{"family":"Kinsella","given":"R."},{"family":"Muffato","given":"M."},{"family":"Ruffier","given":"M."},{"family":"Searle","given":"S. M."},{"family":"Spudich","given":"G."},{"family":"Trevanion","given":"S. J."},{"family":"Yates","given":"A."},{"family":"Zerbino","given":"D. R."},{"family":"Flicek","given":"P."}],"issued":{"date-parts":[["2015",1]]}}}],"schema":"https://github.com/citation-style-language/schema/raw/master/csl-citation.json"} </w:instrText>
      </w:r>
      <w:r>
        <w:fldChar w:fldCharType="separate"/>
      </w:r>
      <w:r w:rsidR="00F53735" w:rsidRPr="00F53735">
        <w:rPr>
          <w:rFonts w:ascii="Calibri" w:hAnsi="Calibri" w:cs="Calibri"/>
          <w:szCs w:val="24"/>
        </w:rPr>
        <w:t>(1–4)</w:t>
      </w:r>
      <w:r>
        <w:fldChar w:fldCharType="end"/>
      </w:r>
      <w:r w:rsidR="002615EC">
        <w:t>.</w:t>
      </w:r>
      <w:r>
        <w:t xml:space="preserve"> These genes were either associated with radon-induced LC, known as lung-cancer risk-genes or considered relevant to the lung-cancer mechanism. </w:t>
      </w:r>
    </w:p>
    <w:p w14:paraId="1B28E6F6" w14:textId="0699614F" w:rsidR="00431EE7" w:rsidRDefault="002730A3" w:rsidP="00431EE7">
      <w:pPr>
        <w:pStyle w:val="Flietext"/>
      </w:pPr>
      <w:r>
        <w:t>Prioritisation was based on the following score (simplified):</w:t>
      </w:r>
    </w:p>
    <w:p w14:paraId="0B313D6B" w14:textId="77777777" w:rsidR="00431EE7" w:rsidRDefault="00431EE7" w:rsidP="00431EE7">
      <w:pPr>
        <w:rPr>
          <w:rFonts w:cs="Calibri"/>
          <w:szCs w:val="16"/>
          <w:lang w:val="de-DE"/>
        </w:rPr>
      </w:pPr>
      <m:oMathPara>
        <m:oMath>
          <m:r>
            <w:rPr>
              <w:rFonts w:ascii="Cambria Math" w:hAnsi="Cambria Math" w:cs="Calibri"/>
              <w:szCs w:val="16"/>
            </w:rPr>
            <m:t>score</m:t>
          </m:r>
          <m:r>
            <w:rPr>
              <w:rFonts w:ascii="Cambria Math" w:hAnsi="Cambria Math" w:cs="Calibri"/>
              <w:szCs w:val="16"/>
              <w:lang w:val="de-DE"/>
            </w:rPr>
            <m:t xml:space="preserve"> = </m:t>
          </m:r>
          <m:sSub>
            <m:sSubPr>
              <m:ctrlPr>
                <w:rPr>
                  <w:rFonts w:ascii="Cambria Math" w:hAnsi="Cambria Math" w:cs="Calibri"/>
                  <w:i/>
                  <w:szCs w:val="16"/>
                </w:rPr>
              </m:ctrlPr>
            </m:sSubPr>
            <m:e>
              <m:r>
                <w:rPr>
                  <w:rFonts w:ascii="Cambria Math" w:hAnsi="Cambria Math" w:cs="Calibri"/>
                  <w:szCs w:val="16"/>
                </w:rPr>
                <m:t>b</m:t>
              </m:r>
            </m:e>
            <m:sub>
              <m:r>
                <w:rPr>
                  <w:rFonts w:ascii="Cambria Math" w:hAnsi="Cambria Math" w:cs="Calibri"/>
                  <w:szCs w:val="16"/>
                </w:rPr>
                <m:t>typ of gene</m:t>
              </m:r>
            </m:sub>
          </m:sSub>
          <m:sSub>
            <m:sSubPr>
              <m:ctrlPr>
                <w:rPr>
                  <w:rFonts w:ascii="Cambria Math" w:hAnsi="Cambria Math" w:cs="Calibri"/>
                  <w:i/>
                  <w:szCs w:val="16"/>
                </w:rPr>
              </m:ctrlPr>
            </m:sSubPr>
            <m:e>
              <m:r>
                <w:rPr>
                  <w:rFonts w:ascii="Cambria Math" w:hAnsi="Cambria Math" w:cs="Calibri"/>
                  <w:szCs w:val="16"/>
                </w:rPr>
                <m:t>b</m:t>
              </m:r>
            </m:e>
            <m:sub>
              <m:r>
                <w:rPr>
                  <w:rFonts w:ascii="Cambria Math" w:hAnsi="Cambria Math" w:cs="Calibri"/>
                  <w:szCs w:val="16"/>
                </w:rPr>
                <m:t>exposition</m:t>
              </m:r>
            </m:sub>
          </m:sSub>
          <m:r>
            <w:rPr>
              <w:rFonts w:ascii="Cambria Math" w:hAnsi="Cambria Math" w:cs="Calibri"/>
              <w:szCs w:val="16"/>
              <w:lang w:val="de-DE"/>
            </w:rPr>
            <m:t xml:space="preserve"> * (</m:t>
          </m:r>
          <m:sSub>
            <m:sSubPr>
              <m:ctrlPr>
                <w:rPr>
                  <w:rFonts w:ascii="Cambria Math" w:hAnsi="Cambria Math" w:cs="Calibri"/>
                  <w:i/>
                  <w:szCs w:val="16"/>
                </w:rPr>
              </m:ctrlPr>
            </m:sSubPr>
            <m:e>
              <m:r>
                <w:rPr>
                  <w:rFonts w:ascii="Cambria Math" w:hAnsi="Cambria Math" w:cs="Calibri"/>
                  <w:szCs w:val="16"/>
                </w:rPr>
                <m:t>w</m:t>
              </m:r>
            </m:e>
            <m:sub>
              <m:r>
                <w:rPr>
                  <w:rFonts w:ascii="Cambria Math" w:hAnsi="Cambria Math" w:cs="Calibri"/>
                  <w:szCs w:val="16"/>
                  <w:lang w:val="de-DE"/>
                </w:rPr>
                <m:t>1</m:t>
              </m:r>
            </m:sub>
          </m:sSub>
          <m:sSub>
            <m:sSubPr>
              <m:ctrlPr>
                <w:rPr>
                  <w:rFonts w:ascii="Cambria Math" w:hAnsi="Cambria Math" w:cs="Calibri"/>
                  <w:i/>
                  <w:szCs w:val="16"/>
                </w:rPr>
              </m:ctrlPr>
            </m:sSubPr>
            <m:e>
              <m:r>
                <w:rPr>
                  <w:rFonts w:ascii="Cambria Math" w:hAnsi="Cambria Math" w:cs="Calibri"/>
                  <w:szCs w:val="16"/>
                </w:rPr>
                <m:t>b</m:t>
              </m:r>
            </m:e>
            <m:sub>
              <m:r>
                <w:rPr>
                  <w:rFonts w:ascii="Cambria Math" w:hAnsi="Cambria Math" w:cs="Calibri"/>
                  <w:szCs w:val="16"/>
                  <w:lang w:val="de-DE"/>
                </w:rPr>
                <m:t>1</m:t>
              </m:r>
            </m:sub>
          </m:sSub>
          <m:r>
            <w:rPr>
              <w:rFonts w:ascii="Cambria Math" w:hAnsi="Cambria Math" w:cs="Calibri"/>
              <w:szCs w:val="16"/>
              <w:lang w:val="de-DE"/>
            </w:rPr>
            <m:t>*f</m:t>
          </m:r>
          <m:r>
            <w:rPr>
              <w:rFonts w:ascii="Cambria Math" w:hAnsi="Cambria Math" w:cs="Calibri"/>
              <w:szCs w:val="16"/>
            </w:rPr>
            <m:t>unc.</m:t>
          </m:r>
          <m:r>
            <w:rPr>
              <w:rFonts w:ascii="Cambria Math" w:hAnsi="Cambria Math" w:cs="Calibri"/>
              <w:szCs w:val="16"/>
              <w:lang w:val="de-DE"/>
            </w:rPr>
            <m:t xml:space="preserve">+ </m:t>
          </m:r>
          <m:sSub>
            <m:sSubPr>
              <m:ctrlPr>
                <w:rPr>
                  <w:rFonts w:ascii="Cambria Math" w:hAnsi="Cambria Math" w:cs="Calibri"/>
                  <w:i/>
                  <w:szCs w:val="16"/>
                </w:rPr>
              </m:ctrlPr>
            </m:sSubPr>
            <m:e>
              <m:r>
                <w:rPr>
                  <w:rFonts w:ascii="Cambria Math" w:hAnsi="Cambria Math" w:cs="Calibri"/>
                  <w:szCs w:val="16"/>
                </w:rPr>
                <m:t>w</m:t>
              </m:r>
            </m:e>
            <m:sub>
              <m:r>
                <w:rPr>
                  <w:rFonts w:ascii="Cambria Math" w:hAnsi="Cambria Math" w:cs="Calibri"/>
                  <w:szCs w:val="16"/>
                  <w:lang w:val="de-DE"/>
                </w:rPr>
                <m:t>2</m:t>
              </m:r>
            </m:sub>
          </m:sSub>
          <m:sSub>
            <m:sSubPr>
              <m:ctrlPr>
                <w:rPr>
                  <w:rFonts w:ascii="Cambria Math" w:hAnsi="Cambria Math" w:cs="Calibri"/>
                  <w:i/>
                  <w:szCs w:val="16"/>
                </w:rPr>
              </m:ctrlPr>
            </m:sSubPr>
            <m:e>
              <m:r>
                <w:rPr>
                  <w:rFonts w:ascii="Cambria Math" w:hAnsi="Cambria Math" w:cs="Calibri"/>
                  <w:szCs w:val="16"/>
                </w:rPr>
                <m:t>b</m:t>
              </m:r>
            </m:e>
            <m:sub>
              <m:r>
                <w:rPr>
                  <w:rFonts w:ascii="Cambria Math" w:hAnsi="Cambria Math" w:cs="Calibri"/>
                  <w:szCs w:val="16"/>
                  <w:lang w:val="de-DE"/>
                </w:rPr>
                <m:t>2</m:t>
              </m:r>
            </m:sub>
          </m:sSub>
          <m:r>
            <w:rPr>
              <w:rFonts w:ascii="Cambria Math" w:hAnsi="Cambria Math" w:cs="Calibri"/>
              <w:szCs w:val="16"/>
              <w:lang w:val="de-DE"/>
            </w:rPr>
            <m:t>*e</m:t>
          </m:r>
          <m:r>
            <w:rPr>
              <w:rFonts w:ascii="Cambria Math" w:hAnsi="Cambria Math" w:cs="Calibri"/>
              <w:szCs w:val="16"/>
            </w:rPr>
            <m:t>xpr.</m:t>
          </m:r>
          <m:r>
            <w:rPr>
              <w:rFonts w:ascii="Cambria Math" w:hAnsi="Cambria Math" w:cs="Calibri"/>
              <w:szCs w:val="16"/>
              <w:lang w:val="de-DE"/>
            </w:rPr>
            <m:t xml:space="preserve">+ </m:t>
          </m:r>
          <m:sSub>
            <m:sSubPr>
              <m:ctrlPr>
                <w:rPr>
                  <w:rFonts w:ascii="Cambria Math" w:hAnsi="Cambria Math" w:cs="Calibri"/>
                  <w:i/>
                  <w:szCs w:val="16"/>
                </w:rPr>
              </m:ctrlPr>
            </m:sSubPr>
            <m:e>
              <m:sSub>
                <m:sSubPr>
                  <m:ctrlPr>
                    <w:rPr>
                      <w:rFonts w:ascii="Cambria Math" w:hAnsi="Cambria Math" w:cs="Calibri"/>
                      <w:i/>
                      <w:szCs w:val="16"/>
                    </w:rPr>
                  </m:ctrlPr>
                </m:sSubPr>
                <m:e>
                  <m:r>
                    <w:rPr>
                      <w:rFonts w:ascii="Cambria Math" w:hAnsi="Cambria Math" w:cs="Calibri"/>
                      <w:szCs w:val="16"/>
                    </w:rPr>
                    <m:t>w</m:t>
                  </m:r>
                </m:e>
                <m:sub>
                  <m:r>
                    <w:rPr>
                      <w:rFonts w:ascii="Cambria Math" w:hAnsi="Cambria Math" w:cs="Calibri"/>
                      <w:szCs w:val="16"/>
                      <w:lang w:val="de-DE"/>
                    </w:rPr>
                    <m:t>3</m:t>
                  </m:r>
                </m:sub>
              </m:sSub>
              <m:r>
                <w:rPr>
                  <w:rFonts w:ascii="Cambria Math" w:hAnsi="Cambria Math" w:cs="Calibri"/>
                  <w:szCs w:val="16"/>
                </w:rPr>
                <m:t>b</m:t>
              </m:r>
            </m:e>
            <m:sub>
              <m:r>
                <w:rPr>
                  <w:rFonts w:ascii="Cambria Math" w:hAnsi="Cambria Math" w:cs="Calibri"/>
                  <w:szCs w:val="16"/>
                  <w:lang w:val="de-DE"/>
                </w:rPr>
                <m:t>3</m:t>
              </m:r>
            </m:sub>
          </m:sSub>
          <m:r>
            <w:rPr>
              <w:rFonts w:ascii="Cambria Math" w:hAnsi="Cambria Math" w:cs="Calibri"/>
              <w:szCs w:val="16"/>
              <w:lang w:val="de-DE"/>
            </w:rPr>
            <m:t>*a</m:t>
          </m:r>
          <m:r>
            <w:rPr>
              <w:rFonts w:ascii="Cambria Math" w:hAnsi="Cambria Math" w:cs="Calibri"/>
              <w:szCs w:val="16"/>
            </w:rPr>
            <m:t>sso.</m:t>
          </m:r>
          <m:r>
            <w:rPr>
              <w:rFonts w:ascii="Cambria Math" w:hAnsi="Cambria Math" w:cs="Calibri"/>
              <w:szCs w:val="16"/>
              <w:lang w:val="de-DE"/>
            </w:rPr>
            <m:t>)</m:t>
          </m:r>
        </m:oMath>
      </m:oMathPara>
    </w:p>
    <w:p w14:paraId="2857D76E" w14:textId="451392CE" w:rsidR="005C509A" w:rsidRDefault="00431EE7" w:rsidP="00431EE7">
      <w:pPr>
        <w:rPr>
          <w:rFonts w:eastAsia="Times New Roman" w:cs="Arial"/>
          <w:lang w:eastAsia="de-DE"/>
        </w:rPr>
      </w:pPr>
      <w:r>
        <w:rPr>
          <w:rFonts w:eastAsia="Times New Roman" w:cs="Arial"/>
          <w:lang w:eastAsia="de-DE"/>
        </w:rPr>
        <w:t xml:space="preserve">where </w:t>
      </w:r>
      <w:r>
        <w:rPr>
          <w:rFonts w:eastAsia="Times New Roman" w:cs="Arial"/>
          <w:i/>
          <w:iCs/>
          <w:lang w:eastAsia="de-DE"/>
        </w:rPr>
        <w:t>b</w:t>
      </w:r>
      <w:r>
        <w:rPr>
          <w:rFonts w:eastAsia="Times New Roman" w:cs="Arial"/>
          <w:i/>
          <w:iCs/>
          <w:vertAlign w:val="subscript"/>
          <w:lang w:eastAsia="de-DE"/>
        </w:rPr>
        <w:t>type of gene</w:t>
      </w:r>
      <w:r>
        <w:rPr>
          <w:rFonts w:eastAsia="Times New Roman" w:cs="Arial"/>
          <w:lang w:eastAsia="de-DE"/>
        </w:rPr>
        <w:t xml:space="preserve"> is a multiplier to distinguish lncRNA, miRNA, novel snoRNA, processed pseudogenes and protein-coding genes,</w:t>
      </w:r>
      <w:r>
        <w:rPr>
          <w:rFonts w:eastAsia="Times New Roman" w:cs="Arial"/>
          <w:i/>
          <w:iCs/>
          <w:lang w:eastAsia="de-DE"/>
        </w:rPr>
        <w:t xml:space="preserve"> b</w:t>
      </w:r>
      <w:r>
        <w:rPr>
          <w:rFonts w:eastAsia="Times New Roman" w:cs="Arial"/>
          <w:i/>
          <w:iCs/>
          <w:vertAlign w:val="subscript"/>
          <w:lang w:eastAsia="de-DE"/>
        </w:rPr>
        <w:t>exposure</w:t>
      </w:r>
      <w:r>
        <w:rPr>
          <w:rFonts w:eastAsia="Times New Roman" w:cs="Arial"/>
          <w:lang w:eastAsia="de-DE"/>
        </w:rPr>
        <w:t xml:space="preserve"> is a multiplier for exposure group (occupational, indoor-radon exposure) and </w:t>
      </w:r>
      <w:r>
        <w:rPr>
          <w:rFonts w:eastAsia="Times New Roman" w:cs="Arial"/>
          <w:i/>
          <w:iCs/>
          <w:lang w:eastAsia="de-DE"/>
        </w:rPr>
        <w:t>w</w:t>
      </w:r>
      <w:r>
        <w:rPr>
          <w:rFonts w:eastAsia="Times New Roman" w:cs="Arial"/>
          <w:i/>
          <w:iCs/>
          <w:vertAlign w:val="subscript"/>
          <w:lang w:eastAsia="de-DE"/>
        </w:rPr>
        <w:t>1</w:t>
      </w:r>
      <w:r>
        <w:rPr>
          <w:rFonts w:eastAsia="Times New Roman" w:cs="Arial"/>
          <w:i/>
          <w:iCs/>
          <w:lang w:eastAsia="de-DE"/>
        </w:rPr>
        <w:t>-w</w:t>
      </w:r>
      <w:r>
        <w:rPr>
          <w:rFonts w:eastAsia="Times New Roman" w:cs="Arial"/>
          <w:i/>
          <w:iCs/>
          <w:vertAlign w:val="subscript"/>
          <w:lang w:eastAsia="de-DE"/>
        </w:rPr>
        <w:t>3</w:t>
      </w:r>
      <w:r>
        <w:rPr>
          <w:rFonts w:eastAsia="Times New Roman" w:cs="Arial"/>
          <w:lang w:eastAsia="de-DE"/>
        </w:rPr>
        <w:t xml:space="preserve"> are weights of the assessment categories </w:t>
      </w:r>
      <w:r>
        <w:t>(</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=1)</m:t>
            </m:r>
          </m:e>
        </m:nary>
      </m:oMath>
      <w:r>
        <w:rPr>
          <w:rFonts w:eastAsia="Times New Roman" w:cs="Arial"/>
          <w:lang w:eastAsia="de-DE"/>
        </w:rPr>
        <w:t xml:space="preserve">, </w:t>
      </w:r>
      <w:r>
        <w:rPr>
          <w:rFonts w:eastAsia="Times New Roman" w:cs="Arial"/>
          <w:i/>
          <w:iCs/>
          <w:lang w:eastAsia="de-DE"/>
        </w:rPr>
        <w:t>b</w:t>
      </w:r>
      <w:r>
        <w:rPr>
          <w:rFonts w:eastAsia="Times New Roman" w:cs="Arial"/>
          <w:i/>
          <w:iCs/>
          <w:vertAlign w:val="subscript"/>
          <w:lang w:eastAsia="de-DE"/>
        </w:rPr>
        <w:t>1</w:t>
      </w:r>
      <w:r>
        <w:rPr>
          <w:rFonts w:eastAsia="Times New Roman" w:cs="Arial"/>
          <w:i/>
          <w:iCs/>
          <w:lang w:eastAsia="de-DE"/>
        </w:rPr>
        <w:t>-b</w:t>
      </w:r>
      <w:r>
        <w:rPr>
          <w:rFonts w:eastAsia="Times New Roman" w:cs="Arial"/>
          <w:i/>
          <w:iCs/>
          <w:vertAlign w:val="subscript"/>
          <w:lang w:eastAsia="de-DE"/>
        </w:rPr>
        <w:t>3</w:t>
      </w:r>
      <w:r>
        <w:rPr>
          <w:rFonts w:eastAsia="Times New Roman" w:cs="Arial"/>
          <w:lang w:eastAsia="de-DE"/>
        </w:rPr>
        <w:t xml:space="preserve"> are scores of individual criteria of the assessment categories. </w:t>
      </w:r>
      <w:r w:rsidR="005C509A">
        <w:rPr>
          <w:rFonts w:eastAsia="Times New Roman" w:cs="Arial"/>
          <w:lang w:eastAsia="de-DE"/>
        </w:rPr>
        <w:t xml:space="preserve">All parameter values used are factually justified but to a certain extend subjective. </w:t>
      </w:r>
    </w:p>
    <w:p w14:paraId="7B0DE15F" w14:textId="0A0F4C33" w:rsidR="00431EE7" w:rsidRDefault="00431EE7" w:rsidP="00431EE7">
      <w:pPr>
        <w:rPr>
          <w:rFonts w:eastAsia="Times New Roman" w:cs="Arial"/>
          <w:lang w:eastAsia="de-DE"/>
        </w:rPr>
      </w:pPr>
      <w:r>
        <w:rPr>
          <w:rFonts w:eastAsia="Times New Roman" w:cs="Arial"/>
          <w:lang w:eastAsia="de-DE"/>
        </w:rPr>
        <w:t>The gene function was categorised as either unknown, lung</w:t>
      </w:r>
      <w:r w:rsidR="005679A0">
        <w:rPr>
          <w:rFonts w:eastAsia="Times New Roman" w:cs="Arial"/>
          <w:lang w:eastAsia="de-DE"/>
        </w:rPr>
        <w:t>-</w:t>
      </w:r>
      <w:r>
        <w:rPr>
          <w:rFonts w:eastAsia="Times New Roman" w:cs="Arial"/>
          <w:lang w:eastAsia="de-DE"/>
        </w:rPr>
        <w:t xml:space="preserve"> or cancer</w:t>
      </w:r>
      <w:r w:rsidR="005679A0">
        <w:rPr>
          <w:rFonts w:eastAsia="Times New Roman" w:cs="Arial"/>
          <w:lang w:eastAsia="de-DE"/>
        </w:rPr>
        <w:t>-</w:t>
      </w:r>
      <w:r>
        <w:rPr>
          <w:rFonts w:eastAsia="Times New Roman" w:cs="Arial"/>
          <w:lang w:eastAsia="de-DE"/>
        </w:rPr>
        <w:t xml:space="preserve">relevant, irrelevant or multiple/global. The gene expression was considered as unknown, moderately in the lung, primarily in other organs/tissues, multiplayer, primarily in the lung. The gene association was categorised as none, yes – detected by a GWAS, yes – detected not in a GWAS. </w:t>
      </w:r>
    </w:p>
    <w:p w14:paraId="26E38470" w14:textId="77777777" w:rsidR="00642A10" w:rsidRDefault="00642A10" w:rsidP="00642A10">
      <w:pPr>
        <w:rPr>
          <w:rFonts w:ascii="Arial" w:hAnsi="Arial" w:cs="Arial"/>
          <w:color w:val="000000"/>
          <w:lang w:val="en-US"/>
        </w:rPr>
      </w:pPr>
    </w:p>
    <w:p w14:paraId="5E2C1D32" w14:textId="1F398E8B" w:rsidR="00642A10" w:rsidRDefault="00642A10" w:rsidP="00642A10">
      <w:pPr>
        <w:pStyle w:val="berschrift2"/>
        <w:rPr>
          <w:rFonts w:ascii="Arial" w:hAnsi="Arial" w:cs="Arial"/>
          <w:color w:val="000000"/>
          <w:lang w:val="en-US"/>
        </w:rPr>
      </w:pPr>
      <w:r w:rsidRPr="00642A10">
        <w:t>Examples figures of agarose gel of DNA samples</w:t>
      </w:r>
    </w:p>
    <w:p w14:paraId="240CB0E9" w14:textId="21EEB896" w:rsidR="00642A10" w:rsidRDefault="00642A10" w:rsidP="00642A10">
      <w:pPr>
        <w:rPr>
          <w:rFonts w:ascii="Arial" w:hAnsi="Arial" w:cs="Arial"/>
          <w:color w:val="000000"/>
          <w:lang w:val="en-US"/>
        </w:rPr>
      </w:pPr>
      <w:r>
        <w:rPr>
          <w:rFonts w:ascii="Arial" w:hAnsi="Arial" w:cs="Arial"/>
          <w:color w:val="000000"/>
          <w:lang w:val="en-US"/>
        </w:rPr>
        <w:t>Representative agarose gel of DNA samples isolated from FFPE tissue. M denotes the molecular weight standard Lambda DNA/HindIII.</w:t>
      </w:r>
    </w:p>
    <w:p w14:paraId="43F5DF02" w14:textId="77777777" w:rsidR="00642A10" w:rsidRDefault="00642A10" w:rsidP="00642A10">
      <w:pPr>
        <w:jc w:val="center"/>
      </w:pPr>
      <w:r>
        <w:rPr>
          <w:noProof/>
          <w:lang w:eastAsia="en-GB"/>
        </w:rPr>
        <w:drawing>
          <wp:inline distT="0" distB="0" distL="0" distR="0" wp14:anchorId="21CE7C63" wp14:editId="5303A24B">
            <wp:extent cx="5760720" cy="2220595"/>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ispielgelfo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220595"/>
                    </a:xfrm>
                    <a:prstGeom prst="rect">
                      <a:avLst/>
                    </a:prstGeom>
                  </pic:spPr>
                </pic:pic>
              </a:graphicData>
            </a:graphic>
          </wp:inline>
        </w:drawing>
      </w:r>
    </w:p>
    <w:p w14:paraId="3D597105" w14:textId="3EE003C7" w:rsidR="002A5CF3" w:rsidRDefault="00642A10" w:rsidP="00642A10">
      <w:pPr>
        <w:jc w:val="center"/>
      </w:pPr>
      <w:r>
        <w:rPr>
          <w:noProof/>
          <w:lang w:eastAsia="en-GB"/>
        </w:rPr>
        <w:drawing>
          <wp:inline distT="0" distB="0" distL="0" distR="0" wp14:anchorId="5EC76664" wp14:editId="43CAE916">
            <wp:extent cx="1800000" cy="1350000"/>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8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350000"/>
                    </a:xfrm>
                    <a:prstGeom prst="rect">
                      <a:avLst/>
                    </a:prstGeom>
                  </pic:spPr>
                </pic:pic>
              </a:graphicData>
            </a:graphic>
          </wp:inline>
        </w:drawing>
      </w:r>
      <w:r>
        <w:rPr>
          <w:noProof/>
          <w:lang w:eastAsia="en-GB"/>
        </w:rPr>
        <w:drawing>
          <wp:inline distT="0" distB="0" distL="0" distR="0" wp14:anchorId="1AC230EE" wp14:editId="21E96B25">
            <wp:extent cx="1800000" cy="1350000"/>
            <wp:effectExtent l="0" t="0" r="0" b="317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38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350000"/>
                    </a:xfrm>
                    <a:prstGeom prst="rect">
                      <a:avLst/>
                    </a:prstGeom>
                  </pic:spPr>
                </pic:pic>
              </a:graphicData>
            </a:graphic>
          </wp:inline>
        </w:drawing>
      </w:r>
      <w:r>
        <w:rPr>
          <w:noProof/>
          <w:lang w:eastAsia="en-GB"/>
        </w:rPr>
        <w:drawing>
          <wp:inline distT="0" distB="0" distL="0" distR="0" wp14:anchorId="43F7DD37" wp14:editId="699F58F8">
            <wp:extent cx="1800000" cy="1350000"/>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83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350000"/>
                    </a:xfrm>
                    <a:prstGeom prst="rect">
                      <a:avLst/>
                    </a:prstGeom>
                  </pic:spPr>
                </pic:pic>
              </a:graphicData>
            </a:graphic>
          </wp:inline>
        </w:drawing>
      </w:r>
    </w:p>
    <w:p w14:paraId="6A985439" w14:textId="72095CEB" w:rsidR="00AE3383" w:rsidRDefault="00AE3383" w:rsidP="00693F80">
      <w:pPr>
        <w:pStyle w:val="berschrift2"/>
        <w:pageBreakBefore/>
        <w:rPr>
          <w:rFonts w:eastAsiaTheme="minorEastAsia"/>
        </w:rPr>
      </w:pPr>
      <w:r>
        <w:t xml:space="preserve">G model: genotypic relative risk (HWE </w:t>
      </w:r>
      <w:r w:rsidR="00AB7963">
        <w:t xml:space="preserve">distortion </w:t>
      </w:r>
      <w:r>
        <w:t>test)</w:t>
      </w:r>
    </w:p>
    <w:p w14:paraId="7A053E59" w14:textId="77777777" w:rsidR="00D3791A" w:rsidRDefault="00AE3383" w:rsidP="00D3791A">
      <w:r>
        <w:t>The G</w:t>
      </w:r>
      <w:r w:rsidR="005418A3">
        <w:t xml:space="preserve"> </w:t>
      </w:r>
      <w:r>
        <w:t xml:space="preserve">model essentially describes the distribution of genotypes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0</m:t>
                      </m:r>
                    </m:sub>
                  </m:sSub>
                </m:e>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m:t>
                      </m:r>
                    </m:sub>
                  </m:sSub>
                </m:e>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2</m:t>
                      </m:r>
                    </m:sub>
                  </m:sSub>
                </m:e>
              </m:mr>
            </m:m>
          </m:e>
        </m:d>
        <m:r>
          <w:rPr>
            <w:rFonts w:ascii="Cambria Math" w:hAnsi="Cambria Math"/>
          </w:rPr>
          <m:t xml:space="preserve"> </m:t>
        </m:r>
      </m:oMath>
      <w:r>
        <w:t>among "cases", taking into account the minor allele frequency f (MAF), the genetic relative risk (RR), with F also allowing a deviation from g</w:t>
      </w:r>
      <w:r w:rsidRPr="00C1647B">
        <w:rPr>
          <w:vertAlign w:val="subscript"/>
        </w:rPr>
        <w:t>1</w:t>
      </w:r>
      <w:r>
        <w:t xml:space="preserve"> (excess heterozygosity). The distribution of genotypes in the source population is assumed to follow the HWE. It is given in </w:t>
      </w:r>
      <w:r>
        <w:fldChar w:fldCharType="begin"/>
      </w:r>
      <w:r>
        <w:instrText xml:space="preserve"> REF _Ref212030258 \h </w:instrText>
      </w:r>
      <w:r w:rsidR="00952F49">
        <w:instrText xml:space="preserve"> \* MERGEFORMAT </w:instrText>
      </w:r>
      <w:r>
        <w:fldChar w:fldCharType="separate"/>
      </w:r>
      <w:r w:rsidR="00D3791A">
        <w:t>S-Table 1</w:t>
      </w:r>
      <w:r w:rsidR="00D3791A">
        <w:tab/>
        <w:t xml:space="preserve">Genotype distribution among affected individuals </w:t>
      </w:r>
      <w:r w:rsidR="00D3791A">
        <w:rPr>
          <w:noProof/>
        </w:rPr>
        <w:t>(</w:t>
      </w:r>
      <w:r w:rsidR="00D3791A">
        <w:t>cases, patients) based on the HWE</w:t>
      </w:r>
    </w:p>
    <w:p w14:paraId="0B5E94AE" w14:textId="3CC07949" w:rsidR="00152138" w:rsidRDefault="00AE3383" w:rsidP="00AE3383">
      <w:pPr>
        <w:keepNext/>
        <w:keepLines/>
      </w:pPr>
      <w:r>
        <w:fldChar w:fldCharType="end"/>
      </w:r>
    </w:p>
    <w:p w14:paraId="70E3ECAA" w14:textId="5EB66613" w:rsidR="00AE3383" w:rsidRDefault="00AE3383" w:rsidP="00AE3383">
      <w:pPr>
        <w:keepNext/>
        <w:keepLines/>
      </w:pPr>
      <w:r>
        <w:t>W</w:t>
      </w:r>
      <w:r w:rsidRPr="00E53101">
        <w:t>e have taken uncertain genotypes into account by weighting them according to genotype probabilities</w:t>
      </w:r>
      <w:r>
        <w:t xml:space="preserve"> (see </w:t>
      </w:r>
      <w:r>
        <w:fldChar w:fldCharType="begin"/>
      </w:r>
      <w:r>
        <w:instrText xml:space="preserve"> REF _Ref223680722 \h </w:instrText>
      </w:r>
      <w:r>
        <w:fldChar w:fldCharType="separate"/>
      </w:r>
      <w:r w:rsidR="00D3791A">
        <w:t xml:space="preserve">Details to: Translation of the </w:t>
      </w:r>
      <w:r w:rsidR="00D3791A">
        <w:rPr>
          <w:b/>
        </w:rPr>
        <w:t xml:space="preserve">genotype </w:t>
      </w:r>
      <w:r w:rsidR="00D3791A">
        <w:t>doses into genotype probabilities</w:t>
      </w:r>
      <w:r>
        <w:fldChar w:fldCharType="end"/>
      </w:r>
      <w:r>
        <w:t>)</w:t>
      </w:r>
      <w:r w:rsidRPr="00E53101">
        <w:t>.</w:t>
      </w:r>
    </w:p>
    <w:p w14:paraId="72FB2D6A" w14:textId="39A26D2A" w:rsidR="00AE3383" w:rsidRDefault="00AE3383" w:rsidP="00AE3383">
      <w:pPr>
        <w:pStyle w:val="Beschriftung"/>
        <w:jc w:val="center"/>
      </w:pPr>
      <w:bookmarkStart w:id="1" w:name="_Ref223628190"/>
      <w:bookmarkStart w:id="2" w:name="_Ref212030258"/>
      <w:r>
        <w:t xml:space="preserve">S-Table </w:t>
      </w:r>
      <w:r>
        <w:fldChar w:fldCharType="begin"/>
      </w:r>
      <w:r>
        <w:instrText xml:space="preserve"> SEQ S-Table \* ARABIC </w:instrText>
      </w:r>
      <w:r>
        <w:fldChar w:fldCharType="separate"/>
      </w:r>
      <w:r w:rsidR="00D3791A">
        <w:rPr>
          <w:noProof/>
        </w:rPr>
        <w:t>1</w:t>
      </w:r>
      <w:r>
        <w:fldChar w:fldCharType="end"/>
      </w:r>
      <w:bookmarkEnd w:id="1"/>
      <w:r>
        <w:tab/>
        <w:t>Genotype distribution among affected individuals (cases, patients) based on the HWE</w:t>
      </w:r>
    </w:p>
    <w:tbl>
      <w:tblPr>
        <w:tblStyle w:val="Listentabelle2Akzent3"/>
        <w:tblW w:w="0" w:type="auto"/>
        <w:tblLook w:val="0400" w:firstRow="0" w:lastRow="0" w:firstColumn="0" w:lastColumn="0" w:noHBand="0" w:noVBand="1"/>
      </w:tblPr>
      <w:tblGrid>
        <w:gridCol w:w="3686"/>
        <w:gridCol w:w="1342"/>
        <w:gridCol w:w="1773"/>
        <w:gridCol w:w="2209"/>
      </w:tblGrid>
      <w:tr w:rsidR="00AE3383" w14:paraId="02507CF0" w14:textId="77777777" w:rsidTr="00504501">
        <w:trPr>
          <w:cnfStyle w:val="000000100000" w:firstRow="0" w:lastRow="0" w:firstColumn="0" w:lastColumn="0" w:oddVBand="0" w:evenVBand="0" w:oddHBand="1" w:evenHBand="0" w:firstRowFirstColumn="0" w:firstRowLastColumn="0" w:lastRowFirstColumn="0" w:lastRowLastColumn="0"/>
          <w:trHeight w:val="283"/>
        </w:trPr>
        <w:tc>
          <w:tcPr>
            <w:tcW w:w="3686" w:type="dxa"/>
          </w:tcPr>
          <w:bookmarkEnd w:id="2"/>
          <w:p w14:paraId="5828A933" w14:textId="79EC8360" w:rsidR="00AE3383" w:rsidRDefault="00AE3383" w:rsidP="00504501">
            <w:pPr>
              <w:pStyle w:val="Tabelleneintrag"/>
            </w:pPr>
            <w:r w:rsidRPr="00DB0D28">
              <w:t xml:space="preserve">genotypes </w:t>
            </w:r>
            <w:r>
              <w:t>g</w:t>
            </w:r>
            <w:r w:rsidR="00310F67">
              <w:t xml:space="preserve"> (minor allele count)</w:t>
            </w:r>
          </w:p>
        </w:tc>
        <w:tc>
          <w:tcPr>
            <w:tcW w:w="0" w:type="auto"/>
            <w:vAlign w:val="center"/>
          </w:tcPr>
          <w:p w14:paraId="2AF0011D" w14:textId="77777777" w:rsidR="00AE3383" w:rsidRDefault="00AE3383" w:rsidP="00504501">
            <w:pPr>
              <w:pStyle w:val="Tabelleneintrag"/>
              <w:jc w:val="center"/>
            </w:pPr>
            <w:r>
              <w:t>0</w:t>
            </w:r>
          </w:p>
        </w:tc>
        <w:tc>
          <w:tcPr>
            <w:tcW w:w="0" w:type="auto"/>
            <w:vAlign w:val="center"/>
          </w:tcPr>
          <w:p w14:paraId="54678B7A" w14:textId="77777777" w:rsidR="00AE3383" w:rsidRDefault="00AE3383" w:rsidP="00504501">
            <w:pPr>
              <w:pStyle w:val="Tabelleneintrag"/>
              <w:jc w:val="center"/>
            </w:pPr>
            <w:r>
              <w:t>1</w:t>
            </w:r>
          </w:p>
        </w:tc>
        <w:tc>
          <w:tcPr>
            <w:tcW w:w="0" w:type="auto"/>
            <w:vAlign w:val="center"/>
          </w:tcPr>
          <w:p w14:paraId="235EAE46" w14:textId="77777777" w:rsidR="00AE3383" w:rsidRDefault="00AE3383" w:rsidP="00504501">
            <w:pPr>
              <w:pStyle w:val="Tabelleneintrag"/>
              <w:jc w:val="center"/>
            </w:pPr>
            <w:r>
              <w:t>2</w:t>
            </w:r>
          </w:p>
        </w:tc>
      </w:tr>
      <w:tr w:rsidR="00AE3383" w14:paraId="4AF24C95" w14:textId="77777777" w:rsidTr="00504501">
        <w:trPr>
          <w:trHeight w:val="283"/>
        </w:trPr>
        <w:tc>
          <w:tcPr>
            <w:tcW w:w="3686" w:type="dxa"/>
          </w:tcPr>
          <w:p w14:paraId="64D5BDEE" w14:textId="77777777" w:rsidR="00AE3383" w:rsidRDefault="00AE3383" w:rsidP="00504501">
            <w:pPr>
              <w:pStyle w:val="Tabelleneintrag"/>
            </w:pPr>
            <w:r w:rsidRPr="00DB0D28">
              <w:t>Observed proportion of the genotype</w:t>
            </w:r>
          </w:p>
        </w:tc>
        <w:tc>
          <w:tcPr>
            <w:tcW w:w="0" w:type="auto"/>
            <w:vAlign w:val="center"/>
          </w:tcPr>
          <w:p w14:paraId="76E43CE2" w14:textId="77777777" w:rsidR="00AE3383" w:rsidRPr="00025A75" w:rsidRDefault="002E7D22" w:rsidP="00504501">
            <w:pPr>
              <w:pStyle w:val="Tabelleneintrag"/>
              <w:jc w:val="center"/>
              <w:rPr>
                <w:rFonts w:eastAsia="Calibri"/>
              </w:rPr>
            </w:pPr>
            <m:oMathPara>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0</m:t>
                    </m:r>
                  </m:sub>
                </m:sSub>
                <m:r>
                  <w:rPr>
                    <w:rFonts w:ascii="Cambria Math" w:eastAsia="Calibri" w:hAnsi="Cambria Math"/>
                  </w:rPr>
                  <m:t>=</m:t>
                </m:r>
                <m:f>
                  <m:fPr>
                    <m:type m:val="skw"/>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n</m:t>
                        </m:r>
                      </m:e>
                      <m:sub>
                        <m:r>
                          <w:rPr>
                            <w:rFonts w:ascii="Cambria Math" w:eastAsia="Calibri" w:hAnsi="Cambria Math"/>
                          </w:rPr>
                          <m:t>0</m:t>
                        </m:r>
                      </m:sub>
                    </m:sSub>
                  </m:num>
                  <m:den>
                    <m:r>
                      <w:rPr>
                        <w:rFonts w:ascii="Cambria Math" w:eastAsia="Calibri" w:hAnsi="Cambria Math"/>
                      </w:rPr>
                      <m:t>n</m:t>
                    </m:r>
                  </m:den>
                </m:f>
              </m:oMath>
            </m:oMathPara>
          </w:p>
        </w:tc>
        <w:tc>
          <w:tcPr>
            <w:tcW w:w="0" w:type="auto"/>
            <w:vAlign w:val="center"/>
          </w:tcPr>
          <w:p w14:paraId="2D00B0C0" w14:textId="77777777" w:rsidR="00AE3383" w:rsidRPr="00025A75" w:rsidRDefault="002E7D22" w:rsidP="00504501">
            <w:pPr>
              <w:pStyle w:val="Tabelleneintrag"/>
              <w:jc w:val="center"/>
              <w:rPr>
                <w:rFonts w:eastAsia="Calibri"/>
              </w:rPr>
            </w:pPr>
            <m:oMathPara>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m:t>
                    </m:r>
                    <m:f>
                      <m:fPr>
                        <m:type m:val="skw"/>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n</m:t>
                            </m:r>
                          </m:e>
                          <m:sub>
                            <m:r>
                              <w:rPr>
                                <w:rFonts w:ascii="Cambria Math" w:eastAsia="Calibri" w:hAnsi="Cambria Math"/>
                              </w:rPr>
                              <m:t>1</m:t>
                            </m:r>
                          </m:sub>
                        </m:sSub>
                      </m:num>
                      <m:den>
                        <m:r>
                          <w:rPr>
                            <w:rFonts w:ascii="Cambria Math" w:eastAsia="Calibri" w:hAnsi="Cambria Math"/>
                          </w:rPr>
                          <m:t>n</m:t>
                        </m:r>
                      </m:den>
                    </m:f>
                  </m:sub>
                </m:sSub>
              </m:oMath>
            </m:oMathPara>
          </w:p>
        </w:tc>
        <w:tc>
          <w:tcPr>
            <w:tcW w:w="0" w:type="auto"/>
            <w:vAlign w:val="center"/>
          </w:tcPr>
          <w:p w14:paraId="0E8978F7" w14:textId="77777777" w:rsidR="00AE3383" w:rsidRPr="00025A75" w:rsidRDefault="002E7D22" w:rsidP="00504501">
            <w:pPr>
              <w:pStyle w:val="Tabelleneintrag"/>
              <w:jc w:val="center"/>
              <w:rPr>
                <w:rFonts w:eastAsia="Calibri"/>
              </w:rPr>
            </w:pPr>
            <m:oMathPara>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2=</m:t>
                    </m:r>
                    <m:f>
                      <m:fPr>
                        <m:type m:val="skw"/>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n</m:t>
                            </m:r>
                          </m:e>
                          <m:sub>
                            <m:r>
                              <w:rPr>
                                <w:rFonts w:ascii="Cambria Math" w:eastAsia="Calibri" w:hAnsi="Cambria Math"/>
                              </w:rPr>
                              <m:t>1</m:t>
                            </m:r>
                          </m:sub>
                        </m:sSub>
                      </m:num>
                      <m:den>
                        <m:r>
                          <w:rPr>
                            <w:rFonts w:ascii="Cambria Math" w:eastAsia="Calibri" w:hAnsi="Cambria Math"/>
                          </w:rPr>
                          <m:t>n</m:t>
                        </m:r>
                      </m:den>
                    </m:f>
                  </m:sub>
                </m:sSub>
              </m:oMath>
            </m:oMathPara>
          </w:p>
        </w:tc>
      </w:tr>
      <w:tr w:rsidR="00AE3383" w14:paraId="16E50F59" w14:textId="77777777" w:rsidTr="00504501">
        <w:trPr>
          <w:cnfStyle w:val="000000100000" w:firstRow="0" w:lastRow="0" w:firstColumn="0" w:lastColumn="0" w:oddVBand="0" w:evenVBand="0" w:oddHBand="1" w:evenHBand="0" w:firstRowFirstColumn="0" w:firstRowLastColumn="0" w:lastRowFirstColumn="0" w:lastRowLastColumn="0"/>
          <w:trHeight w:val="283"/>
        </w:trPr>
        <w:tc>
          <w:tcPr>
            <w:tcW w:w="3686" w:type="dxa"/>
          </w:tcPr>
          <w:p w14:paraId="4C70DA74" w14:textId="77777777" w:rsidR="00AE3383" w:rsidRDefault="002E7D22" w:rsidP="00504501">
            <w:pPr>
              <w:pStyle w:val="Tabelleneintrag"/>
            </w:pPr>
            <m:oMath>
              <m:sSub>
                <m:sSubPr>
                  <m:ctrlPr>
                    <w:rPr>
                      <w:rFonts w:ascii="Cambria Math" w:hAnsi="Cambria Math"/>
                      <w:i/>
                    </w:rPr>
                  </m:ctrlPr>
                </m:sSubPr>
                <m:e>
                  <m:r>
                    <w:rPr>
                      <w:rFonts w:ascii="Cambria Math" w:hAnsi="Cambria Math"/>
                    </w:rPr>
                    <m:t>P</m:t>
                  </m:r>
                </m:e>
                <m:sub>
                  <m:r>
                    <w:rPr>
                      <w:rFonts w:ascii="Cambria Math" w:hAnsi="Cambria Math"/>
                    </w:rPr>
                    <m:t>g,HWE</m:t>
                  </m:r>
                </m:sub>
              </m:sSub>
            </m:oMath>
            <w:r w:rsidR="00AE3383">
              <w:t>:</w:t>
            </w:r>
            <w:r w:rsidR="00AE3383" w:rsidRPr="006F06A9">
              <w:t xml:space="preserve"> </w:t>
            </w:r>
            <w:r w:rsidR="00AE3383">
              <w:rPr>
                <w:lang w:val="en-US"/>
              </w:rPr>
              <w:t>fraction</w:t>
            </w:r>
            <w:r w:rsidR="00AE3383" w:rsidRPr="006F06A9">
              <w:t xml:space="preserve"> </w:t>
            </w:r>
            <w:r w:rsidR="00AE3383">
              <w:t>of genotypes assuming</w:t>
            </w:r>
            <w:r w:rsidR="00AE3383" w:rsidRPr="006F06A9">
              <w:t xml:space="preserve"> HWE</w:t>
            </w:r>
          </w:p>
        </w:tc>
        <w:tc>
          <w:tcPr>
            <w:tcW w:w="0" w:type="auto"/>
            <w:vAlign w:val="center"/>
          </w:tcPr>
          <w:p w14:paraId="20796451" w14:textId="77777777" w:rsidR="00AE3383" w:rsidRDefault="00AE3383" w:rsidP="00504501">
            <w:pPr>
              <w:pStyle w:val="Tabelleneintrag"/>
              <w:jc w:val="center"/>
            </w:pPr>
            <m:oMathPara>
              <m:oMath>
                <m:r>
                  <w:rPr>
                    <w:rFonts w:ascii="Cambria Math" w:hAnsi="Cambria Math"/>
                    <w:color w:val="2E74B5" w:themeColor="accent1" w:themeShade="BF"/>
                  </w:rPr>
                  <m:t>(1-f)²</m:t>
                </m:r>
              </m:oMath>
            </m:oMathPara>
          </w:p>
        </w:tc>
        <w:tc>
          <w:tcPr>
            <w:tcW w:w="0" w:type="auto"/>
            <w:vAlign w:val="center"/>
          </w:tcPr>
          <w:p w14:paraId="6C0A3889" w14:textId="77777777" w:rsidR="00AE3383" w:rsidRDefault="00AE3383" w:rsidP="00504501">
            <w:pPr>
              <w:pStyle w:val="Tabelleneintrag"/>
              <w:jc w:val="center"/>
            </w:pPr>
            <m:oMathPara>
              <m:oMath>
                <m:r>
                  <w:rPr>
                    <w:rFonts w:ascii="Cambria Math" w:hAnsi="Cambria Math"/>
                    <w:color w:val="C45911" w:themeColor="accent2" w:themeShade="BF"/>
                  </w:rPr>
                  <m:t>2f(1-f)</m:t>
                </m:r>
              </m:oMath>
            </m:oMathPara>
          </w:p>
        </w:tc>
        <w:tc>
          <w:tcPr>
            <w:tcW w:w="0" w:type="auto"/>
            <w:vAlign w:val="center"/>
          </w:tcPr>
          <w:p w14:paraId="5F27DA0D" w14:textId="77777777" w:rsidR="00AE3383" w:rsidRDefault="00AE3383" w:rsidP="00504501">
            <w:pPr>
              <w:pStyle w:val="Tabelleneintrag"/>
              <w:jc w:val="center"/>
            </w:pPr>
            <m:oMathPara>
              <m:oMath>
                <m:r>
                  <w:rPr>
                    <w:rFonts w:ascii="Cambria Math" w:hAnsi="Cambria Math"/>
                    <w:color w:val="538135" w:themeColor="accent6" w:themeShade="BF"/>
                  </w:rPr>
                  <m:t>f²</m:t>
                </m:r>
              </m:oMath>
            </m:oMathPara>
          </w:p>
        </w:tc>
      </w:tr>
      <w:tr w:rsidR="00AE3383" w14:paraId="17EE5541" w14:textId="77777777" w:rsidTr="00504501">
        <w:trPr>
          <w:trHeight w:val="283"/>
        </w:trPr>
        <w:tc>
          <w:tcPr>
            <w:tcW w:w="3686" w:type="dxa"/>
          </w:tcPr>
          <w:p w14:paraId="6C8A8F03" w14:textId="77777777" w:rsidR="00AE3383" w:rsidRDefault="00AE3383" w:rsidP="00504501">
            <w:pPr>
              <w:pStyle w:val="Tabelleneintrag"/>
            </w:pPr>
            <w:r w:rsidRPr="001F2781">
              <w:t>relative penetrance</w:t>
            </w:r>
            <w:r>
              <w:t>*</w:t>
            </w:r>
          </w:p>
        </w:tc>
        <w:tc>
          <w:tcPr>
            <w:tcW w:w="0" w:type="auto"/>
            <w:vAlign w:val="center"/>
          </w:tcPr>
          <w:p w14:paraId="1A9D6373" w14:textId="77777777" w:rsidR="00AE3383" w:rsidRDefault="00AE3383" w:rsidP="00504501">
            <w:pPr>
              <w:pStyle w:val="Tabelleneintrag"/>
              <w:jc w:val="center"/>
            </w:pPr>
            <m:oMathPara>
              <m:oMath>
                <m:r>
                  <w:rPr>
                    <w:rFonts w:ascii="Cambria Math" w:hAnsi="Cambria Math"/>
                  </w:rPr>
                  <m:t>1</m:t>
                </m:r>
              </m:oMath>
            </m:oMathPara>
          </w:p>
        </w:tc>
        <w:tc>
          <w:tcPr>
            <w:tcW w:w="0" w:type="auto"/>
            <w:vAlign w:val="center"/>
          </w:tcPr>
          <w:p w14:paraId="22FCE1E9" w14:textId="77777777" w:rsidR="00AE3383" w:rsidRDefault="00AE3383" w:rsidP="00504501">
            <w:pPr>
              <w:pStyle w:val="Tabelleneintrag"/>
              <w:jc w:val="center"/>
            </w:pPr>
            <m:oMathPara>
              <m:oMath>
                <m:r>
                  <w:rPr>
                    <w:rFonts w:ascii="Cambria Math" w:hAnsi="Cambria Math"/>
                  </w:rPr>
                  <m:t>RR</m:t>
                </m:r>
              </m:oMath>
            </m:oMathPara>
          </w:p>
        </w:tc>
        <w:tc>
          <w:tcPr>
            <w:tcW w:w="0" w:type="auto"/>
            <w:vAlign w:val="center"/>
          </w:tcPr>
          <w:p w14:paraId="5A7364C9" w14:textId="77777777" w:rsidR="00AE3383" w:rsidRDefault="00AE3383" w:rsidP="00504501">
            <w:pPr>
              <w:pStyle w:val="Tabelleneintrag"/>
              <w:jc w:val="center"/>
            </w:pPr>
            <m:oMathPara>
              <m:oMath>
                <m:r>
                  <w:rPr>
                    <w:rFonts w:ascii="Cambria Math" w:hAnsi="Cambria Math"/>
                  </w:rPr>
                  <m:t>2*(RR-1)+1 = 2RR-1</m:t>
                </m:r>
              </m:oMath>
            </m:oMathPara>
          </w:p>
        </w:tc>
      </w:tr>
      <w:tr w:rsidR="00AE3383" w14:paraId="4BAFF233" w14:textId="77777777" w:rsidTr="00504501">
        <w:trPr>
          <w:cnfStyle w:val="000000100000" w:firstRow="0" w:lastRow="0" w:firstColumn="0" w:lastColumn="0" w:oddVBand="0" w:evenVBand="0" w:oddHBand="1" w:evenHBand="0" w:firstRowFirstColumn="0" w:firstRowLastColumn="0" w:lastRowFirstColumn="0" w:lastRowLastColumn="0"/>
          <w:trHeight w:val="283"/>
        </w:trPr>
        <w:tc>
          <w:tcPr>
            <w:tcW w:w="3686" w:type="dxa"/>
          </w:tcPr>
          <w:p w14:paraId="2D49571C" w14:textId="77777777" w:rsidR="00AE3383" w:rsidRDefault="00AE3383" w:rsidP="00504501">
            <w:pPr>
              <w:pStyle w:val="Tabelleneintrag"/>
            </w:pPr>
            <w:r w:rsidRPr="001F2781">
              <w:t>risk of illness</w:t>
            </w:r>
          </w:p>
        </w:tc>
        <w:tc>
          <w:tcPr>
            <w:tcW w:w="0" w:type="auto"/>
            <w:vAlign w:val="center"/>
          </w:tcPr>
          <w:p w14:paraId="719FA55C" w14:textId="77777777" w:rsidR="00AE3383" w:rsidRDefault="00AE3383" w:rsidP="00504501">
            <w:pPr>
              <w:pStyle w:val="Tabelleneintrag"/>
              <w:jc w:val="center"/>
            </w:pPr>
            <m:oMathPara>
              <m:oMath>
                <m:r>
                  <w:rPr>
                    <w:rFonts w:ascii="Cambria Math" w:hAnsi="Cambria Math"/>
                  </w:rPr>
                  <m:t>p</m:t>
                </m:r>
              </m:oMath>
            </m:oMathPara>
          </w:p>
        </w:tc>
        <w:tc>
          <w:tcPr>
            <w:tcW w:w="0" w:type="auto"/>
            <w:vAlign w:val="center"/>
          </w:tcPr>
          <w:p w14:paraId="1497B29C" w14:textId="77777777" w:rsidR="00AE3383" w:rsidRDefault="00AE3383" w:rsidP="00504501">
            <w:pPr>
              <w:pStyle w:val="Tabelleneintrag"/>
              <w:jc w:val="center"/>
            </w:pPr>
            <m:oMathPara>
              <m:oMath>
                <m:r>
                  <w:rPr>
                    <w:rFonts w:ascii="Cambria Math" w:hAnsi="Cambria Math"/>
                  </w:rPr>
                  <m:t>p∙RR</m:t>
                </m:r>
              </m:oMath>
            </m:oMathPara>
          </w:p>
        </w:tc>
        <w:tc>
          <w:tcPr>
            <w:tcW w:w="0" w:type="auto"/>
            <w:vAlign w:val="center"/>
          </w:tcPr>
          <w:p w14:paraId="1AABCBA3" w14:textId="77777777" w:rsidR="00AE3383" w:rsidRDefault="00AE3383" w:rsidP="00504501">
            <w:pPr>
              <w:pStyle w:val="Tabelleneintrag"/>
              <w:jc w:val="center"/>
            </w:pPr>
            <m:oMathPara>
              <m:oMath>
                <m:r>
                  <w:rPr>
                    <w:rFonts w:ascii="Cambria Math" w:hAnsi="Cambria Math"/>
                  </w:rPr>
                  <m:t>p∙(2RR-1)</m:t>
                </m:r>
              </m:oMath>
            </m:oMathPara>
          </w:p>
        </w:tc>
      </w:tr>
      <w:tr w:rsidR="00AE3383" w14:paraId="6D6C95C2" w14:textId="77777777" w:rsidTr="00504501">
        <w:trPr>
          <w:trHeight w:val="283"/>
        </w:trPr>
        <w:tc>
          <w:tcPr>
            <w:tcW w:w="3686" w:type="dxa"/>
          </w:tcPr>
          <w:p w14:paraId="37EB5B08" w14:textId="77777777" w:rsidR="00AE3383" w:rsidRPr="001F2781" w:rsidRDefault="002E7D22" w:rsidP="00504501">
            <w:pPr>
              <w:pStyle w:val="Tabelleneintrag"/>
              <w:rPr>
                <w:lang w:val="en-US"/>
              </w:rPr>
            </w:pPr>
            <m:oMath>
              <m:sSub>
                <m:sSubPr>
                  <m:ctrlPr>
                    <w:rPr>
                      <w:rFonts w:ascii="Cambria Math" w:hAnsi="Cambria Math"/>
                      <w:i/>
                    </w:rPr>
                  </m:ctrlPr>
                </m:sSubPr>
                <m:e>
                  <m:r>
                    <w:rPr>
                      <w:rFonts w:ascii="Cambria Math" w:hAnsi="Cambria Math"/>
                    </w:rPr>
                    <m:t>P</m:t>
                  </m:r>
                </m:e>
                <m:sub>
                  <m:r>
                    <w:rPr>
                      <w:rFonts w:ascii="Cambria Math" w:hAnsi="Cambria Math"/>
                    </w:rPr>
                    <m:t>g,HWE,affected</m:t>
                  </m:r>
                </m:sub>
              </m:sSub>
            </m:oMath>
            <w:r w:rsidR="00AE3383">
              <w:rPr>
                <w:lang w:val="en-US"/>
              </w:rPr>
              <w:t xml:space="preserve">: fraction </w:t>
            </w:r>
            <w:r w:rsidR="00AE3383" w:rsidRPr="001F2781">
              <w:rPr>
                <w:lang w:val="en-US"/>
              </w:rPr>
              <w:t>of those affected in the total population</w:t>
            </w:r>
          </w:p>
        </w:tc>
        <w:tc>
          <w:tcPr>
            <w:tcW w:w="0" w:type="auto"/>
            <w:vAlign w:val="center"/>
          </w:tcPr>
          <w:p w14:paraId="5B1006D7" w14:textId="77777777" w:rsidR="00AE3383" w:rsidRDefault="00AE3383" w:rsidP="00504501">
            <w:pPr>
              <w:pStyle w:val="Tabelleneintrag"/>
              <w:jc w:val="center"/>
            </w:pPr>
            <m:oMathPara>
              <m:oMath>
                <m:r>
                  <w:rPr>
                    <w:rFonts w:ascii="Cambria Math" w:hAnsi="Cambria Math"/>
                    <w:color w:val="000000" w:themeColor="text1"/>
                  </w:rPr>
                  <m:t>p∙</m:t>
                </m:r>
                <m:r>
                  <w:rPr>
                    <w:rFonts w:ascii="Cambria Math" w:hAnsi="Cambria Math"/>
                    <w:color w:val="2E74B5" w:themeColor="accent1" w:themeShade="BF"/>
                  </w:rPr>
                  <m:t>(1-f)²</m:t>
                </m:r>
              </m:oMath>
            </m:oMathPara>
          </w:p>
        </w:tc>
        <w:tc>
          <w:tcPr>
            <w:tcW w:w="0" w:type="auto"/>
            <w:vAlign w:val="center"/>
          </w:tcPr>
          <w:p w14:paraId="10E34425" w14:textId="77777777" w:rsidR="00AE3383" w:rsidRDefault="00AE3383" w:rsidP="00504501">
            <w:pPr>
              <w:pStyle w:val="Tabelleneintrag"/>
              <w:jc w:val="center"/>
            </w:pPr>
            <m:oMathPara>
              <m:oMath>
                <m:r>
                  <w:rPr>
                    <w:rFonts w:ascii="Cambria Math" w:hAnsi="Cambria Math"/>
                  </w:rPr>
                  <m:t>p∙RR∙</m:t>
                </m:r>
                <m:r>
                  <w:rPr>
                    <w:rFonts w:ascii="Cambria Math" w:hAnsi="Cambria Math"/>
                    <w:color w:val="C45911" w:themeColor="accent2" w:themeShade="BF"/>
                  </w:rPr>
                  <m:t>2f(1-f)</m:t>
                </m:r>
              </m:oMath>
            </m:oMathPara>
          </w:p>
        </w:tc>
        <w:tc>
          <w:tcPr>
            <w:tcW w:w="0" w:type="auto"/>
            <w:vAlign w:val="center"/>
          </w:tcPr>
          <w:p w14:paraId="79B9F157" w14:textId="77777777" w:rsidR="00AE3383" w:rsidRDefault="00AE3383" w:rsidP="00504501">
            <w:pPr>
              <w:pStyle w:val="Tabelleneintrag"/>
              <w:jc w:val="center"/>
            </w:pPr>
            <m:oMathPara>
              <m:oMath>
                <m:r>
                  <w:rPr>
                    <w:rFonts w:ascii="Cambria Math" w:hAnsi="Cambria Math"/>
                  </w:rPr>
                  <m:t>p∙</m:t>
                </m:r>
                <m:d>
                  <m:dPr>
                    <m:ctrlPr>
                      <w:rPr>
                        <w:rFonts w:ascii="Cambria Math" w:hAnsi="Cambria Math"/>
                        <w:i/>
                      </w:rPr>
                    </m:ctrlPr>
                  </m:dPr>
                  <m:e>
                    <m:r>
                      <w:rPr>
                        <w:rFonts w:ascii="Cambria Math" w:hAnsi="Cambria Math"/>
                      </w:rPr>
                      <m:t>2RR-1</m:t>
                    </m:r>
                  </m:e>
                </m:d>
                <m:r>
                  <w:rPr>
                    <w:rFonts w:ascii="Cambria Math" w:hAnsi="Cambria Math"/>
                  </w:rPr>
                  <m:t>.</m:t>
                </m:r>
                <m:r>
                  <w:rPr>
                    <w:rFonts w:ascii="Cambria Math" w:hAnsi="Cambria Math"/>
                    <w:color w:val="538135" w:themeColor="accent6" w:themeShade="BF"/>
                  </w:rPr>
                  <m:t>f²</m:t>
                </m:r>
              </m:oMath>
            </m:oMathPara>
          </w:p>
        </w:tc>
      </w:tr>
      <w:tr w:rsidR="00AE3383" w14:paraId="0FD7CCA5" w14:textId="77777777" w:rsidTr="00504501">
        <w:trPr>
          <w:cnfStyle w:val="000000100000" w:firstRow="0" w:lastRow="0" w:firstColumn="0" w:lastColumn="0" w:oddVBand="0" w:evenVBand="0" w:oddHBand="1" w:evenHBand="0" w:firstRowFirstColumn="0" w:firstRowLastColumn="0" w:lastRowFirstColumn="0" w:lastRowLastColumn="0"/>
          <w:trHeight w:val="283"/>
        </w:trPr>
        <w:tc>
          <w:tcPr>
            <w:tcW w:w="3686" w:type="dxa"/>
          </w:tcPr>
          <w:p w14:paraId="79BA16C1" w14:textId="77777777" w:rsidR="00AE3383" w:rsidRPr="001F2781" w:rsidRDefault="002E7D22" w:rsidP="00504501">
            <w:pPr>
              <w:pStyle w:val="Tabelleneintrag"/>
              <w:rPr>
                <w:lang w:val="en-US"/>
              </w:rPr>
            </w:pPr>
            <m:oMath>
              <m:sSub>
                <m:sSubPr>
                  <m:ctrlPr>
                    <w:rPr>
                      <w:rFonts w:ascii="Cambria Math" w:hAnsi="Cambria Math"/>
                      <w:i/>
                    </w:rPr>
                  </m:ctrlPr>
                </m:sSubPr>
                <m:e>
                  <m:r>
                    <w:rPr>
                      <w:rFonts w:ascii="Cambria Math" w:hAnsi="Cambria Math"/>
                    </w:rPr>
                    <m:t>P</m:t>
                  </m:r>
                </m:e>
                <m:sub>
                  <m:r>
                    <w:rPr>
                      <w:rFonts w:ascii="Cambria Math" w:hAnsi="Cambria Math"/>
                    </w:rPr>
                    <m:t>HWE,affected</m:t>
                  </m:r>
                </m:sub>
              </m:sSub>
            </m:oMath>
            <w:r w:rsidR="00AE3383" w:rsidRPr="001F2781">
              <w:rPr>
                <w:lang w:val="en-US"/>
              </w:rPr>
              <w:t>Proportion of people with the disease in the total population</w:t>
            </w:r>
          </w:p>
        </w:tc>
        <w:tc>
          <w:tcPr>
            <w:tcW w:w="0" w:type="auto"/>
            <w:gridSpan w:val="3"/>
            <w:vAlign w:val="center"/>
          </w:tcPr>
          <w:p w14:paraId="7307DDE0" w14:textId="77777777" w:rsidR="00AE3383" w:rsidRPr="00E311ED" w:rsidRDefault="00AE3383" w:rsidP="00504501">
            <w:pPr>
              <w:pStyle w:val="Tabelleneintrag"/>
              <w:jc w:val="center"/>
              <w:rPr>
                <w:szCs w:val="16"/>
              </w:rPr>
            </w:pPr>
            <m:oMathPara>
              <m:oMath>
                <m:r>
                  <w:rPr>
                    <w:rFonts w:ascii="Cambria Math" w:hAnsi="Cambria Math"/>
                    <w:szCs w:val="16"/>
                  </w:rPr>
                  <m:t>p</m:t>
                </m:r>
                <m:d>
                  <m:dPr>
                    <m:begChr m:val="{"/>
                    <m:endChr m:val="}"/>
                    <m:ctrlPr>
                      <w:rPr>
                        <w:rFonts w:ascii="Cambria Math" w:hAnsi="Cambria Math"/>
                        <w:szCs w:val="16"/>
                      </w:rPr>
                    </m:ctrlPr>
                  </m:dPr>
                  <m:e>
                    <m:eqArr>
                      <m:eqArrPr>
                        <m:ctrlPr>
                          <w:rPr>
                            <w:rFonts w:ascii="Cambria Math" w:hAnsi="Cambria Math"/>
                            <w:szCs w:val="16"/>
                          </w:rPr>
                        </m:ctrlPr>
                      </m:eqArrPr>
                      <m:e>
                        <m:sSup>
                          <m:sSupPr>
                            <m:ctrlPr>
                              <w:rPr>
                                <w:rFonts w:ascii="Cambria Math" w:hAnsi="Cambria Math"/>
                                <w:i/>
                                <w:color w:val="2E74B5" w:themeColor="accent1" w:themeShade="BF"/>
                                <w:szCs w:val="16"/>
                              </w:rPr>
                            </m:ctrlPr>
                          </m:sSupPr>
                          <m:e>
                            <m:d>
                              <m:dPr>
                                <m:ctrlPr>
                                  <w:rPr>
                                    <w:rFonts w:ascii="Cambria Math" w:hAnsi="Cambria Math"/>
                                    <w:i/>
                                    <w:color w:val="2E74B5" w:themeColor="accent1" w:themeShade="BF"/>
                                    <w:szCs w:val="16"/>
                                  </w:rPr>
                                </m:ctrlPr>
                              </m:dPr>
                              <m:e>
                                <m:r>
                                  <w:rPr>
                                    <w:rFonts w:ascii="Cambria Math" w:hAnsi="Cambria Math"/>
                                    <w:color w:val="2E74B5" w:themeColor="accent1" w:themeShade="BF"/>
                                    <w:szCs w:val="16"/>
                                  </w:rPr>
                                  <m:t>1-f</m:t>
                                </m:r>
                              </m:e>
                            </m:d>
                          </m:e>
                          <m:sup>
                            <m:r>
                              <w:rPr>
                                <w:rFonts w:ascii="Cambria Math" w:hAnsi="Cambria Math"/>
                                <w:color w:val="2E74B5" w:themeColor="accent1" w:themeShade="BF"/>
                                <w:szCs w:val="16"/>
                              </w:rPr>
                              <m:t>2</m:t>
                            </m:r>
                          </m:sup>
                        </m:sSup>
                        <m:r>
                          <m:rPr>
                            <m:sty m:val="p"/>
                          </m:rPr>
                          <w:rPr>
                            <w:rFonts w:ascii="Cambria Math" w:hAnsi="Cambria Math"/>
                            <w:szCs w:val="16"/>
                          </w:rPr>
                          <m:t xml:space="preserve">+ </m:t>
                        </m:r>
                      </m:e>
                      <m:e>
                        <m:r>
                          <w:rPr>
                            <w:rFonts w:ascii="Cambria Math" w:hAnsi="Cambria Math"/>
                            <w:szCs w:val="16"/>
                          </w:rPr>
                          <m:t>RR∙</m:t>
                        </m:r>
                        <m:r>
                          <w:rPr>
                            <w:rFonts w:ascii="Cambria Math" w:hAnsi="Cambria Math"/>
                            <w:color w:val="C45911" w:themeColor="accent2" w:themeShade="BF"/>
                            <w:szCs w:val="16"/>
                          </w:rPr>
                          <m:t>2f</m:t>
                        </m:r>
                        <m:d>
                          <m:dPr>
                            <m:ctrlPr>
                              <w:rPr>
                                <w:rFonts w:ascii="Cambria Math" w:hAnsi="Cambria Math"/>
                                <w:i/>
                                <w:color w:val="C45911" w:themeColor="accent2" w:themeShade="BF"/>
                                <w:szCs w:val="16"/>
                              </w:rPr>
                            </m:ctrlPr>
                          </m:dPr>
                          <m:e>
                            <m:r>
                              <w:rPr>
                                <w:rFonts w:ascii="Cambria Math" w:hAnsi="Cambria Math"/>
                                <w:color w:val="C45911" w:themeColor="accent2" w:themeShade="BF"/>
                                <w:szCs w:val="16"/>
                              </w:rPr>
                              <m:t>1-f</m:t>
                            </m:r>
                          </m:e>
                        </m:d>
                        <m:r>
                          <m:rPr>
                            <m:sty m:val="p"/>
                          </m:rPr>
                          <w:rPr>
                            <w:rFonts w:ascii="Cambria Math" w:hAnsi="Cambria Math"/>
                            <w:szCs w:val="16"/>
                          </w:rPr>
                          <m:t xml:space="preserve">+ </m:t>
                        </m:r>
                      </m:e>
                      <m:e>
                        <m:d>
                          <m:dPr>
                            <m:ctrlPr>
                              <w:rPr>
                                <w:rFonts w:ascii="Cambria Math" w:hAnsi="Cambria Math"/>
                                <w:i/>
                                <w:szCs w:val="16"/>
                              </w:rPr>
                            </m:ctrlPr>
                          </m:dPr>
                          <m:e>
                            <m:r>
                              <w:rPr>
                                <w:rFonts w:ascii="Cambria Math" w:hAnsi="Cambria Math"/>
                                <w:szCs w:val="16"/>
                              </w:rPr>
                              <m:t>2RR-1</m:t>
                            </m:r>
                          </m:e>
                        </m:d>
                        <m:r>
                          <w:rPr>
                            <w:rFonts w:ascii="Cambria Math" w:hAnsi="Cambria Math"/>
                            <w:szCs w:val="16"/>
                          </w:rPr>
                          <m:t>∙</m:t>
                        </m:r>
                        <m:r>
                          <w:rPr>
                            <w:rFonts w:ascii="Cambria Math" w:hAnsi="Cambria Math"/>
                            <w:color w:val="538135" w:themeColor="accent6" w:themeShade="BF"/>
                            <w:szCs w:val="16"/>
                          </w:rPr>
                          <m:t>f²</m:t>
                        </m:r>
                      </m:e>
                    </m:eqArr>
                  </m:e>
                </m:d>
              </m:oMath>
            </m:oMathPara>
          </w:p>
        </w:tc>
      </w:tr>
      <w:tr w:rsidR="00AE3383" w14:paraId="1DA51AAA" w14:textId="77777777" w:rsidTr="00504501">
        <w:trPr>
          <w:trHeight w:val="283"/>
        </w:trPr>
        <w:tc>
          <w:tcPr>
            <w:tcW w:w="3686" w:type="dxa"/>
          </w:tcPr>
          <w:p w14:paraId="64D28991" w14:textId="77777777" w:rsidR="00AE3383" w:rsidRPr="001F2781" w:rsidRDefault="00AE3383" w:rsidP="00504501">
            <w:pPr>
              <w:pStyle w:val="Tabelleneintrag"/>
              <w:rPr>
                <w:lang w:val="en-US"/>
              </w:rPr>
            </w:pPr>
            <w:r w:rsidRPr="001F2781">
              <w:rPr>
                <w:lang w:val="en-US"/>
              </w:rPr>
              <w:t>Proportion of g among those affected</w:t>
            </w:r>
            <w:r>
              <w:rPr>
                <w:lang w:val="en-US"/>
              </w:rPr>
              <w:t xml:space="preserve">: </w:t>
            </w:r>
            <m:oMath>
              <m:sSub>
                <m:sSubPr>
                  <m:ctrlPr>
                    <w:rPr>
                      <w:rFonts w:ascii="Cambria Math" w:hAnsi="Cambria Math"/>
                      <w:i/>
                    </w:rPr>
                  </m:ctrlPr>
                </m:sSubPr>
                <m:e>
                  <m:r>
                    <w:rPr>
                      <w:rFonts w:ascii="Cambria Math" w:hAnsi="Cambria Math"/>
                    </w:rPr>
                    <m:t>P</m:t>
                  </m:r>
                </m:e>
                <m:sub>
                  <m:r>
                    <w:rPr>
                      <w:rFonts w:ascii="Cambria Math" w:hAnsi="Cambria Math"/>
                    </w:rPr>
                    <m:t>g,HWE</m:t>
                  </m:r>
                </m:sub>
              </m:sSub>
              <m:r>
                <w:rPr>
                  <w:rFonts w:ascii="Cambria Math" w:hAnsi="Cambria Math"/>
                </w:rPr>
                <m:t xml:space="preserve"> | affected</m:t>
              </m:r>
            </m:oMath>
            <w:r>
              <w:t xml:space="preserve"> (in short </w:t>
            </w:r>
            <m:oMath>
              <m:sSub>
                <m:sSubPr>
                  <m:ctrlPr>
                    <w:rPr>
                      <w:rFonts w:ascii="Cambria Math" w:hAnsi="Cambria Math"/>
                      <w:i/>
                    </w:rPr>
                  </m:ctrlPr>
                </m:sSubPr>
                <m:e>
                  <m:r>
                    <w:rPr>
                      <w:rFonts w:ascii="Cambria Math" w:hAnsi="Cambria Math"/>
                    </w:rPr>
                    <m:t>e</m:t>
                  </m:r>
                </m:e>
                <m:sub>
                  <m:r>
                    <w:rPr>
                      <w:rFonts w:ascii="Cambria Math" w:hAnsi="Cambria Math"/>
                    </w:rPr>
                    <m:t>g</m:t>
                  </m:r>
                </m:sub>
              </m:sSub>
            </m:oMath>
          </w:p>
        </w:tc>
        <w:tc>
          <w:tcPr>
            <w:tcW w:w="0" w:type="auto"/>
            <w:vAlign w:val="center"/>
          </w:tcPr>
          <w:p w14:paraId="7BF45F48" w14:textId="77777777" w:rsidR="00AE3383" w:rsidRDefault="002E7D22" w:rsidP="00504501">
            <w:pPr>
              <w:pStyle w:val="Tabelleneintrag"/>
              <w:jc w:val="center"/>
            </w:pPr>
            <m:oMathPara>
              <m:oMath>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strike/>
                      </w:rPr>
                      <m:t>p</m:t>
                    </m:r>
                    <m:r>
                      <w:rPr>
                        <w:rFonts w:ascii="Cambria Math" w:hAnsi="Cambria Math"/>
                      </w:rPr>
                      <m:t>∙</m:t>
                    </m:r>
                    <m:r>
                      <w:rPr>
                        <w:rFonts w:ascii="Cambria Math" w:hAnsi="Cambria Math"/>
                        <w:color w:val="2E74B5" w:themeColor="accent1" w:themeShade="BF"/>
                      </w:rPr>
                      <m:t>(1-f)²</m:t>
                    </m:r>
                  </m:num>
                  <m:den>
                    <m:r>
                      <w:rPr>
                        <w:rFonts w:ascii="Cambria Math" w:hAnsi="Cambria Math"/>
                        <w:strike/>
                      </w:rPr>
                      <m:t>p</m:t>
                    </m:r>
                    <m:d>
                      <m:dPr>
                        <m:begChr m:val="{"/>
                        <m:endChr m:val="}"/>
                        <m:ctrlPr>
                          <w:rPr>
                            <w:rFonts w:ascii="Cambria Math" w:hAnsi="Cambria Math"/>
                            <w:i/>
                          </w:rPr>
                        </m:ctrlPr>
                      </m:dPr>
                      <m:e>
                        <m:r>
                          <w:rPr>
                            <w:rFonts w:ascii="Cambria Math" w:hAnsi="Cambria Math"/>
                          </w:rPr>
                          <m:t>…</m:t>
                        </m:r>
                      </m:e>
                    </m:d>
                  </m:den>
                </m:f>
              </m:oMath>
            </m:oMathPara>
          </w:p>
        </w:tc>
        <w:tc>
          <w:tcPr>
            <w:tcW w:w="0" w:type="auto"/>
            <w:vAlign w:val="center"/>
          </w:tcPr>
          <w:p w14:paraId="68F844AA" w14:textId="77777777" w:rsidR="00AE3383" w:rsidRDefault="002E7D22" w:rsidP="00504501">
            <w:pPr>
              <w:pStyle w:val="Tabelleneintrag"/>
              <w:jc w:val="center"/>
            </w:pPr>
            <m:oMathPara>
              <m:oMath>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strike/>
                      </w:rPr>
                      <m:t>p</m:t>
                    </m:r>
                    <m:r>
                      <w:rPr>
                        <w:rFonts w:ascii="Cambria Math" w:hAnsi="Cambria Math"/>
                      </w:rPr>
                      <m:t>∙RR∙</m:t>
                    </m:r>
                    <m:r>
                      <w:rPr>
                        <w:rFonts w:ascii="Cambria Math" w:hAnsi="Cambria Math"/>
                        <w:color w:val="C45911" w:themeColor="accent2" w:themeShade="BF"/>
                      </w:rPr>
                      <m:t>2f(1-f)</m:t>
                    </m:r>
                  </m:num>
                  <m:den>
                    <m:r>
                      <w:rPr>
                        <w:rFonts w:ascii="Cambria Math" w:hAnsi="Cambria Math"/>
                        <w:strike/>
                      </w:rPr>
                      <m:t>p</m:t>
                    </m:r>
                    <m:d>
                      <m:dPr>
                        <m:begChr m:val="{"/>
                        <m:endChr m:val="}"/>
                        <m:ctrlPr>
                          <w:rPr>
                            <w:rFonts w:ascii="Cambria Math" w:hAnsi="Cambria Math"/>
                            <w:i/>
                          </w:rPr>
                        </m:ctrlPr>
                      </m:dPr>
                      <m:e>
                        <m:r>
                          <w:rPr>
                            <w:rFonts w:ascii="Cambria Math" w:hAnsi="Cambria Math"/>
                          </w:rPr>
                          <m:t>…</m:t>
                        </m:r>
                      </m:e>
                    </m:d>
                  </m:den>
                </m:f>
              </m:oMath>
            </m:oMathPara>
          </w:p>
        </w:tc>
        <w:tc>
          <w:tcPr>
            <w:tcW w:w="0" w:type="auto"/>
            <w:vAlign w:val="center"/>
          </w:tcPr>
          <w:p w14:paraId="176F232C" w14:textId="77777777" w:rsidR="00AE3383" w:rsidRDefault="002E7D22" w:rsidP="00504501">
            <w:pPr>
              <w:pStyle w:val="Tabelleneintrag"/>
              <w:jc w:val="center"/>
            </w:pPr>
            <m:oMathPara>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 xml:space="preserve">= </m:t>
                </m:r>
                <m:f>
                  <m:fPr>
                    <m:ctrlPr>
                      <w:rPr>
                        <w:rFonts w:ascii="Cambria Math" w:hAnsi="Cambria Math"/>
                        <w:i/>
                      </w:rPr>
                    </m:ctrlPr>
                  </m:fPr>
                  <m:num>
                    <m:r>
                      <w:rPr>
                        <w:rFonts w:ascii="Cambria Math" w:hAnsi="Cambria Math"/>
                        <w:strike/>
                      </w:rPr>
                      <m:t>p</m:t>
                    </m:r>
                    <m:d>
                      <m:dPr>
                        <m:ctrlPr>
                          <w:rPr>
                            <w:rFonts w:ascii="Cambria Math" w:hAnsi="Cambria Math"/>
                            <w:i/>
                          </w:rPr>
                        </m:ctrlPr>
                      </m:dPr>
                      <m:e>
                        <m:r>
                          <w:rPr>
                            <w:rFonts w:ascii="Cambria Math" w:hAnsi="Cambria Math"/>
                          </w:rPr>
                          <m:t>2RR-1</m:t>
                        </m:r>
                      </m:e>
                    </m:d>
                    <m:r>
                      <w:rPr>
                        <w:rFonts w:ascii="Cambria Math" w:hAnsi="Cambria Math"/>
                      </w:rPr>
                      <m:t>.</m:t>
                    </m:r>
                    <m:r>
                      <w:rPr>
                        <w:rFonts w:ascii="Cambria Math" w:hAnsi="Cambria Math"/>
                        <w:color w:val="538135" w:themeColor="accent6" w:themeShade="BF"/>
                      </w:rPr>
                      <m:t>f²</m:t>
                    </m:r>
                  </m:num>
                  <m:den>
                    <m:r>
                      <w:rPr>
                        <w:rFonts w:ascii="Cambria Math" w:hAnsi="Cambria Math"/>
                        <w:strike/>
                      </w:rPr>
                      <m:t>p</m:t>
                    </m:r>
                    <m:d>
                      <m:dPr>
                        <m:begChr m:val="{"/>
                        <m:endChr m:val="}"/>
                        <m:ctrlPr>
                          <w:rPr>
                            <w:rFonts w:ascii="Cambria Math" w:hAnsi="Cambria Math"/>
                            <w:i/>
                          </w:rPr>
                        </m:ctrlPr>
                      </m:dPr>
                      <m:e>
                        <m:r>
                          <w:rPr>
                            <w:rFonts w:ascii="Cambria Math" w:hAnsi="Cambria Math"/>
                          </w:rPr>
                          <m:t>…</m:t>
                        </m:r>
                      </m:e>
                    </m:d>
                  </m:den>
                </m:f>
              </m:oMath>
            </m:oMathPara>
          </w:p>
        </w:tc>
      </w:tr>
    </w:tbl>
    <w:p w14:paraId="61FCB0C4" w14:textId="77777777" w:rsidR="00AE3383" w:rsidRPr="00153854" w:rsidRDefault="002E7D22" w:rsidP="00AE3383">
      <w:pPr>
        <w:pStyle w:val="Tabellenfu"/>
        <w:rPr>
          <w:rFonts w:asciiTheme="minorHAnsi" w:hAnsiTheme="minorHAnsi" w:cstheme="minorHAnsi"/>
          <w:szCs w:val="16"/>
          <w:lang w:val="en-GB"/>
        </w:rPr>
      </w:pPr>
      <m:oMath>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0</m:t>
            </m:r>
          </m:sub>
        </m:sSub>
        <m:r>
          <w:rPr>
            <w:rFonts w:ascii="Cambria Math" w:hAnsi="Cambria Math" w:cstheme="minorHAnsi"/>
            <w:szCs w:val="16"/>
            <w:lang w:val="en-US" w:eastAsia="de-DE"/>
          </w:rPr>
          <m:t xml:space="preserve">, </m:t>
        </m:r>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1</m:t>
            </m:r>
          </m:sub>
        </m:sSub>
        <m:r>
          <w:rPr>
            <w:rFonts w:ascii="Cambria Math" w:hAnsi="Cambria Math" w:cstheme="minorHAnsi"/>
            <w:szCs w:val="16"/>
            <w:lang w:val="en-US" w:eastAsia="de-DE"/>
          </w:rPr>
          <m:t xml:space="preserve">, </m:t>
        </m:r>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2</m:t>
            </m:r>
          </m:sub>
        </m:sSub>
      </m:oMath>
      <w:r w:rsidR="00AE3383" w:rsidRPr="00153854">
        <w:rPr>
          <w:rFonts w:asciiTheme="minorHAnsi" w:hAnsiTheme="minorHAnsi" w:cstheme="minorHAnsi"/>
          <w:szCs w:val="16"/>
          <w:lang w:val="en-US" w:eastAsia="de-DE"/>
        </w:rPr>
        <w:t xml:space="preserve"> are the numbers of individuals carrying 0, 1 or 2 copies of the rare allele. </w:t>
      </w:r>
      <m:oMath>
        <m:sSub>
          <m:sSubPr>
            <m:ctrlPr>
              <w:rPr>
                <w:rFonts w:ascii="Cambria Math" w:hAnsi="Cambria Math" w:cstheme="minorHAnsi"/>
                <w:i/>
                <w:szCs w:val="16"/>
                <w:lang w:val="en-GB" w:eastAsia="de-DE"/>
              </w:rPr>
            </m:ctrlPr>
          </m:sSubPr>
          <m:e>
            <m:r>
              <w:rPr>
                <w:rFonts w:ascii="Cambria Math" w:hAnsi="Cambria Math" w:cstheme="minorHAnsi"/>
                <w:szCs w:val="16"/>
              </w:rPr>
              <m:t>n</m:t>
            </m:r>
            <m:r>
              <w:rPr>
                <w:rFonts w:ascii="Cambria Math" w:hAnsi="Cambria Math" w:cstheme="minorHAnsi"/>
                <w:szCs w:val="16"/>
                <w:lang w:val="en-US"/>
              </w:rPr>
              <m:t>=</m:t>
            </m:r>
            <m:r>
              <w:rPr>
                <w:rFonts w:ascii="Cambria Math" w:hAnsi="Cambria Math" w:cstheme="minorHAnsi"/>
                <w:szCs w:val="16"/>
              </w:rPr>
              <m:t>n</m:t>
            </m:r>
          </m:e>
          <m:sub>
            <m:r>
              <w:rPr>
                <w:rFonts w:ascii="Cambria Math" w:hAnsi="Cambria Math" w:cstheme="minorHAnsi"/>
                <w:szCs w:val="16"/>
                <w:lang w:val="en-US"/>
              </w:rPr>
              <m:t>0</m:t>
            </m:r>
          </m:sub>
        </m:sSub>
        <m:r>
          <w:rPr>
            <w:rFonts w:ascii="Cambria Math" w:hAnsi="Cambria Math" w:cstheme="minorHAnsi"/>
            <w:szCs w:val="16"/>
            <w:lang w:val="en-US" w:eastAsia="de-DE"/>
          </w:rPr>
          <m:t xml:space="preserve">+ </m:t>
        </m:r>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1</m:t>
            </m:r>
          </m:sub>
        </m:sSub>
        <m:r>
          <w:rPr>
            <w:rFonts w:ascii="Cambria Math" w:hAnsi="Cambria Math" w:cstheme="minorHAnsi"/>
            <w:szCs w:val="16"/>
            <w:lang w:val="en-US" w:eastAsia="de-DE"/>
          </w:rPr>
          <m:t xml:space="preserve">+ </m:t>
        </m:r>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2</m:t>
            </m:r>
          </m:sub>
        </m:sSub>
        <m:r>
          <w:rPr>
            <w:rFonts w:ascii="Cambria Math" w:hAnsi="Cambria Math" w:cstheme="minorHAnsi"/>
            <w:szCs w:val="16"/>
            <w:lang w:val="en-GB" w:eastAsia="de-DE"/>
          </w:rPr>
          <m:t xml:space="preserve"> </m:t>
        </m:r>
      </m:oMath>
      <w:r w:rsidR="00AE3383" w:rsidRPr="00153854">
        <w:rPr>
          <w:rFonts w:asciiTheme="minorHAnsi" w:hAnsiTheme="minorHAnsi" w:cstheme="minorHAnsi"/>
          <w:szCs w:val="16"/>
          <w:lang w:val="en-US" w:eastAsia="de-DE"/>
        </w:rPr>
        <w:t xml:space="preserve">is the sample size. In case of uncertain genotyping and </w:t>
      </w:r>
      <m:oMath>
        <m:sSub>
          <m:sSubPr>
            <m:ctrlPr>
              <w:rPr>
                <w:rFonts w:ascii="Cambria Math" w:hAnsi="Cambria Math" w:cstheme="minorHAnsi"/>
                <w:i/>
                <w:szCs w:val="16"/>
                <w:lang w:val="en-GB" w:eastAsia="de-DE"/>
              </w:rPr>
            </m:ctrlPr>
          </m:sSubPr>
          <m:e>
            <m:r>
              <w:rPr>
                <w:rFonts w:ascii="Cambria Math" w:hAnsi="Cambria Math" w:cstheme="minorHAnsi"/>
                <w:szCs w:val="16"/>
              </w:rPr>
              <m:t>r</m:t>
            </m:r>
          </m:e>
          <m:sub>
            <m:r>
              <w:rPr>
                <w:rFonts w:ascii="Cambria Math" w:hAnsi="Cambria Math" w:cstheme="minorHAnsi"/>
                <w:szCs w:val="16"/>
                <w:lang w:val="en-US"/>
              </w:rPr>
              <m:t>0,</m:t>
            </m:r>
            <m:r>
              <w:rPr>
                <w:rFonts w:ascii="Cambria Math" w:hAnsi="Cambria Math" w:cstheme="minorHAnsi"/>
                <w:szCs w:val="16"/>
              </w:rPr>
              <m:t>i</m:t>
            </m:r>
          </m:sub>
        </m:sSub>
        <m:r>
          <w:rPr>
            <w:rFonts w:ascii="Cambria Math" w:hAnsi="Cambria Math" w:cstheme="minorHAnsi"/>
            <w:szCs w:val="16"/>
            <w:lang w:val="en-US" w:eastAsia="de-DE"/>
          </w:rPr>
          <m:t xml:space="preserve">, </m:t>
        </m:r>
        <m:sSub>
          <m:sSubPr>
            <m:ctrlPr>
              <w:rPr>
                <w:rFonts w:ascii="Cambria Math" w:hAnsi="Cambria Math" w:cstheme="minorHAnsi"/>
                <w:i/>
                <w:szCs w:val="16"/>
                <w:lang w:val="en-GB" w:eastAsia="de-DE"/>
              </w:rPr>
            </m:ctrlPr>
          </m:sSubPr>
          <m:e>
            <m:r>
              <w:rPr>
                <w:rFonts w:ascii="Cambria Math" w:hAnsi="Cambria Math" w:cstheme="minorHAnsi"/>
                <w:szCs w:val="16"/>
              </w:rPr>
              <m:t>r</m:t>
            </m:r>
          </m:e>
          <m:sub>
            <m:r>
              <w:rPr>
                <w:rFonts w:ascii="Cambria Math" w:hAnsi="Cambria Math" w:cstheme="minorHAnsi"/>
                <w:szCs w:val="16"/>
                <w:lang w:val="en-US"/>
              </w:rPr>
              <m:t>1,</m:t>
            </m:r>
            <m:r>
              <w:rPr>
                <w:rFonts w:ascii="Cambria Math" w:hAnsi="Cambria Math" w:cstheme="minorHAnsi"/>
                <w:szCs w:val="16"/>
              </w:rPr>
              <m:t>i</m:t>
            </m:r>
          </m:sub>
        </m:sSub>
        <m:r>
          <w:rPr>
            <w:rFonts w:ascii="Cambria Math" w:hAnsi="Cambria Math" w:cstheme="minorHAnsi"/>
            <w:szCs w:val="16"/>
            <w:lang w:val="en-US" w:eastAsia="de-DE"/>
          </w:rPr>
          <m:t xml:space="preserve">, </m:t>
        </m:r>
        <m:sSub>
          <m:sSubPr>
            <m:ctrlPr>
              <w:rPr>
                <w:rFonts w:ascii="Cambria Math" w:hAnsi="Cambria Math" w:cstheme="minorHAnsi"/>
                <w:i/>
                <w:szCs w:val="16"/>
                <w:lang w:val="en-GB" w:eastAsia="de-DE"/>
              </w:rPr>
            </m:ctrlPr>
          </m:sSubPr>
          <m:e>
            <m:r>
              <w:rPr>
                <w:rFonts w:ascii="Cambria Math" w:hAnsi="Cambria Math" w:cstheme="minorHAnsi"/>
                <w:szCs w:val="16"/>
              </w:rPr>
              <m:t>r</m:t>
            </m:r>
          </m:e>
          <m:sub>
            <m:r>
              <w:rPr>
                <w:rFonts w:ascii="Cambria Math" w:hAnsi="Cambria Math" w:cstheme="minorHAnsi"/>
                <w:szCs w:val="16"/>
                <w:lang w:val="en-US"/>
              </w:rPr>
              <m:t>2,</m:t>
            </m:r>
            <m:r>
              <w:rPr>
                <w:rFonts w:ascii="Cambria Math" w:hAnsi="Cambria Math" w:cstheme="minorHAnsi"/>
                <w:szCs w:val="16"/>
              </w:rPr>
              <m:t>i</m:t>
            </m:r>
          </m:sub>
        </m:sSub>
      </m:oMath>
      <w:r w:rsidR="00AE3383" w:rsidRPr="00153854">
        <w:rPr>
          <w:rFonts w:asciiTheme="minorHAnsi" w:hAnsiTheme="minorHAnsi" w:cstheme="minorHAnsi"/>
          <w:szCs w:val="16"/>
          <w:lang w:val="en-GB" w:eastAsia="de-DE"/>
        </w:rPr>
        <w:t xml:space="preserve"> indicating the genotype probabilities of individual i: </w:t>
      </w:r>
      <m:oMath>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0</m:t>
            </m:r>
          </m:sub>
        </m:sSub>
        <m:r>
          <w:rPr>
            <w:rFonts w:ascii="Cambria Math" w:hAnsi="Cambria Math" w:cstheme="minorHAnsi"/>
            <w:szCs w:val="16"/>
            <w:lang w:val="en-GB" w:eastAsia="de-DE"/>
          </w:rPr>
          <m:t>=</m:t>
        </m:r>
        <m:nary>
          <m:naryPr>
            <m:chr m:val="∑"/>
            <m:limLoc m:val="subSup"/>
            <m:ctrlPr>
              <w:rPr>
                <w:rFonts w:ascii="Cambria Math" w:hAnsi="Cambria Math" w:cstheme="minorHAnsi"/>
                <w:i/>
                <w:color w:val="auto"/>
                <w:szCs w:val="16"/>
                <w:lang w:val="en-GB" w:eastAsia="de-DE"/>
              </w:rPr>
            </m:ctrlPr>
          </m:naryPr>
          <m:sub>
            <m:r>
              <w:rPr>
                <w:rFonts w:ascii="Cambria Math" w:hAnsi="Cambria Math" w:cstheme="minorHAnsi"/>
                <w:szCs w:val="16"/>
                <w:lang w:val="en-GB" w:eastAsia="de-DE"/>
              </w:rPr>
              <m:t>i=1</m:t>
            </m:r>
          </m:sub>
          <m:sup>
            <m:r>
              <w:rPr>
                <w:rFonts w:ascii="Cambria Math" w:hAnsi="Cambria Math" w:cstheme="minorHAnsi"/>
                <w:szCs w:val="16"/>
                <w:lang w:val="en-GB" w:eastAsia="de-DE"/>
              </w:rPr>
              <m:t>n</m:t>
            </m:r>
          </m:sup>
          <m:e>
            <m:sSub>
              <m:sSubPr>
                <m:ctrlPr>
                  <w:rPr>
                    <w:rFonts w:ascii="Cambria Math" w:hAnsi="Cambria Math" w:cstheme="minorHAnsi"/>
                    <w:i/>
                    <w:szCs w:val="16"/>
                    <w:lang w:val="en-GB" w:eastAsia="de-DE"/>
                  </w:rPr>
                </m:ctrlPr>
              </m:sSubPr>
              <m:e>
                <m:r>
                  <w:rPr>
                    <w:rFonts w:ascii="Cambria Math" w:hAnsi="Cambria Math" w:cstheme="minorHAnsi"/>
                    <w:szCs w:val="16"/>
                  </w:rPr>
                  <m:t>r</m:t>
                </m:r>
              </m:e>
              <m:sub>
                <m:r>
                  <w:rPr>
                    <w:rFonts w:ascii="Cambria Math" w:hAnsi="Cambria Math" w:cstheme="minorHAnsi"/>
                    <w:szCs w:val="16"/>
                    <w:lang w:val="en-US"/>
                  </w:rPr>
                  <m:t>0,</m:t>
                </m:r>
                <m:r>
                  <w:rPr>
                    <w:rFonts w:ascii="Cambria Math" w:hAnsi="Cambria Math" w:cstheme="minorHAnsi"/>
                    <w:szCs w:val="16"/>
                  </w:rPr>
                  <m:t>i</m:t>
                </m:r>
              </m:sub>
            </m:sSub>
          </m:e>
        </m:nary>
      </m:oMath>
      <w:r w:rsidR="00AE3383" w:rsidRPr="00153854">
        <w:rPr>
          <w:rFonts w:asciiTheme="minorHAnsi" w:hAnsiTheme="minorHAnsi" w:cstheme="minorHAnsi"/>
          <w:szCs w:val="16"/>
          <w:lang w:val="en-GB" w:eastAsia="de-DE"/>
        </w:rPr>
        <w:t xml:space="preserve">. </w:t>
      </w:r>
      <w:r w:rsidR="00AE3383" w:rsidRPr="00153854">
        <w:rPr>
          <w:rFonts w:asciiTheme="minorHAnsi" w:hAnsiTheme="minorHAnsi" w:cstheme="minorHAnsi"/>
          <w:szCs w:val="16"/>
          <w:lang w:val="en-US" w:eastAsia="de-DE"/>
        </w:rPr>
        <w:t xml:space="preserve">The same applies for </w:t>
      </w:r>
      <m:oMath>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1</m:t>
            </m:r>
          </m:sub>
        </m:sSub>
      </m:oMath>
      <w:r w:rsidR="00AE3383" w:rsidRPr="00153854">
        <w:rPr>
          <w:rFonts w:asciiTheme="minorHAnsi" w:hAnsiTheme="minorHAnsi" w:cstheme="minorHAnsi"/>
          <w:szCs w:val="16"/>
          <w:lang w:val="en-US" w:eastAsia="de-DE"/>
        </w:rPr>
        <w:t xml:space="preserve"> and </w:t>
      </w:r>
      <m:oMath>
        <m:sSub>
          <m:sSubPr>
            <m:ctrlPr>
              <w:rPr>
                <w:rFonts w:ascii="Cambria Math" w:hAnsi="Cambria Math" w:cstheme="minorHAnsi"/>
                <w:i/>
                <w:szCs w:val="16"/>
                <w:lang w:val="en-GB" w:eastAsia="de-DE"/>
              </w:rPr>
            </m:ctrlPr>
          </m:sSubPr>
          <m:e>
            <m:r>
              <w:rPr>
                <w:rFonts w:ascii="Cambria Math" w:hAnsi="Cambria Math" w:cstheme="minorHAnsi"/>
                <w:szCs w:val="16"/>
              </w:rPr>
              <m:t>n</m:t>
            </m:r>
          </m:e>
          <m:sub>
            <m:r>
              <w:rPr>
                <w:rFonts w:ascii="Cambria Math" w:hAnsi="Cambria Math" w:cstheme="minorHAnsi"/>
                <w:szCs w:val="16"/>
                <w:lang w:val="en-US"/>
              </w:rPr>
              <m:t>2</m:t>
            </m:r>
          </m:sub>
        </m:sSub>
        <m:r>
          <w:rPr>
            <w:rFonts w:ascii="Cambria Math" w:hAnsi="Cambria Math" w:cstheme="minorHAnsi"/>
            <w:szCs w:val="16"/>
            <w:lang w:val="en-US" w:eastAsia="de-DE"/>
          </w:rPr>
          <m:t>.</m:t>
        </m:r>
      </m:oMath>
      <w:r w:rsidR="00AE3383" w:rsidRPr="00153854">
        <w:rPr>
          <w:rFonts w:asciiTheme="minorHAnsi" w:hAnsiTheme="minorHAnsi" w:cstheme="minorHAnsi"/>
          <w:szCs w:val="16"/>
          <w:lang w:val="en-US" w:eastAsia="de-DE"/>
        </w:rPr>
        <w:t xml:space="preserve"> </w:t>
      </w:r>
      <w:r w:rsidR="00AE3383" w:rsidRPr="00153854">
        <w:rPr>
          <w:rFonts w:asciiTheme="minorHAnsi" w:hAnsiTheme="minorHAnsi" w:cstheme="minorHAnsi"/>
          <w:szCs w:val="16"/>
          <w:lang w:val="en-US" w:eastAsia="de-DE"/>
        </w:rPr>
        <w:br/>
      </w:r>
      <w:r w:rsidR="00AE3383" w:rsidRPr="00153854">
        <w:rPr>
          <w:rFonts w:asciiTheme="minorHAnsi" w:hAnsiTheme="minorHAnsi" w:cstheme="minorHAnsi"/>
          <w:szCs w:val="16"/>
          <w:lang w:val="en-US"/>
        </w:rPr>
        <w:t xml:space="preserve">* </w:t>
      </w:r>
      <w:r w:rsidR="00AE3383" w:rsidRPr="00153854">
        <w:rPr>
          <w:rFonts w:asciiTheme="minorHAnsi" w:hAnsiTheme="minorHAnsi" w:cstheme="minorHAnsi"/>
          <w:i/>
          <w:szCs w:val="16"/>
          <w:lang w:val="en-US"/>
        </w:rPr>
        <w:t xml:space="preserve">Penetrance </w:t>
      </w:r>
      <m:oMath>
        <m:r>
          <w:rPr>
            <w:rFonts w:ascii="Cambria Math" w:hAnsi="Cambria Math" w:cstheme="minorHAnsi"/>
            <w:szCs w:val="16"/>
            <w:lang w:val="en-US"/>
          </w:rPr>
          <m:t>p</m:t>
        </m:r>
      </m:oMath>
      <w:r w:rsidR="00AE3383" w:rsidRPr="00153854">
        <w:rPr>
          <w:rFonts w:asciiTheme="minorHAnsi" w:hAnsiTheme="minorHAnsi" w:cstheme="minorHAnsi"/>
          <w:szCs w:val="16"/>
          <w:lang w:val="en-US"/>
        </w:rPr>
        <w:t xml:space="preserve">: </w:t>
      </w:r>
      <w:r w:rsidR="00AE3383" w:rsidRPr="00153854">
        <w:rPr>
          <w:rStyle w:val="Hervorhebung"/>
          <w:rFonts w:asciiTheme="minorHAnsi" w:hAnsiTheme="minorHAnsi" w:cstheme="minorHAnsi"/>
          <w:i w:val="0"/>
          <w:szCs w:val="16"/>
          <w:lang w:val="en-US"/>
        </w:rPr>
        <w:t>fraction of individuals with a specific genotype g who express the expected phenotype</w:t>
      </w:r>
      <w:r w:rsidR="00AE3383" w:rsidRPr="00153854">
        <w:rPr>
          <w:rFonts w:asciiTheme="minorHAnsi" w:hAnsiTheme="minorHAnsi" w:cstheme="minorHAnsi"/>
          <w:i/>
          <w:szCs w:val="16"/>
          <w:lang w:val="en-US"/>
        </w:rPr>
        <w:t xml:space="preserve"> (here: lung cancer). </w:t>
      </w:r>
      <w:r w:rsidR="00AE3383">
        <w:rPr>
          <w:rFonts w:asciiTheme="minorHAnsi" w:hAnsiTheme="minorHAnsi" w:cstheme="minorHAnsi"/>
          <w:i/>
          <w:szCs w:val="16"/>
          <w:lang w:val="en-US"/>
        </w:rPr>
        <w:t>Across all genotypes, t</w:t>
      </w:r>
      <w:r w:rsidR="00AE3383" w:rsidRPr="00153854">
        <w:rPr>
          <w:rFonts w:asciiTheme="minorHAnsi" w:hAnsiTheme="minorHAnsi" w:cstheme="minorHAnsi"/>
          <w:szCs w:val="16"/>
          <w:lang w:val="en-US"/>
        </w:rPr>
        <w:t xml:space="preserve">his is equivalent to </w:t>
      </w:r>
      <w:r w:rsidR="00AE3383" w:rsidRPr="00153854">
        <w:rPr>
          <w:rFonts w:asciiTheme="minorHAnsi" w:hAnsiTheme="minorHAnsi" w:cstheme="minorHAnsi"/>
          <w:i/>
          <w:szCs w:val="16"/>
          <w:lang w:val="en-US"/>
        </w:rPr>
        <w:t>incidence</w:t>
      </w:r>
      <w:r w:rsidR="00AE3383" w:rsidRPr="00153854">
        <w:rPr>
          <w:rFonts w:asciiTheme="minorHAnsi" w:hAnsiTheme="minorHAnsi" w:cstheme="minorHAnsi"/>
          <w:szCs w:val="16"/>
          <w:lang w:val="en-US"/>
        </w:rPr>
        <w:t xml:space="preserve"> or </w:t>
      </w:r>
      <w:r w:rsidR="00AE3383" w:rsidRPr="00153854">
        <w:rPr>
          <w:rFonts w:asciiTheme="minorHAnsi" w:hAnsiTheme="minorHAnsi" w:cstheme="minorHAnsi"/>
          <w:i/>
          <w:szCs w:val="16"/>
          <w:lang w:val="en-US"/>
        </w:rPr>
        <w:t>risk of disease</w:t>
      </w:r>
      <w:r w:rsidR="00AE3383" w:rsidRPr="00153854">
        <w:rPr>
          <w:rFonts w:asciiTheme="minorHAnsi" w:hAnsiTheme="minorHAnsi" w:cstheme="minorHAnsi"/>
          <w:szCs w:val="16"/>
          <w:lang w:val="en-US"/>
        </w:rPr>
        <w:t xml:space="preserve">; </w:t>
      </w:r>
      <m:oMath>
        <m:r>
          <w:rPr>
            <w:rFonts w:ascii="Cambria Math" w:hAnsi="Cambria Math" w:cstheme="minorHAnsi"/>
            <w:szCs w:val="16"/>
          </w:rPr>
          <m:t>f</m:t>
        </m:r>
      </m:oMath>
      <w:r w:rsidR="00AE3383" w:rsidRPr="00153854">
        <w:rPr>
          <w:rFonts w:asciiTheme="minorHAnsi" w:hAnsiTheme="minorHAnsi" w:cstheme="minorHAnsi"/>
          <w:szCs w:val="16"/>
          <w:lang w:val="en-GB"/>
        </w:rPr>
        <w:t xml:space="preserve"> minor allele frequency (MAF), </w:t>
      </w:r>
      <m:oMath>
        <m:r>
          <w:rPr>
            <w:rFonts w:ascii="Cambria Math" w:hAnsi="Cambria Math" w:cstheme="minorHAnsi"/>
            <w:szCs w:val="16"/>
          </w:rPr>
          <m:t>RR</m:t>
        </m:r>
      </m:oMath>
      <w:r w:rsidR="00AE3383" w:rsidRPr="00153854">
        <w:rPr>
          <w:rFonts w:asciiTheme="minorHAnsi" w:hAnsiTheme="minorHAnsi" w:cstheme="minorHAnsi"/>
          <w:szCs w:val="16"/>
          <w:lang w:val="en-GB"/>
        </w:rPr>
        <w:t xml:space="preserve"> genetic relative risk</w:t>
      </w:r>
    </w:p>
    <w:p w14:paraId="0CDDA967" w14:textId="300D6577" w:rsidR="00AE3383" w:rsidRPr="00675309" w:rsidRDefault="00AE3383" w:rsidP="00AE3383">
      <w:r w:rsidRPr="00675309">
        <w:t>However, there are also mechanisms that can lead to a heterozygous or homozygous excess relative to HWE. Reasons for a heterozygote excess may include</w:t>
      </w:r>
      <w:r w:rsidR="00DA5B9A">
        <w:t>:</w:t>
      </w:r>
      <w:r w:rsidRPr="00675309">
        <w:t xml:space="preserve"> e.g.</w:t>
      </w:r>
      <w:r w:rsidR="005418A3">
        <w:t>,</w:t>
      </w:r>
      <w:r w:rsidRPr="00675309">
        <w:t xml:space="preserve"> a) hetero</w:t>
      </w:r>
      <w:r>
        <w:t>-</w:t>
      </w:r>
      <w:r w:rsidRPr="00675309">
        <w:t xml:space="preserve">positive selection (heterozygous individuals have a higher probability of survival or reproduction); b) Wahlund effect (mixing of genetically inhomogeneous subpopulations); c) </w:t>
      </w:r>
      <w:r w:rsidR="00DA5B9A">
        <w:rPr>
          <w:bCs/>
        </w:rPr>
        <w:t>n</w:t>
      </w:r>
      <w:r w:rsidRPr="00675309">
        <w:rPr>
          <w:bCs/>
        </w:rPr>
        <w:t>egative assortative mating (individuals prefer to choose partners who are genetically different from themselves)</w:t>
      </w:r>
      <w:r w:rsidRPr="00675309">
        <w:t>. Reasons for a homozygous excess may include: e.g.</w:t>
      </w:r>
      <w:r w:rsidR="00DA5B9A">
        <w:t>,</w:t>
      </w:r>
      <w:r w:rsidRPr="00675309">
        <w:t xml:space="preserve"> e) hidden relationships (hidden relationships or concealed population structures); f) inbreeding (consanguinity: the mating of individuals who are related in both the narrow and a broader sense); g) </w:t>
      </w:r>
      <w:r>
        <w:t>p</w:t>
      </w:r>
      <w:r w:rsidRPr="00675309">
        <w:t>ositive assortative mating (individuals preferentially choose partners with similar characteristics and consequently similar genotypes); h) homo</w:t>
      </w:r>
      <w:r>
        <w:t>-</w:t>
      </w:r>
      <w:r w:rsidRPr="00675309">
        <w:t>positive selection (when homozygous individuals have a higher probability of survival or reproduction).</w:t>
      </w:r>
    </w:p>
    <w:p w14:paraId="2EB88739" w14:textId="6CBA6762" w:rsidR="00AE3383" w:rsidRPr="00AC6ABD" w:rsidRDefault="00AE3383" w:rsidP="00AE3383">
      <w:pPr>
        <w:rPr>
          <w:rFonts w:eastAsiaTheme="minorEastAsia"/>
          <w:lang w:val="en-US"/>
        </w:rPr>
      </w:pPr>
      <w:r w:rsidRPr="00AC6ABD">
        <w:rPr>
          <w:lang w:val="en-US"/>
        </w:rPr>
        <w:t xml:space="preserve">Against the backdrop of possible </w:t>
      </w:r>
      <w:r>
        <w:rPr>
          <w:lang w:val="en-US"/>
        </w:rPr>
        <w:t>inbreeding,</w:t>
      </w:r>
      <w:r w:rsidRPr="00AC6ABD">
        <w:rPr>
          <w:lang w:val="en-US"/>
        </w:rPr>
        <w:t xml:space="preserve"> a distribution of the genotype of a diallelic genomic marker with allele frequency </w:t>
      </w:r>
      <m:oMath>
        <m:r>
          <w:rPr>
            <w:rFonts w:ascii="Cambria Math" w:hAnsi="Cambria Math"/>
            <w:lang w:val="en-US"/>
          </w:rPr>
          <m:t>f</m:t>
        </m:r>
      </m:oMath>
      <w:r>
        <w:rPr>
          <w:lang w:val="en-US"/>
        </w:rPr>
        <w:t xml:space="preserve"> (</w:t>
      </w:r>
      <w:r w:rsidRPr="00AC6ABD">
        <w:rPr>
          <w:lang w:val="en-US"/>
        </w:rPr>
        <w:t>extended HWE</w:t>
      </w:r>
      <w:r>
        <w:rPr>
          <w:lang w:val="en-US"/>
        </w:rPr>
        <w:t>)</w:t>
      </w:r>
      <w:r w:rsidRPr="00AC6ABD">
        <w:rPr>
          <w:lang w:val="en-US"/>
        </w:rPr>
        <w:t xml:space="preserve"> </w:t>
      </w:r>
      <w:r>
        <w:rPr>
          <w:lang w:val="en-US"/>
        </w:rPr>
        <w:t xml:space="preserve">had </w:t>
      </w:r>
      <w:r w:rsidR="00A561CC">
        <w:rPr>
          <w:lang w:val="en-US"/>
        </w:rPr>
        <w:t xml:space="preserve">to </w:t>
      </w:r>
      <w:r w:rsidRPr="00AC6ABD">
        <w:rPr>
          <w:lang w:val="en-US"/>
        </w:rPr>
        <w:t xml:space="preserve">be defined as </w:t>
      </w:r>
      <w:r>
        <w:rPr>
          <w:lang w:val="en-US"/>
        </w:rPr>
        <w:t xml:space="preserve">given in </w:t>
      </w:r>
      <w:r>
        <w:rPr>
          <w:lang w:val="en-US"/>
        </w:rPr>
        <w:fldChar w:fldCharType="begin"/>
      </w:r>
      <w:r>
        <w:rPr>
          <w:lang w:val="en-US"/>
        </w:rPr>
        <w:instrText xml:space="preserve"> REF _Ref223627269 \h </w:instrText>
      </w:r>
      <w:r>
        <w:rPr>
          <w:lang w:val="en-US"/>
        </w:rPr>
      </w:r>
      <w:r>
        <w:rPr>
          <w:lang w:val="en-US"/>
        </w:rPr>
        <w:fldChar w:fldCharType="separate"/>
      </w:r>
      <w:r w:rsidR="00D3791A">
        <w:t xml:space="preserve">S-Table </w:t>
      </w:r>
      <w:r w:rsidR="00D3791A">
        <w:rPr>
          <w:noProof/>
        </w:rPr>
        <w:t>2</w:t>
      </w:r>
      <w:r>
        <w:rPr>
          <w:lang w:val="en-US"/>
        </w:rPr>
        <w:fldChar w:fldCharType="end"/>
      </w:r>
      <w:r>
        <w:rPr>
          <w:lang w:val="en-US"/>
        </w:rPr>
        <w:t xml:space="preserve"> </w:t>
      </w:r>
      <w:r>
        <w:rPr>
          <w:rFonts w:eastAsiaTheme="minorEastAsia"/>
        </w:rPr>
        <w:fldChar w:fldCharType="begin"/>
      </w:r>
      <w:r w:rsidR="00F53735">
        <w:rPr>
          <w:rFonts w:eastAsiaTheme="minorEastAsia"/>
          <w:lang w:val="en-US"/>
        </w:rPr>
        <w:instrText xml:space="preserve"> ADDIN ZOTERO_ITEM CSL_CITATION {"citationID":"vEEg1qcu","properties":{"formattedCitation":"(5)","plainCitation":"(5)","noteIndex":0},"citationItems":[{"id":12440,"uris":["http://zotero.org/users/806795/items/WHZNYWAU"],"itemData":{"id":12440,"type":"book","ISBN":"978-0-486-40693-0","language":"English (US)","publisher":"Dover Publications","publisher-place":"Mineola, New York","title":"The Genetics of Human Populations","author":[{"family":"Cavalli-Sforza","given":"L.L."},{"family":"Bodmer","given":"W.F."}],"issued":{"date-parts":[["1999"]]}},"locator":"376","label":"page"}],"schema":"https://github.com/citation-style-language/schema/raw/master/csl-citation.json"} </w:instrText>
      </w:r>
      <w:r>
        <w:rPr>
          <w:rFonts w:eastAsiaTheme="minorEastAsia"/>
        </w:rPr>
        <w:fldChar w:fldCharType="separate"/>
      </w:r>
      <w:r w:rsidR="00F53735" w:rsidRPr="00F53735">
        <w:rPr>
          <w:rFonts w:ascii="Calibri" w:hAnsi="Calibri" w:cs="Calibri"/>
        </w:rPr>
        <w:t>(5)</w:t>
      </w:r>
      <w:r>
        <w:rPr>
          <w:rFonts w:eastAsiaTheme="minorEastAsia"/>
        </w:rPr>
        <w:fldChar w:fldCharType="end"/>
      </w:r>
      <w:r w:rsidR="002615EC">
        <w:rPr>
          <w:rFonts w:eastAsiaTheme="minorEastAsia"/>
        </w:rPr>
        <w:t>.</w:t>
      </w:r>
      <w:r>
        <w:rPr>
          <w:rFonts w:eastAsiaTheme="minorEastAsia"/>
        </w:rPr>
        <w:t xml:space="preserve"> The </w:t>
      </w:r>
      <w:r w:rsidRPr="001F2781">
        <w:rPr>
          <w:lang w:val="en-US"/>
        </w:rPr>
        <w:t>proportion of g among those affected</w:t>
      </w:r>
      <w:r>
        <w:rPr>
          <w:lang w:val="en-US"/>
        </w:rPr>
        <w:t xml:space="preserve"> (</w:t>
      </w:r>
      <m:oMath>
        <m:sSub>
          <m:sSubPr>
            <m:ctrlPr>
              <w:rPr>
                <w:rFonts w:ascii="Cambria Math" w:eastAsiaTheme="minorEastAsia" w:hAnsi="Cambria Math" w:cs="Times New Roman"/>
                <w:bCs/>
                <w:i/>
                <w:sz w:val="16"/>
                <w:szCs w:val="20"/>
                <w:lang w:eastAsia="de-DE"/>
              </w:rPr>
            </m:ctrlPr>
          </m:sSubPr>
          <m:e>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=P</m:t>
            </m:r>
          </m:e>
          <m:sub>
            <m:r>
              <w:rPr>
                <w:rFonts w:ascii="Cambria Math" w:hAnsi="Cambria Math"/>
              </w:rPr>
              <m:t>g,HWE</m:t>
            </m:r>
          </m:sub>
        </m:sSub>
        <m:r>
          <w:rPr>
            <w:rFonts w:ascii="Cambria Math" w:hAnsi="Cambria Math"/>
          </w:rPr>
          <m:t xml:space="preserve"> | affected</m:t>
        </m:r>
      </m:oMath>
      <w:r>
        <w:rPr>
          <w:rFonts w:eastAsiaTheme="minorEastAsia"/>
        </w:rPr>
        <w:t>) changes accordingly.</w:t>
      </w:r>
    </w:p>
    <w:p w14:paraId="78284F06" w14:textId="29EE7437" w:rsidR="00AE3383" w:rsidRDefault="00AE3383" w:rsidP="00AE3383">
      <w:pPr>
        <w:pStyle w:val="Beschriftung"/>
        <w:jc w:val="center"/>
      </w:pPr>
      <w:bookmarkStart w:id="3" w:name="_Ref223627269"/>
      <w:r>
        <w:t xml:space="preserve">S-Table </w:t>
      </w:r>
      <w:r>
        <w:fldChar w:fldCharType="begin"/>
      </w:r>
      <w:r>
        <w:instrText xml:space="preserve"> SEQ S-Table \* ARABIC </w:instrText>
      </w:r>
      <w:r>
        <w:fldChar w:fldCharType="separate"/>
      </w:r>
      <w:r w:rsidR="00D3791A">
        <w:rPr>
          <w:noProof/>
        </w:rPr>
        <w:t>2</w:t>
      </w:r>
      <w:r>
        <w:fldChar w:fldCharType="end"/>
      </w:r>
      <w:bookmarkEnd w:id="3"/>
      <w:r>
        <w:tab/>
      </w:r>
      <w:r w:rsidRPr="00856E2C">
        <w:rPr>
          <w:lang w:val="en-US"/>
        </w:rPr>
        <w:t xml:space="preserve"> </w:t>
      </w:r>
      <w:r>
        <w:rPr>
          <w:lang w:val="de-DE"/>
        </w:rPr>
        <w:t xml:space="preserve">Extended </w:t>
      </w:r>
      <w:r w:rsidRPr="00665B22">
        <w:rPr>
          <w:lang w:val="de-DE"/>
        </w:rPr>
        <w:t>HWE</w:t>
      </w:r>
    </w:p>
    <w:tbl>
      <w:tblPr>
        <w:tblStyle w:val="Listentabelle2Akzent3"/>
        <w:tblW w:w="9072" w:type="dxa"/>
        <w:tblLook w:val="0400" w:firstRow="0" w:lastRow="0" w:firstColumn="0" w:lastColumn="0" w:noHBand="0" w:noVBand="1"/>
      </w:tblPr>
      <w:tblGrid>
        <w:gridCol w:w="2705"/>
        <w:gridCol w:w="1603"/>
        <w:gridCol w:w="1827"/>
        <w:gridCol w:w="1695"/>
        <w:gridCol w:w="1242"/>
      </w:tblGrid>
      <w:tr w:rsidR="00AE3383" w14:paraId="1CF5E9E3" w14:textId="77777777" w:rsidTr="00504501">
        <w:trPr>
          <w:cnfStyle w:val="000000100000" w:firstRow="0" w:lastRow="0" w:firstColumn="0" w:lastColumn="0" w:oddVBand="0" w:evenVBand="0" w:oddHBand="1" w:evenHBand="0" w:firstRowFirstColumn="0" w:firstRowLastColumn="0" w:lastRowFirstColumn="0" w:lastRowLastColumn="0"/>
          <w:trHeight w:val="283"/>
        </w:trPr>
        <w:tc>
          <w:tcPr>
            <w:tcW w:w="2705" w:type="dxa"/>
          </w:tcPr>
          <w:p w14:paraId="3D6C97A9" w14:textId="77777777" w:rsidR="00AE3383" w:rsidRDefault="00AE3383" w:rsidP="00504501">
            <w:pPr>
              <w:pStyle w:val="Tabelleneintrag"/>
            </w:pPr>
            <w:r w:rsidRPr="00DB0D28">
              <w:t xml:space="preserve">genotypes </w:t>
            </w:r>
            <w:r>
              <w:t>g</w:t>
            </w:r>
          </w:p>
        </w:tc>
        <w:tc>
          <w:tcPr>
            <w:tcW w:w="1603" w:type="dxa"/>
          </w:tcPr>
          <w:p w14:paraId="0A02F940" w14:textId="77777777" w:rsidR="00AE3383" w:rsidRDefault="00AE3383" w:rsidP="00504501">
            <w:pPr>
              <w:pStyle w:val="Tabelleneintrag"/>
              <w:jc w:val="center"/>
            </w:pPr>
          </w:p>
        </w:tc>
        <w:tc>
          <w:tcPr>
            <w:tcW w:w="1827" w:type="dxa"/>
            <w:vAlign w:val="center"/>
          </w:tcPr>
          <w:p w14:paraId="2F20D156" w14:textId="77777777" w:rsidR="00AE3383" w:rsidRDefault="00AE3383" w:rsidP="00504501">
            <w:pPr>
              <w:pStyle w:val="Tabelleneintrag"/>
              <w:jc w:val="center"/>
            </w:pPr>
            <w:r>
              <w:t>0</w:t>
            </w:r>
          </w:p>
        </w:tc>
        <w:tc>
          <w:tcPr>
            <w:tcW w:w="1695" w:type="dxa"/>
            <w:vAlign w:val="center"/>
          </w:tcPr>
          <w:p w14:paraId="190B95DA" w14:textId="77777777" w:rsidR="00AE3383" w:rsidRDefault="00AE3383" w:rsidP="00504501">
            <w:pPr>
              <w:pStyle w:val="Tabelleneintrag"/>
              <w:jc w:val="center"/>
            </w:pPr>
            <w:r>
              <w:t>1</w:t>
            </w:r>
          </w:p>
        </w:tc>
        <w:tc>
          <w:tcPr>
            <w:tcW w:w="1242" w:type="dxa"/>
            <w:vAlign w:val="center"/>
          </w:tcPr>
          <w:p w14:paraId="6C809C37" w14:textId="77777777" w:rsidR="00AE3383" w:rsidRDefault="00AE3383" w:rsidP="00504501">
            <w:pPr>
              <w:pStyle w:val="Tabelleneintrag"/>
              <w:jc w:val="center"/>
            </w:pPr>
            <w:r>
              <w:t>2</w:t>
            </w:r>
          </w:p>
        </w:tc>
      </w:tr>
      <w:tr w:rsidR="00AE3383" w14:paraId="489B5920" w14:textId="77777777" w:rsidTr="00504501">
        <w:trPr>
          <w:trHeight w:val="283"/>
        </w:trPr>
        <w:tc>
          <w:tcPr>
            <w:tcW w:w="2705" w:type="dxa"/>
            <w:vAlign w:val="center"/>
          </w:tcPr>
          <w:p w14:paraId="211A5F57" w14:textId="77777777" w:rsidR="00AE3383" w:rsidRDefault="002E7D22" w:rsidP="00504501">
            <w:pPr>
              <w:pStyle w:val="Tabelleneintrag"/>
            </w:pPr>
            <m:oMath>
              <m:sSub>
                <m:sSubPr>
                  <m:ctrlPr>
                    <w:rPr>
                      <w:rFonts w:ascii="Cambria Math" w:hAnsi="Cambria Math"/>
                      <w:i/>
                    </w:rPr>
                  </m:ctrlPr>
                </m:sSubPr>
                <m:e>
                  <m:r>
                    <w:rPr>
                      <w:rFonts w:ascii="Cambria Math" w:hAnsi="Cambria Math"/>
                    </w:rPr>
                    <m:t>P</m:t>
                  </m:r>
                </m:e>
                <m:sub>
                  <m:r>
                    <w:rPr>
                      <w:rFonts w:ascii="Cambria Math" w:hAnsi="Cambria Math"/>
                    </w:rPr>
                    <m:t>g,extHWE</m:t>
                  </m:r>
                </m:sub>
              </m:sSub>
            </m:oMath>
            <w:r w:rsidR="00AE3383">
              <w:t>:</w:t>
            </w:r>
            <w:r w:rsidR="00AE3383" w:rsidRPr="006F06A9">
              <w:t xml:space="preserve"> </w:t>
            </w:r>
            <w:r w:rsidR="00AE3383">
              <w:rPr>
                <w:lang w:val="en-US"/>
              </w:rPr>
              <w:t>fraction</w:t>
            </w:r>
            <w:r w:rsidR="00AE3383" w:rsidRPr="006F06A9">
              <w:t xml:space="preserve"> </w:t>
            </w:r>
            <w:r w:rsidR="00AE3383">
              <w:t>of genotypes assuming</w:t>
            </w:r>
            <w:r w:rsidR="00AE3383" w:rsidRPr="006F06A9">
              <w:t xml:space="preserve"> </w:t>
            </w:r>
            <w:r w:rsidR="00AE3383">
              <w:t xml:space="preserve">extended </w:t>
            </w:r>
            <w:r w:rsidR="00AE3383" w:rsidRPr="006F06A9">
              <w:t>HWE</w:t>
            </w:r>
          </w:p>
        </w:tc>
        <w:tc>
          <w:tcPr>
            <w:tcW w:w="1603" w:type="dxa"/>
          </w:tcPr>
          <w:p w14:paraId="0BC85716" w14:textId="77777777" w:rsidR="00AE3383" w:rsidRDefault="00AE3383" w:rsidP="00504501">
            <w:pPr>
              <w:pStyle w:val="Tabelleneintrag"/>
              <w:jc w:val="center"/>
              <w:rPr>
                <w:rFonts w:eastAsia="Times New Roman"/>
                <w:i/>
                <w:color w:val="2E74B5" w:themeColor="accent1" w:themeShade="BF"/>
                <w:szCs w:val="18"/>
              </w:rPr>
            </w:pPr>
          </w:p>
        </w:tc>
        <w:tc>
          <w:tcPr>
            <w:tcW w:w="1827" w:type="dxa"/>
            <w:vAlign w:val="center"/>
          </w:tcPr>
          <w:p w14:paraId="1FC1AF9A" w14:textId="77777777" w:rsidR="00AE3383" w:rsidRPr="00E66A9A" w:rsidRDefault="002E7D22" w:rsidP="00504501">
            <w:pPr>
              <w:pStyle w:val="Tabelleneintrag"/>
              <w:jc w:val="center"/>
              <w:rPr>
                <w:szCs w:val="18"/>
              </w:rPr>
            </w:pPr>
            <m:oMathPara>
              <m:oMath>
                <m:sSup>
                  <m:sSupPr>
                    <m:ctrlPr>
                      <w:rPr>
                        <w:rFonts w:ascii="Cambria Math" w:hAnsi="Cambria Math"/>
                        <w:i/>
                        <w:color w:val="2E74B5" w:themeColor="accent1" w:themeShade="BF"/>
                        <w:szCs w:val="18"/>
                      </w:rPr>
                    </m:ctrlPr>
                  </m:sSupPr>
                  <m:e>
                    <m:d>
                      <m:dPr>
                        <m:ctrlPr>
                          <w:rPr>
                            <w:rFonts w:ascii="Cambria Math" w:hAnsi="Cambria Math"/>
                            <w:i/>
                            <w:color w:val="2E74B5" w:themeColor="accent1" w:themeShade="BF"/>
                            <w:szCs w:val="18"/>
                          </w:rPr>
                        </m:ctrlPr>
                      </m:dPr>
                      <m:e>
                        <m:r>
                          <w:rPr>
                            <w:rFonts w:ascii="Cambria Math" w:hAnsi="Cambria Math"/>
                            <w:color w:val="2E74B5" w:themeColor="accent1" w:themeShade="BF"/>
                            <w:szCs w:val="18"/>
                          </w:rPr>
                          <m:t>1-f</m:t>
                        </m:r>
                      </m:e>
                    </m:d>
                  </m:e>
                  <m:sup>
                    <m:r>
                      <w:rPr>
                        <w:rFonts w:ascii="Cambria Math" w:hAnsi="Cambria Math"/>
                        <w:color w:val="2E74B5" w:themeColor="accent1" w:themeShade="BF"/>
                        <w:szCs w:val="18"/>
                      </w:rPr>
                      <m:t>2</m:t>
                    </m:r>
                  </m:sup>
                </m:sSup>
                <m:d>
                  <m:dPr>
                    <m:ctrlPr>
                      <w:rPr>
                        <w:rFonts w:ascii="Cambria Math" w:hAnsi="Cambria Math"/>
                        <w:i/>
                        <w:color w:val="2E74B5" w:themeColor="accent1" w:themeShade="BF"/>
                        <w:szCs w:val="18"/>
                      </w:rPr>
                    </m:ctrlPr>
                  </m:dPr>
                  <m:e>
                    <m:r>
                      <w:rPr>
                        <w:rFonts w:ascii="Cambria Math" w:hAnsi="Cambria Math"/>
                        <w:color w:val="2E74B5" w:themeColor="accent1" w:themeShade="BF"/>
                        <w:szCs w:val="18"/>
                      </w:rPr>
                      <m:t>1-F</m:t>
                    </m:r>
                  </m:e>
                </m:d>
                <m:r>
                  <w:rPr>
                    <w:rFonts w:ascii="Cambria Math" w:hAnsi="Cambria Math"/>
                    <w:color w:val="2E74B5" w:themeColor="accent1" w:themeShade="BF"/>
                    <w:szCs w:val="18"/>
                  </w:rPr>
                  <m:t>+F(1-f)</m:t>
                </m:r>
              </m:oMath>
            </m:oMathPara>
          </w:p>
        </w:tc>
        <w:tc>
          <w:tcPr>
            <w:tcW w:w="1695" w:type="dxa"/>
            <w:vAlign w:val="center"/>
          </w:tcPr>
          <w:p w14:paraId="647A5ACB" w14:textId="77777777" w:rsidR="00AE3383" w:rsidRPr="00E66A9A" w:rsidRDefault="00AE3383" w:rsidP="00504501">
            <w:pPr>
              <w:pStyle w:val="Tabelleneintrag"/>
              <w:jc w:val="center"/>
              <w:rPr>
                <w:szCs w:val="18"/>
              </w:rPr>
            </w:pPr>
            <m:oMathPara>
              <m:oMath>
                <m:r>
                  <w:rPr>
                    <w:rFonts w:ascii="Cambria Math" w:hAnsi="Cambria Math"/>
                    <w:color w:val="C45911" w:themeColor="accent2" w:themeShade="BF"/>
                    <w:szCs w:val="18"/>
                  </w:rPr>
                  <m:t>2f</m:t>
                </m:r>
                <m:d>
                  <m:dPr>
                    <m:ctrlPr>
                      <w:rPr>
                        <w:rFonts w:ascii="Cambria Math" w:hAnsi="Cambria Math"/>
                        <w:i/>
                        <w:color w:val="C45911" w:themeColor="accent2" w:themeShade="BF"/>
                        <w:szCs w:val="18"/>
                      </w:rPr>
                    </m:ctrlPr>
                  </m:dPr>
                  <m:e>
                    <m:r>
                      <w:rPr>
                        <w:rFonts w:ascii="Cambria Math" w:hAnsi="Cambria Math"/>
                        <w:color w:val="C45911" w:themeColor="accent2" w:themeShade="BF"/>
                        <w:szCs w:val="18"/>
                      </w:rPr>
                      <m:t>1-f</m:t>
                    </m:r>
                  </m:e>
                </m:d>
                <m:d>
                  <m:dPr>
                    <m:ctrlPr>
                      <w:rPr>
                        <w:rFonts w:ascii="Cambria Math" w:hAnsi="Cambria Math"/>
                        <w:i/>
                        <w:color w:val="C45911" w:themeColor="accent2" w:themeShade="BF"/>
                        <w:szCs w:val="18"/>
                      </w:rPr>
                    </m:ctrlPr>
                  </m:dPr>
                  <m:e>
                    <m:r>
                      <w:rPr>
                        <w:rFonts w:ascii="Cambria Math" w:hAnsi="Cambria Math"/>
                        <w:color w:val="C45911" w:themeColor="accent2" w:themeShade="BF"/>
                        <w:szCs w:val="18"/>
                      </w:rPr>
                      <m:t>1-F</m:t>
                    </m:r>
                  </m:e>
                </m:d>
              </m:oMath>
            </m:oMathPara>
          </w:p>
        </w:tc>
        <w:tc>
          <w:tcPr>
            <w:tcW w:w="1242" w:type="dxa"/>
            <w:vAlign w:val="center"/>
          </w:tcPr>
          <w:p w14:paraId="44FA1242" w14:textId="77777777" w:rsidR="00AE3383" w:rsidRPr="00E66A9A" w:rsidRDefault="00AE3383" w:rsidP="00504501">
            <w:pPr>
              <w:pStyle w:val="Tabelleneintrag"/>
              <w:jc w:val="center"/>
              <w:rPr>
                <w:szCs w:val="18"/>
              </w:rPr>
            </w:pPr>
            <m:oMathPara>
              <m:oMath>
                <m:r>
                  <w:rPr>
                    <w:rFonts w:ascii="Cambria Math" w:hAnsi="Cambria Math"/>
                    <w:color w:val="538135" w:themeColor="accent6" w:themeShade="BF"/>
                    <w:szCs w:val="18"/>
                  </w:rPr>
                  <m:t>f²</m:t>
                </m:r>
                <m:d>
                  <m:dPr>
                    <m:ctrlPr>
                      <w:rPr>
                        <w:rFonts w:ascii="Cambria Math" w:hAnsi="Cambria Math"/>
                        <w:i/>
                        <w:color w:val="538135" w:themeColor="accent6" w:themeShade="BF"/>
                        <w:szCs w:val="18"/>
                      </w:rPr>
                    </m:ctrlPr>
                  </m:dPr>
                  <m:e>
                    <m:r>
                      <w:rPr>
                        <w:rFonts w:ascii="Cambria Math" w:hAnsi="Cambria Math"/>
                        <w:color w:val="538135" w:themeColor="accent6" w:themeShade="BF"/>
                        <w:szCs w:val="18"/>
                      </w:rPr>
                      <m:t>1-F</m:t>
                    </m:r>
                  </m:e>
                </m:d>
                <m:r>
                  <w:rPr>
                    <w:rFonts w:ascii="Cambria Math" w:hAnsi="Cambria Math"/>
                    <w:color w:val="538135" w:themeColor="accent6" w:themeShade="BF"/>
                    <w:szCs w:val="18"/>
                  </w:rPr>
                  <m:t>+fF</m:t>
                </m:r>
              </m:oMath>
            </m:oMathPara>
          </w:p>
        </w:tc>
      </w:tr>
      <w:tr w:rsidR="00AE3383" w14:paraId="56C15D90" w14:textId="77777777" w:rsidTr="00504501">
        <w:trPr>
          <w:cnfStyle w:val="000000100000" w:firstRow="0" w:lastRow="0" w:firstColumn="0" w:lastColumn="0" w:oddVBand="0" w:evenVBand="0" w:oddHBand="1" w:evenHBand="0" w:firstRowFirstColumn="0" w:firstRowLastColumn="0" w:lastRowFirstColumn="0" w:lastRowLastColumn="0"/>
          <w:trHeight w:val="283"/>
        </w:trPr>
        <w:tc>
          <w:tcPr>
            <w:tcW w:w="2705" w:type="dxa"/>
            <w:vAlign w:val="center"/>
          </w:tcPr>
          <w:p w14:paraId="0AB6F0BA" w14:textId="77777777" w:rsidR="00AE3383" w:rsidRDefault="002E7D22" w:rsidP="00504501">
            <w:pPr>
              <w:pStyle w:val="Tabelleneintrag"/>
            </w:pPr>
            <m:oMath>
              <m:sSub>
                <m:sSubPr>
                  <m:ctrlPr>
                    <w:rPr>
                      <w:rFonts w:ascii="Cambria Math" w:hAnsi="Cambria Math"/>
                      <w:i/>
                    </w:rPr>
                  </m:ctrlPr>
                </m:sSubPr>
                <m:e>
                  <m:r>
                    <w:rPr>
                      <w:rFonts w:ascii="Cambria Math" w:hAnsi="Cambria Math"/>
                    </w:rPr>
                    <m:t>P</m:t>
                  </m:r>
                </m:e>
                <m:sub>
                  <m:r>
                    <w:rPr>
                      <w:rFonts w:ascii="Cambria Math" w:hAnsi="Cambria Math"/>
                    </w:rPr>
                    <m:t>HWE,affected</m:t>
                  </m:r>
                </m:sub>
              </m:sSub>
            </m:oMath>
            <w:r w:rsidR="00AE3383" w:rsidRPr="001F2781">
              <w:rPr>
                <w:lang w:val="en-US"/>
              </w:rPr>
              <w:t>Proportion of people with the disease in the total population</w:t>
            </w:r>
          </w:p>
        </w:tc>
        <w:tc>
          <w:tcPr>
            <w:tcW w:w="1603" w:type="dxa"/>
          </w:tcPr>
          <w:p w14:paraId="273DC9B7" w14:textId="77777777" w:rsidR="00AE3383" w:rsidRPr="00E311ED" w:rsidRDefault="00AE3383" w:rsidP="00504501">
            <w:pPr>
              <w:pStyle w:val="Tabelleneintrag"/>
              <w:jc w:val="center"/>
              <w:rPr>
                <w:rFonts w:eastAsia="Calibri"/>
                <w:szCs w:val="16"/>
              </w:rPr>
            </w:pPr>
          </w:p>
        </w:tc>
        <w:tc>
          <w:tcPr>
            <w:tcW w:w="4764" w:type="dxa"/>
            <w:gridSpan w:val="3"/>
            <w:vAlign w:val="center"/>
          </w:tcPr>
          <w:p w14:paraId="08704986" w14:textId="77777777" w:rsidR="00AE3383" w:rsidRDefault="002E7D22" w:rsidP="00504501">
            <w:pPr>
              <w:pStyle w:val="Tabelleneintrag"/>
              <w:jc w:val="center"/>
              <w:rPr>
                <w:rFonts w:eastAsia="Times New Roman"/>
                <w:color w:val="538135" w:themeColor="accent6" w:themeShade="BF"/>
                <w:szCs w:val="18"/>
              </w:rPr>
            </w:pPr>
            <m:oMathPara>
              <m:oMath>
                <m:d>
                  <m:dPr>
                    <m:begChr m:val="{"/>
                    <m:endChr m:val="}"/>
                    <m:ctrlPr>
                      <w:rPr>
                        <w:rFonts w:ascii="Cambria Math" w:hAnsi="Cambria Math"/>
                        <w:szCs w:val="16"/>
                      </w:rPr>
                    </m:ctrlPr>
                  </m:dPr>
                  <m:e>
                    <m:eqArr>
                      <m:eqArrPr>
                        <m:ctrlPr>
                          <w:rPr>
                            <w:rFonts w:ascii="Cambria Math" w:hAnsi="Cambria Math"/>
                            <w:szCs w:val="16"/>
                          </w:rPr>
                        </m:ctrlPr>
                      </m:eqArrPr>
                      <m:e>
                        <m:sSup>
                          <m:sSupPr>
                            <m:ctrlPr>
                              <w:rPr>
                                <w:rFonts w:ascii="Cambria Math" w:hAnsi="Cambria Math"/>
                                <w:i/>
                                <w:color w:val="2E74B5" w:themeColor="accent1" w:themeShade="BF"/>
                                <w:szCs w:val="18"/>
                              </w:rPr>
                            </m:ctrlPr>
                          </m:sSupPr>
                          <m:e>
                            <m:d>
                              <m:dPr>
                                <m:ctrlPr>
                                  <w:rPr>
                                    <w:rFonts w:ascii="Cambria Math" w:hAnsi="Cambria Math"/>
                                    <w:i/>
                                    <w:color w:val="2E74B5" w:themeColor="accent1" w:themeShade="BF"/>
                                    <w:szCs w:val="18"/>
                                  </w:rPr>
                                </m:ctrlPr>
                              </m:dPr>
                              <m:e>
                                <m:r>
                                  <w:rPr>
                                    <w:rFonts w:ascii="Cambria Math" w:hAnsi="Cambria Math"/>
                                    <w:color w:val="2E74B5" w:themeColor="accent1" w:themeShade="BF"/>
                                    <w:szCs w:val="18"/>
                                  </w:rPr>
                                  <m:t>1-f</m:t>
                                </m:r>
                              </m:e>
                            </m:d>
                          </m:e>
                          <m:sup>
                            <m:r>
                              <w:rPr>
                                <w:rFonts w:ascii="Cambria Math" w:hAnsi="Cambria Math"/>
                                <w:color w:val="2E74B5" w:themeColor="accent1" w:themeShade="BF"/>
                                <w:szCs w:val="18"/>
                              </w:rPr>
                              <m:t>2</m:t>
                            </m:r>
                          </m:sup>
                        </m:sSup>
                        <m:d>
                          <m:dPr>
                            <m:ctrlPr>
                              <w:rPr>
                                <w:rFonts w:ascii="Cambria Math" w:hAnsi="Cambria Math"/>
                                <w:i/>
                                <w:color w:val="2E74B5" w:themeColor="accent1" w:themeShade="BF"/>
                                <w:szCs w:val="18"/>
                              </w:rPr>
                            </m:ctrlPr>
                          </m:dPr>
                          <m:e>
                            <m:r>
                              <w:rPr>
                                <w:rFonts w:ascii="Cambria Math" w:hAnsi="Cambria Math"/>
                                <w:color w:val="2E74B5" w:themeColor="accent1" w:themeShade="BF"/>
                                <w:szCs w:val="18"/>
                              </w:rPr>
                              <m:t>1-F</m:t>
                            </m:r>
                          </m:e>
                        </m:d>
                        <m:r>
                          <w:rPr>
                            <w:rFonts w:ascii="Cambria Math" w:hAnsi="Cambria Math"/>
                            <w:color w:val="2E74B5" w:themeColor="accent1" w:themeShade="BF"/>
                            <w:szCs w:val="18"/>
                          </w:rPr>
                          <m:t>+F(1-f)</m:t>
                        </m:r>
                        <m:r>
                          <m:rPr>
                            <m:sty m:val="p"/>
                          </m:rPr>
                          <w:rPr>
                            <w:rFonts w:ascii="Cambria Math" w:hAnsi="Cambria Math"/>
                            <w:szCs w:val="16"/>
                          </w:rPr>
                          <m:t xml:space="preserve">+ </m:t>
                        </m:r>
                      </m:e>
                      <m:e>
                        <m:r>
                          <w:rPr>
                            <w:rFonts w:ascii="Cambria Math" w:hAnsi="Cambria Math"/>
                            <w:szCs w:val="16"/>
                          </w:rPr>
                          <m:t>RR∙(</m:t>
                        </m:r>
                        <m:r>
                          <w:rPr>
                            <w:rFonts w:ascii="Cambria Math" w:hAnsi="Cambria Math"/>
                            <w:color w:val="C45911" w:themeColor="accent2" w:themeShade="BF"/>
                            <w:szCs w:val="18"/>
                          </w:rPr>
                          <m:t>2f</m:t>
                        </m:r>
                        <m:d>
                          <m:dPr>
                            <m:ctrlPr>
                              <w:rPr>
                                <w:rFonts w:ascii="Cambria Math" w:hAnsi="Cambria Math"/>
                                <w:i/>
                                <w:color w:val="C45911" w:themeColor="accent2" w:themeShade="BF"/>
                                <w:szCs w:val="18"/>
                              </w:rPr>
                            </m:ctrlPr>
                          </m:dPr>
                          <m:e>
                            <m:r>
                              <w:rPr>
                                <w:rFonts w:ascii="Cambria Math" w:hAnsi="Cambria Math"/>
                                <w:color w:val="C45911" w:themeColor="accent2" w:themeShade="BF"/>
                                <w:szCs w:val="18"/>
                              </w:rPr>
                              <m:t>1-f</m:t>
                            </m:r>
                          </m:e>
                        </m:d>
                        <m:d>
                          <m:dPr>
                            <m:ctrlPr>
                              <w:rPr>
                                <w:rFonts w:ascii="Cambria Math" w:hAnsi="Cambria Math"/>
                                <w:i/>
                                <w:color w:val="C45911" w:themeColor="accent2" w:themeShade="BF"/>
                                <w:szCs w:val="18"/>
                              </w:rPr>
                            </m:ctrlPr>
                          </m:dPr>
                          <m:e>
                            <m:r>
                              <w:rPr>
                                <w:rFonts w:ascii="Cambria Math" w:hAnsi="Cambria Math"/>
                                <w:color w:val="C45911" w:themeColor="accent2" w:themeShade="BF"/>
                                <w:szCs w:val="18"/>
                              </w:rPr>
                              <m:t>1-F</m:t>
                            </m:r>
                          </m:e>
                        </m:d>
                        <m:r>
                          <m:rPr>
                            <m:sty m:val="p"/>
                          </m:rPr>
                          <w:rPr>
                            <w:rFonts w:ascii="Cambria Math" w:hAnsi="Cambria Math"/>
                            <w:szCs w:val="16"/>
                          </w:rPr>
                          <m:t xml:space="preserve">)+ </m:t>
                        </m:r>
                      </m:e>
                      <m:e>
                        <m:d>
                          <m:dPr>
                            <m:ctrlPr>
                              <w:rPr>
                                <w:rFonts w:ascii="Cambria Math" w:hAnsi="Cambria Math"/>
                                <w:i/>
                                <w:szCs w:val="16"/>
                              </w:rPr>
                            </m:ctrlPr>
                          </m:dPr>
                          <m:e>
                            <m:r>
                              <w:rPr>
                                <w:rFonts w:ascii="Cambria Math" w:hAnsi="Cambria Math"/>
                                <w:szCs w:val="16"/>
                              </w:rPr>
                              <m:t>2RR-1</m:t>
                            </m:r>
                          </m:e>
                        </m:d>
                        <m:r>
                          <w:rPr>
                            <w:rFonts w:ascii="Cambria Math" w:hAnsi="Cambria Math"/>
                            <w:szCs w:val="16"/>
                          </w:rPr>
                          <m:t>∙(</m:t>
                        </m:r>
                        <m:r>
                          <w:rPr>
                            <w:rFonts w:ascii="Cambria Math" w:hAnsi="Cambria Math"/>
                            <w:color w:val="538135" w:themeColor="accent6" w:themeShade="BF"/>
                            <w:szCs w:val="18"/>
                          </w:rPr>
                          <m:t>f²</m:t>
                        </m:r>
                        <m:d>
                          <m:dPr>
                            <m:ctrlPr>
                              <w:rPr>
                                <w:rFonts w:ascii="Cambria Math" w:hAnsi="Cambria Math"/>
                                <w:i/>
                                <w:color w:val="538135" w:themeColor="accent6" w:themeShade="BF"/>
                                <w:szCs w:val="18"/>
                              </w:rPr>
                            </m:ctrlPr>
                          </m:dPr>
                          <m:e>
                            <m:r>
                              <w:rPr>
                                <w:rFonts w:ascii="Cambria Math" w:hAnsi="Cambria Math"/>
                                <w:color w:val="538135" w:themeColor="accent6" w:themeShade="BF"/>
                                <w:szCs w:val="18"/>
                              </w:rPr>
                              <m:t>1-F</m:t>
                            </m:r>
                          </m:e>
                        </m:d>
                        <m:r>
                          <w:rPr>
                            <w:rFonts w:ascii="Cambria Math" w:hAnsi="Cambria Math"/>
                            <w:color w:val="538135" w:themeColor="accent6" w:themeShade="BF"/>
                            <w:szCs w:val="18"/>
                          </w:rPr>
                          <m:t>+fF</m:t>
                        </m:r>
                        <m:r>
                          <w:rPr>
                            <w:rFonts w:ascii="Cambria Math" w:hAnsi="Cambria Math"/>
                            <w:szCs w:val="16"/>
                          </w:rPr>
                          <m:t>)</m:t>
                        </m:r>
                      </m:e>
                    </m:eqArr>
                  </m:e>
                </m:d>
              </m:oMath>
            </m:oMathPara>
          </w:p>
        </w:tc>
      </w:tr>
    </w:tbl>
    <w:p w14:paraId="532F4CE1" w14:textId="77777777" w:rsidR="00AE3383" w:rsidRPr="00E8344E" w:rsidRDefault="00AE3383" w:rsidP="00AE3383">
      <w:pPr>
        <w:pStyle w:val="Tabellenfu"/>
        <w:rPr>
          <w:lang w:val="en-US"/>
        </w:rPr>
      </w:pPr>
      <m:oMath>
        <m:r>
          <w:rPr>
            <w:rFonts w:ascii="Cambria Math" w:hAnsi="Cambria Math"/>
          </w:rPr>
          <m:t>F</m:t>
        </m:r>
      </m:oMath>
      <w:r w:rsidRPr="00E8344E">
        <w:rPr>
          <w:lang w:val="en-US"/>
        </w:rPr>
        <w:t xml:space="preserve"> excess </w:t>
      </w:r>
      <w:r w:rsidRPr="00816642">
        <w:rPr>
          <w:lang w:val="en-GB"/>
        </w:rPr>
        <w:t>homozygosity</w:t>
      </w:r>
    </w:p>
    <w:p w14:paraId="58A53F56" w14:textId="77777777" w:rsidR="00AE3383" w:rsidRDefault="00AE3383" w:rsidP="00AE3383">
      <w:pPr>
        <w:rPr>
          <w:lang w:val="en-US"/>
        </w:rPr>
      </w:pPr>
      <w:r w:rsidRPr="00E8344E">
        <w:rPr>
          <w:lang w:val="en-US"/>
        </w:rPr>
        <w:t xml:space="preserve">The </w:t>
      </w:r>
      <w:r>
        <w:t xml:space="preserve">likelihood function </w:t>
      </w:r>
      <w:r w:rsidRPr="00E8344E">
        <w:rPr>
          <w:lang w:val="en-US"/>
        </w:rPr>
        <w:t>L is used as the basis for the estimation. L is the probability of the observed sample occurring, calculated from the theoretical distribution of the three genotypes described above, given the parameters f, RR and F:</w:t>
      </w:r>
    </w:p>
    <w:p w14:paraId="567B99C9" w14:textId="77777777" w:rsidR="00AE3383" w:rsidRDefault="00AE3383" w:rsidP="00AE3383">
      <w:pPr>
        <w:jc w:val="center"/>
      </w:pPr>
      <m:oMathPara>
        <m:oMath>
          <m:r>
            <w:rPr>
              <w:rFonts w:ascii="Cambria Math" w:hAnsi="Cambria Math"/>
            </w:rPr>
            <m:t>L</m:t>
          </m:r>
          <m:d>
            <m:dPr>
              <m:ctrlPr>
                <w:rPr>
                  <w:rFonts w:ascii="Cambria Math" w:eastAsia="Calibri" w:hAnsi="Cambria Math" w:cs="Times New Roman"/>
                  <w:i/>
                </w:rPr>
              </m:ctrlPr>
            </m:dPr>
            <m:e>
              <m:r>
                <w:rPr>
                  <w:rFonts w:ascii="Cambria Math" w:eastAsia="Calibri" w:hAnsi="Cambria Math" w:cs="Times New Roman"/>
                </w:rPr>
                <m:t>f,F,RR</m:t>
              </m:r>
            </m:e>
          </m:d>
          <m:r>
            <w:rPr>
              <w:rFonts w:ascii="Cambria Math" w:hAnsi="Cambria Math"/>
            </w:rPr>
            <m:t>=</m:t>
          </m:r>
          <m:nary>
            <m:naryPr>
              <m:chr m:val="∑"/>
              <m:limLoc m:val="subSup"/>
              <m:ctrlPr>
                <w:rPr>
                  <w:rFonts w:ascii="Cambria Math" w:hAnsi="Cambria Math"/>
                  <w:i/>
                </w:rPr>
              </m:ctrlPr>
            </m:naryPr>
            <m:sub>
              <m:r>
                <w:rPr>
                  <w:rFonts w:ascii="Cambria Math" w:hAnsi="Cambria Math"/>
                </w:rPr>
                <m:t>g=0</m:t>
              </m:r>
            </m:sub>
            <m:sup>
              <m:r>
                <w:rPr>
                  <w:rFonts w:ascii="Cambria Math" w:hAnsi="Cambria Math"/>
                </w:rPr>
                <m:t>2</m:t>
              </m:r>
            </m:sup>
            <m:e>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m:t>
              </m:r>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g</m:t>
                  </m:r>
                </m:sub>
              </m:sSub>
              <m:d>
                <m:dPr>
                  <m:ctrlPr>
                    <w:rPr>
                      <w:rFonts w:ascii="Cambria Math" w:eastAsia="Calibri" w:hAnsi="Cambria Math" w:cs="Times New Roman"/>
                      <w:i/>
                    </w:rPr>
                  </m:ctrlPr>
                </m:dPr>
                <m:e>
                  <m:r>
                    <w:rPr>
                      <w:rFonts w:ascii="Cambria Math" w:eastAsia="Calibri" w:hAnsi="Cambria Math" w:cs="Times New Roman"/>
                    </w:rPr>
                    <m:t>f,F,RR</m:t>
                  </m:r>
                </m:e>
              </m:d>
            </m:e>
          </m:nary>
        </m:oMath>
      </m:oMathPara>
    </w:p>
    <w:p w14:paraId="5EC7A22A" w14:textId="77777777" w:rsidR="00AE3383" w:rsidRPr="00E8344E" w:rsidRDefault="00AE3383" w:rsidP="00AE3383">
      <w:pPr>
        <w:rPr>
          <w:lang w:val="en-US"/>
        </w:rPr>
      </w:pPr>
      <w:r>
        <w:rPr>
          <w:rFonts w:cstheme="minorHAnsi"/>
          <w:szCs w:val="16"/>
          <w:lang w:val="en-US" w:eastAsia="de-DE"/>
        </w:rPr>
        <w:t xml:space="preserve">with </w:t>
      </w:r>
      <m:oMath>
        <m:sSub>
          <m:sSubPr>
            <m:ctrlPr>
              <w:rPr>
                <w:rFonts w:ascii="Cambria Math" w:hAnsi="Cambria Math"/>
                <w:i/>
              </w:rPr>
            </m:ctrlPr>
          </m:sSubPr>
          <m:e>
            <m:r>
              <w:rPr>
                <w:rFonts w:ascii="Cambria Math" w:hAnsi="Cambria Math"/>
              </w:rPr>
              <m:t>n</m:t>
            </m:r>
          </m:e>
          <m:sub>
            <m:r>
              <w:rPr>
                <w:rFonts w:ascii="Cambria Math" w:hAnsi="Cambria Math"/>
              </w:rPr>
              <m:t>g</m:t>
            </m:r>
          </m:sub>
        </m:sSub>
      </m:oMath>
      <w:r>
        <w:rPr>
          <w:rFonts w:eastAsiaTheme="minorEastAsia" w:cstheme="minorHAnsi"/>
        </w:rPr>
        <w:t xml:space="preserve"> </w:t>
      </w:r>
      <w:r w:rsidRPr="00153854">
        <w:rPr>
          <w:rFonts w:cstheme="minorHAnsi"/>
          <w:szCs w:val="16"/>
          <w:lang w:val="en-US" w:eastAsia="de-DE"/>
        </w:rPr>
        <w:t xml:space="preserve">the numbers of individuals carrying </w:t>
      </w:r>
      <m:oMath>
        <m:r>
          <w:rPr>
            <w:rFonts w:ascii="Cambria Math" w:hAnsi="Cambria Math" w:cstheme="minorHAnsi"/>
            <w:szCs w:val="16"/>
            <w:lang w:val="en-US" w:eastAsia="de-DE"/>
          </w:rPr>
          <m:t>g=0, 1 or 2</m:t>
        </m:r>
      </m:oMath>
      <w:r w:rsidRPr="00153854">
        <w:rPr>
          <w:rFonts w:cstheme="minorHAnsi"/>
          <w:szCs w:val="16"/>
          <w:lang w:val="en-US" w:eastAsia="de-DE"/>
        </w:rPr>
        <w:t xml:space="preserve"> copies of the rare allele.</w:t>
      </w:r>
    </w:p>
    <w:p w14:paraId="2BA4FF8C" w14:textId="5ED286E0" w:rsidR="00AE3383" w:rsidRDefault="00AE3383" w:rsidP="00AE3383">
      <w:r>
        <w:t xml:space="preserve">The parameter RR is of central interest. It describes the disease risk of carriers of genotype </w:t>
      </w:r>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m:t>
            </m:r>
          </m:sub>
        </m:sSub>
      </m:oMath>
      <w:r>
        <w:t xml:space="preserve"> (heterozygote) or </w:t>
      </w:r>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2</m:t>
            </m:r>
          </m:sub>
        </m:sSub>
      </m:oMath>
      <w:r>
        <w:t xml:space="preserve"> (homozygote rarer allele) relative to that of carriers of genotype </w:t>
      </w:r>
      <m:oMath>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0</m:t>
            </m:r>
          </m:sub>
        </m:sSub>
      </m:oMath>
      <w:r>
        <w:t xml:space="preserve"> (homozygote more frequent allele). The last row of </w:t>
      </w:r>
      <w:r>
        <w:fldChar w:fldCharType="begin"/>
      </w:r>
      <w:r>
        <w:instrText xml:space="preserve"> REF _Ref223628190 \h </w:instrText>
      </w:r>
      <w:r>
        <w:fldChar w:fldCharType="separate"/>
      </w:r>
      <w:r w:rsidR="00D3791A">
        <w:t xml:space="preserve">S-Table </w:t>
      </w:r>
      <w:r w:rsidR="00D3791A">
        <w:rPr>
          <w:noProof/>
        </w:rPr>
        <w:t>1</w:t>
      </w:r>
      <w:r>
        <w:fldChar w:fldCharType="end"/>
      </w:r>
      <w:r>
        <w:t xml:space="preserve"> shows that the “proportion of genotype g among those affected” is independent of </w:t>
      </w:r>
      <w:r w:rsidRPr="00153854">
        <w:rPr>
          <w:rFonts w:cstheme="minorHAnsi"/>
          <w:i/>
          <w:szCs w:val="16"/>
          <w:lang w:val="en-US"/>
        </w:rPr>
        <w:t>risk of disease</w:t>
      </w:r>
      <w:r>
        <w:rPr>
          <w:rFonts w:cstheme="minorHAnsi"/>
          <w:i/>
          <w:szCs w:val="16"/>
          <w:lang w:val="en-US"/>
        </w:rPr>
        <w:t xml:space="preserve"> </w:t>
      </w:r>
      <m:oMath>
        <m:r>
          <w:rPr>
            <w:rFonts w:ascii="Cambria Math" w:hAnsi="Cambria Math"/>
          </w:rPr>
          <m:t>p</m:t>
        </m:r>
      </m:oMath>
      <w:r>
        <w:t xml:space="preserve">. </w:t>
      </w:r>
    </w:p>
    <w:p w14:paraId="73EC72FA" w14:textId="0C5179C8" w:rsidR="00693F80" w:rsidRDefault="00AE3383" w:rsidP="00AE3383">
      <w:r>
        <w:t>The parameter</w:t>
      </w:r>
      <w:r>
        <w:rPr>
          <w:i/>
        </w:rPr>
        <w:t xml:space="preserve"> RR</w:t>
      </w:r>
      <w:r>
        <w:t xml:space="preserve"> can be estimated by maximising the likelihood of observed genotypes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0</m:t>
                      </m:r>
                    </m:sub>
                  </m:sSub>
                </m:e>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1</m:t>
                      </m:r>
                    </m:sub>
                  </m:sSub>
                </m:e>
                <m:e>
                  <m:sSub>
                    <m:sSubPr>
                      <m:ctrlPr>
                        <w:rPr>
                          <w:rFonts w:ascii="Cambria Math" w:eastAsia="Calibri" w:hAnsi="Cambria Math"/>
                          <w:i/>
                        </w:rPr>
                      </m:ctrlPr>
                    </m:sSubPr>
                    <m:e>
                      <m:r>
                        <w:rPr>
                          <w:rFonts w:ascii="Cambria Math" w:eastAsia="Calibri" w:hAnsi="Cambria Math"/>
                        </w:rPr>
                        <m:t>g</m:t>
                      </m:r>
                    </m:e>
                    <m:sub>
                      <m:r>
                        <w:rPr>
                          <w:rFonts w:ascii="Cambria Math" w:eastAsia="Calibri" w:hAnsi="Cambria Math"/>
                        </w:rPr>
                        <m:t>2</m:t>
                      </m:r>
                    </m:sub>
                  </m:sSub>
                </m:e>
              </m:mr>
            </m:m>
          </m:e>
        </m:d>
      </m:oMath>
      <w:r>
        <w:rPr>
          <w:rFonts w:eastAsiaTheme="minorEastAsia"/>
        </w:rPr>
        <w:t>, give</w:t>
      </w:r>
      <w:r w:rsidR="002A7789">
        <w:rPr>
          <w:rFonts w:eastAsiaTheme="minorEastAsia"/>
        </w:rPr>
        <w:t>n</w:t>
      </w:r>
      <w:r>
        <w:rPr>
          <w:rFonts w:eastAsiaTheme="minorEastAsia"/>
        </w:rPr>
        <w:t xml:space="preserve"> MAF and F as known</w:t>
      </w:r>
      <w:r>
        <w:t xml:space="preserve">. Since the likelihood function might not be unimodal (as shown in </w:t>
      </w:r>
      <w:r>
        <w:fldChar w:fldCharType="begin"/>
      </w:r>
      <w:r>
        <w:instrText xml:space="preserve"> REF _Ref223628360 \h </w:instrText>
      </w:r>
      <w:r>
        <w:fldChar w:fldCharType="separate"/>
      </w:r>
      <w:r w:rsidR="00D3791A">
        <w:t xml:space="preserve">S-Table </w:t>
      </w:r>
      <w:r w:rsidR="00D3791A">
        <w:rPr>
          <w:noProof/>
        </w:rPr>
        <w:t>3</w:t>
      </w:r>
      <w:r>
        <w:fldChar w:fldCharType="end"/>
      </w:r>
      <w:r>
        <w:t xml:space="preserve">), the value of </w:t>
      </w:r>
      <w:r>
        <w:rPr>
          <w:i/>
        </w:rPr>
        <w:t>f</w:t>
      </w:r>
      <w:r>
        <w:t xml:space="preserve"> (MAF) was set to the value given for persons of European descent in publicly accessible databases.</w:t>
      </w:r>
    </w:p>
    <w:p w14:paraId="5103C7D9" w14:textId="7B3B6A5F" w:rsidR="00AE3383" w:rsidRDefault="00AE3383" w:rsidP="00AE3383">
      <w:pPr>
        <w:pStyle w:val="Beschriftung"/>
        <w:jc w:val="center"/>
      </w:pPr>
      <w:bookmarkStart w:id="4" w:name="_Ref223628360"/>
      <w:r>
        <w:t xml:space="preserve">S-Table </w:t>
      </w:r>
      <w:r>
        <w:fldChar w:fldCharType="begin"/>
      </w:r>
      <w:r>
        <w:instrText xml:space="preserve"> SEQ S-Table \* ARABIC </w:instrText>
      </w:r>
      <w:r>
        <w:fldChar w:fldCharType="separate"/>
      </w:r>
      <w:r w:rsidR="00D3791A">
        <w:rPr>
          <w:noProof/>
        </w:rPr>
        <w:t>3</w:t>
      </w:r>
      <w:r>
        <w:fldChar w:fldCharType="end"/>
      </w:r>
      <w:bookmarkEnd w:id="4"/>
      <w:r>
        <w:tab/>
        <w:t>Likelihood-function of two fictive autosomal markers</w:t>
      </w:r>
    </w:p>
    <w:tbl>
      <w:tblPr>
        <w:tblStyle w:val="Listentabelle2Akzent3"/>
        <w:tblW w:w="0" w:type="auto"/>
        <w:jc w:val="center"/>
        <w:tblBorders>
          <w:top w:val="none" w:sz="0" w:space="0" w:color="auto"/>
          <w:bottom w:val="none" w:sz="0" w:space="0" w:color="auto"/>
          <w:insideH w:val="none" w:sz="0" w:space="0" w:color="auto"/>
        </w:tblBorders>
        <w:tblLook w:val="06A0" w:firstRow="1" w:lastRow="0" w:firstColumn="1" w:lastColumn="0" w:noHBand="1" w:noVBand="1"/>
        <w:tblCaption w:val="Abbildung 6 "/>
        <w:tblDescription w:val="Likelihood-Funktionen zweier fiktiver Marker"/>
      </w:tblPr>
      <w:tblGrid>
        <w:gridCol w:w="491"/>
        <w:gridCol w:w="2534"/>
        <w:gridCol w:w="2767"/>
      </w:tblGrid>
      <w:tr w:rsidR="00AE3383" w14:paraId="57FA12D1" w14:textId="77777777" w:rsidTr="0050450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14:paraId="1916A062" w14:textId="77777777" w:rsidR="00AE3383" w:rsidRPr="00EC64BB" w:rsidRDefault="00AE3383" w:rsidP="00504501">
            <w:pPr>
              <w:rPr>
                <w:b w:val="0"/>
              </w:rPr>
            </w:pPr>
          </w:p>
        </w:tc>
        <w:tc>
          <w:tcPr>
            <w:tcW w:w="0" w:type="auto"/>
          </w:tcPr>
          <w:p w14:paraId="14138D32" w14:textId="77777777" w:rsidR="00AE3383" w:rsidRDefault="00AE3383" w:rsidP="00504501">
            <w:pPr>
              <w:jc w:val="center"/>
              <w:cnfStyle w:val="100000000000" w:firstRow="1" w:lastRow="0" w:firstColumn="0" w:lastColumn="0" w:oddVBand="0" w:evenVBand="0" w:oddHBand="0" w:evenHBand="0" w:firstRowFirstColumn="0" w:firstRowLastColumn="0" w:lastRowFirstColumn="0" w:lastRowLastColumn="0"/>
            </w:pPr>
            <w:r>
              <w:t>Log-Likelihood-function</w:t>
            </w:r>
          </w:p>
        </w:tc>
        <w:tc>
          <w:tcPr>
            <w:tcW w:w="0" w:type="auto"/>
          </w:tcPr>
          <w:p w14:paraId="4D1C767A" w14:textId="77777777" w:rsidR="00AE3383" w:rsidRDefault="00AE3383" w:rsidP="00504501">
            <w:pPr>
              <w:jc w:val="center"/>
              <w:cnfStyle w:val="100000000000" w:firstRow="1" w:lastRow="0" w:firstColumn="0" w:lastColumn="0" w:oddVBand="0" w:evenVBand="0" w:oddHBand="0" w:evenHBand="0" w:firstRowFirstColumn="0" w:firstRowLastColumn="0" w:lastRowFirstColumn="0" w:lastRowLastColumn="0"/>
            </w:pPr>
            <w:r w:rsidRPr="008A31CA">
              <w:t>saddle curve</w:t>
            </w:r>
          </w:p>
        </w:tc>
      </w:tr>
      <w:tr w:rsidR="00AE3383" w14:paraId="6D906A0C" w14:textId="77777777" w:rsidTr="00504501">
        <w:trPr>
          <w:trHeight w:val="1134"/>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tcPr>
          <w:p w14:paraId="2FB0B65E" w14:textId="77777777" w:rsidR="00AE3383" w:rsidRPr="00C1647B" w:rsidRDefault="00AE3383" w:rsidP="00504501">
            <w:pPr>
              <w:rPr>
                <w:b w:val="0"/>
                <w:noProof/>
              </w:rPr>
            </w:pPr>
            <w:r w:rsidRPr="00C1647B">
              <w:rPr>
                <w:b w:val="0"/>
              </w:rPr>
              <w:t>MAF = 0,41 RR=0,75</w:t>
            </w:r>
          </w:p>
        </w:tc>
        <w:tc>
          <w:tcPr>
            <w:tcW w:w="0" w:type="auto"/>
          </w:tcPr>
          <w:p w14:paraId="2950F0D8" w14:textId="77777777" w:rsidR="00AE3383" w:rsidRDefault="00AE3383" w:rsidP="00504501">
            <w:pPr>
              <w:keepNext/>
              <w:keepLines/>
              <w:jc w:val="cente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4F28B2AC" wp14:editId="675B454D">
                  <wp:extent cx="1472400" cy="1263600"/>
                  <wp:effectExtent l="0" t="0" r="0" b="0"/>
                  <wp:docPr id="224" name="Grafik 224" descr="zeigt die LogLikelihood als Bergrücken" title="Abbildung 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LL_marker8_1.gif"/>
                          <pic:cNvPicPr/>
                        </pic:nvPicPr>
                        <pic:blipFill rotWithShape="1">
                          <a:blip r:embed="rId12" cstate="print">
                            <a:extLst>
                              <a:ext uri="{28A0092B-C50C-407E-A947-70E740481C1C}">
                                <a14:useLocalDpi xmlns:a14="http://schemas.microsoft.com/office/drawing/2010/main" val="0"/>
                              </a:ext>
                            </a:extLst>
                          </a:blip>
                          <a:srcRect l="9187"/>
                          <a:stretch/>
                        </pic:blipFill>
                        <pic:spPr bwMode="auto">
                          <a:xfrm>
                            <a:off x="0" y="0"/>
                            <a:ext cx="1472400" cy="12636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213446E4" w14:textId="77777777" w:rsidR="00AE3383" w:rsidRDefault="00AE3383" w:rsidP="00504501">
            <w:pPr>
              <w:keepNext/>
              <w:keepLines/>
              <w:jc w:val="cente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337E8C7D" wp14:editId="18E0785F">
                  <wp:extent cx="1620000" cy="1308573"/>
                  <wp:effectExtent l="0" t="0" r="0" b="6350"/>
                  <wp:docPr id="225" name="Grafik 225" descr="zeigt den flachen Verlauf der Sattelkurve der logLikelihood" title="Abbildung 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LL_marker8_2.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0000" cy="1308573"/>
                          </a:xfrm>
                          <a:prstGeom prst="rect">
                            <a:avLst/>
                          </a:prstGeom>
                        </pic:spPr>
                      </pic:pic>
                    </a:graphicData>
                  </a:graphic>
                </wp:inline>
              </w:drawing>
            </w:r>
          </w:p>
        </w:tc>
      </w:tr>
      <w:tr w:rsidR="00AE3383" w14:paraId="584A63C2" w14:textId="77777777" w:rsidTr="00504501">
        <w:trPr>
          <w:trHeight w:val="1134"/>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tcPr>
          <w:p w14:paraId="58414AAA" w14:textId="77777777" w:rsidR="00AE3383" w:rsidRPr="00C1647B" w:rsidRDefault="00AE3383" w:rsidP="00504501">
            <w:pPr>
              <w:rPr>
                <w:b w:val="0"/>
                <w:noProof/>
              </w:rPr>
            </w:pPr>
            <w:r w:rsidRPr="00C1647B">
              <w:rPr>
                <w:b w:val="0"/>
              </w:rPr>
              <w:t>MAF=0,43 RR=1</w:t>
            </w:r>
          </w:p>
        </w:tc>
        <w:tc>
          <w:tcPr>
            <w:tcW w:w="0" w:type="auto"/>
          </w:tcPr>
          <w:p w14:paraId="5BDA42C8" w14:textId="77777777" w:rsidR="00AE3383" w:rsidRDefault="00AE3383" w:rsidP="00504501">
            <w:pPr>
              <w:keepNext/>
              <w:keepLines/>
              <w:jc w:val="cente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767689A2" wp14:editId="3C8B03BD">
                  <wp:extent cx="1470638" cy="1257935"/>
                  <wp:effectExtent l="0" t="0" r="0" b="0"/>
                  <wp:docPr id="226" name="Grafik 226" descr="zeigt die LogLikelihood als Bergrücken" title="Abbildung 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LL_marker14_1.gif"/>
                          <pic:cNvPicPr/>
                        </pic:nvPicPr>
                        <pic:blipFill rotWithShape="1">
                          <a:blip r:embed="rId14" cstate="print">
                            <a:extLst>
                              <a:ext uri="{28A0092B-C50C-407E-A947-70E740481C1C}">
                                <a14:useLocalDpi xmlns:a14="http://schemas.microsoft.com/office/drawing/2010/main" val="0"/>
                              </a:ext>
                            </a:extLst>
                          </a:blip>
                          <a:srcRect l="9187"/>
                          <a:stretch/>
                        </pic:blipFill>
                        <pic:spPr bwMode="auto">
                          <a:xfrm>
                            <a:off x="0" y="0"/>
                            <a:ext cx="1471175" cy="1258394"/>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5F40E97E" w14:textId="77777777" w:rsidR="00AE3383" w:rsidRDefault="00AE3383" w:rsidP="00504501">
            <w:pPr>
              <w:keepNext/>
              <w:keepLines/>
              <w:jc w:val="cente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3C1B351D" wp14:editId="7AD17000">
                  <wp:extent cx="1620000" cy="1309108"/>
                  <wp:effectExtent l="0" t="0" r="0" b="5715"/>
                  <wp:docPr id="227" name="Grafik 227" descr="zeigt den flachen Verlauf der Sattelkurve der logLikelihood" title="Abbildung 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LL_marker14_2.g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20000" cy="1309108"/>
                          </a:xfrm>
                          <a:prstGeom prst="rect">
                            <a:avLst/>
                          </a:prstGeom>
                        </pic:spPr>
                      </pic:pic>
                    </a:graphicData>
                  </a:graphic>
                </wp:inline>
              </w:drawing>
            </w:r>
          </w:p>
        </w:tc>
      </w:tr>
    </w:tbl>
    <w:p w14:paraId="38E1F347" w14:textId="77777777" w:rsidR="00AE3383" w:rsidRPr="00EC64BB" w:rsidRDefault="00AE3383" w:rsidP="00AE3383">
      <w:pPr>
        <w:rPr>
          <w:lang w:val="de-DE"/>
        </w:rPr>
      </w:pPr>
    </w:p>
    <w:p w14:paraId="4F3EB08D" w14:textId="30960103" w:rsidR="00AE3383" w:rsidRDefault="00AE3383" w:rsidP="00AE3383">
      <w:r>
        <w:t xml:space="preserve">In case for MAF and F only an a-priori distribution can be assumed, the joint </w:t>
      </w:r>
      <w:r>
        <w:rPr>
          <w:rStyle w:val="t286pc"/>
        </w:rPr>
        <w:t xml:space="preserve">posterior distribution of parameters </w:t>
      </w:r>
      <w:r>
        <w:rPr>
          <w:i/>
        </w:rPr>
        <w:t>f, RR</w:t>
      </w:r>
      <w:r>
        <w:t xml:space="preserve"> and </w:t>
      </w:r>
      <w:r>
        <w:rPr>
          <w:i/>
        </w:rPr>
        <w:t>F</w:t>
      </w:r>
      <w:r>
        <w:rPr>
          <w:rStyle w:val="t286pc"/>
        </w:rPr>
        <w:t xml:space="preserve"> </w:t>
      </w:r>
      <w:r>
        <w:t>of the G</w:t>
      </w:r>
      <w:r w:rsidR="002A7789">
        <w:t xml:space="preserve"> </w:t>
      </w:r>
      <w:r>
        <w:t xml:space="preserve">model (likelihood x prior distributions of the parameters) can be mapped within the Bayesian MCMC framework. Since the likelihood function might not be unimodal, an informative a-posteriori distribution of </w:t>
      </w:r>
      <w:r>
        <w:rPr>
          <w:i/>
        </w:rPr>
        <w:t>f</w:t>
      </w:r>
      <w:r>
        <w:t xml:space="preserve"> (MAF), around the value given for persons of European descent in publicly accessible databases, is required.</w:t>
      </w:r>
    </w:p>
    <w:p w14:paraId="3307EF2F" w14:textId="77777777" w:rsidR="00AE3383" w:rsidRDefault="00AE3383" w:rsidP="004D1A26">
      <w:pPr>
        <w:keepNext/>
        <w:keepLines/>
      </w:pPr>
      <w:r>
        <w:t xml:space="preserve">We used the following a-priori distribution: </w:t>
      </w:r>
    </w:p>
    <w:p w14:paraId="526FAF5F" w14:textId="5C2E9092" w:rsidR="00AE3383" w:rsidRPr="008311D5" w:rsidRDefault="00AE3383" w:rsidP="004D1A26">
      <w:pPr>
        <w:keepNext/>
        <w:keepLines/>
        <w:ind w:left="851" w:hanging="851"/>
        <w:jc w:val="left"/>
      </w:pPr>
      <w:r>
        <w:rPr>
          <w:i/>
        </w:rPr>
        <w:t>f</w:t>
      </w:r>
      <w:r>
        <w:t xml:space="preserve"> (MAF):</w:t>
      </w:r>
      <w:r>
        <w:tab/>
      </w:r>
      <w:r w:rsidRPr="00814D06">
        <w:rPr>
          <w:i/>
        </w:rPr>
        <w:t>informative</w:t>
      </w:r>
      <w:r>
        <w:t xml:space="preserve">: For </w:t>
      </w:r>
      <w:r w:rsidRPr="008311D5">
        <w:t xml:space="preserve">a sample of </w:t>
      </w:r>
      <w:r>
        <w:rPr>
          <w:i/>
        </w:rPr>
        <w:t>k</w:t>
      </w:r>
      <w:r w:rsidRPr="008311D5">
        <w:t xml:space="preserve"> individuals (2</w:t>
      </w:r>
      <w:r>
        <w:t>*</w:t>
      </w:r>
      <w:r w:rsidRPr="008311D5">
        <w:t>500</w:t>
      </w:r>
      <w:r>
        <w:t>=</w:t>
      </w:r>
      <w:r w:rsidRPr="008311D5">
        <w:t xml:space="preserve">1,000 alleles), </w:t>
      </w:r>
      <w:r>
        <w:t xml:space="preserve">the number of risk alleles follows </w:t>
      </w:r>
      <w:r w:rsidRPr="008311D5">
        <w:t>a binomial distribution</w:t>
      </w:r>
      <w:r>
        <w:t xml:space="preserve">: </w:t>
      </w:r>
      <m:oMath>
        <m:r>
          <w:rPr>
            <w:rFonts w:ascii="Cambria Math" w:hAnsi="Cambria Math"/>
          </w:rPr>
          <m:t>x~binom(</m:t>
        </m:r>
        <m:r>
          <w:rPr>
            <w:rFonts w:ascii="Cambria Math" w:hAnsi="Cambria Math"/>
            <w:lang w:val="de-DE"/>
          </w:rPr>
          <m:t>π</m:t>
        </m:r>
        <m:r>
          <w:rPr>
            <w:rFonts w:ascii="Cambria Math" w:hAnsi="Cambria Math"/>
          </w:rPr>
          <m:t>=MAF</m:t>
        </m:r>
        <m:r>
          <w:rPr>
            <w:rFonts w:ascii="Cambria Math" w:hAnsi="Cambria Math"/>
            <w:vertAlign w:val="subscript"/>
          </w:rPr>
          <m:t>pop</m:t>
        </m:r>
        <m:r>
          <w:rPr>
            <w:rFonts w:ascii="Cambria Math" w:hAnsi="Cambria Math"/>
          </w:rPr>
          <m:t>,n=2k)</m:t>
        </m:r>
      </m:oMath>
      <w:r>
        <w:t xml:space="preserve">. The sample MAF is proportional by </w:t>
      </w:r>
      <m:oMath>
        <m:r>
          <w:rPr>
            <w:rFonts w:ascii="Cambria Math" w:hAnsi="Cambria Math"/>
          </w:rPr>
          <m:t>MAF=x/2k</m:t>
        </m:r>
      </m:oMath>
      <w:r>
        <w:t xml:space="preserve">. </w:t>
      </w:r>
      <w:r w:rsidRPr="008311D5">
        <w:t xml:space="preserve">The expected value </w:t>
      </w:r>
      <w:r>
        <w:t xml:space="preserve">of MAF is </w:t>
      </w:r>
      <w:r w:rsidRPr="008311D5">
        <w:rPr>
          <w:lang w:val="de-DE"/>
        </w:rPr>
        <w:t>μ</w:t>
      </w:r>
      <w:r w:rsidRPr="008311D5">
        <w:t xml:space="preserve">= </w:t>
      </w:r>
      <w:r>
        <w:t>MAF</w:t>
      </w:r>
      <w:r w:rsidRPr="008311D5">
        <w:rPr>
          <w:vertAlign w:val="subscript"/>
        </w:rPr>
        <w:t>pop</w:t>
      </w:r>
      <w:r w:rsidRPr="008311D5">
        <w:t>,</w:t>
      </w:r>
      <w:r>
        <w:t xml:space="preserve"> (population MAF for persons of European descent); </w:t>
      </w:r>
      <w:r w:rsidRPr="008311D5">
        <w:t xml:space="preserve">the variance </w:t>
      </w:r>
      <m:oMath>
        <m:sSubSup>
          <m:sSubSupPr>
            <m:ctrlPr>
              <w:rPr>
                <w:rFonts w:ascii="Cambria Math" w:hAnsi="Cambria Math"/>
                <w:i/>
                <w:lang w:val="de-DE"/>
              </w:rPr>
            </m:ctrlPr>
          </m:sSubSupPr>
          <m:e>
            <m:r>
              <w:rPr>
                <w:rFonts w:ascii="Cambria Math" w:hAnsi="Cambria Math"/>
                <w:lang w:val="de-DE"/>
              </w:rPr>
              <m:t>σ</m:t>
            </m:r>
          </m:e>
          <m:sub>
            <m:r>
              <m:rPr>
                <m:sty m:val="p"/>
              </m:rPr>
              <w:rPr>
                <w:rFonts w:ascii="Cambria Math" w:hAnsi="Cambria Math"/>
                <w:lang w:val="de-DE"/>
              </w:rPr>
              <m:t>μ</m:t>
            </m:r>
          </m:sub>
          <m:sup>
            <m:r>
              <w:rPr>
                <w:rFonts w:ascii="Cambria Math" w:hAnsi="Cambria Math"/>
              </w:rPr>
              <m:t>2</m:t>
            </m:r>
          </m:sup>
        </m:sSubSup>
        <m:r>
          <w:rPr>
            <w:rFonts w:ascii="Cambria Math" w:hAnsi="Cambria Math"/>
          </w:rPr>
          <m:t xml:space="preserve">= </m:t>
        </m:r>
        <m:r>
          <w:rPr>
            <w:rFonts w:ascii="Cambria Math" w:hAnsi="Cambria Math"/>
            <w:lang w:val="de-DE"/>
          </w:rPr>
          <m:t>μ</m:t>
        </m:r>
        <m:f>
          <m:fPr>
            <m:ctrlPr>
              <w:rPr>
                <w:rFonts w:ascii="Cambria Math" w:hAnsi="Cambria Math"/>
                <w:i/>
              </w:rPr>
            </m:ctrlPr>
          </m:fPr>
          <m:num>
            <m:r>
              <w:rPr>
                <w:rFonts w:ascii="Cambria Math" w:hAnsi="Cambria Math"/>
              </w:rPr>
              <m:t xml:space="preserve">1- </m:t>
            </m:r>
            <m:r>
              <w:rPr>
                <w:rFonts w:ascii="Cambria Math" w:hAnsi="Cambria Math"/>
                <w:lang w:val="de-DE"/>
              </w:rPr>
              <m:t>μ</m:t>
            </m:r>
          </m:num>
          <m:den>
            <m:r>
              <w:rPr>
                <w:rFonts w:ascii="Cambria Math" w:hAnsi="Cambria Math"/>
              </w:rPr>
              <m:t>n</m:t>
            </m:r>
          </m:den>
        </m:f>
        <m:r>
          <w:rPr>
            <w:rFonts w:ascii="Cambria Math" w:hAnsi="Cambria Math"/>
          </w:rPr>
          <m:t>.</m:t>
        </m:r>
      </m:oMath>
      <w:r w:rsidRPr="008311D5">
        <w:rPr>
          <w:rFonts w:eastAsiaTheme="minorEastAsia"/>
          <w:color w:val="000000"/>
        </w:rPr>
        <w:br/>
      </w:r>
      <w:r>
        <w:t>Hence, a</w:t>
      </w:r>
      <w:r w:rsidRPr="008311D5">
        <w:t xml:space="preserve"> beta distribution </w:t>
      </w:r>
      <m:oMath>
        <m:r>
          <w:rPr>
            <w:rFonts w:ascii="Cambria Math" w:hAnsi="Cambria Math"/>
          </w:rPr>
          <m:t>B(</m:t>
        </m:r>
        <m:r>
          <w:rPr>
            <w:rFonts w:ascii="Cambria Math" w:hAnsi="Cambria Math"/>
            <w:lang w:val="de-DE"/>
          </w:rPr>
          <m:t>α</m:t>
        </m:r>
        <m:r>
          <w:rPr>
            <w:rFonts w:ascii="Cambria Math" w:hAnsi="Cambria Math"/>
          </w:rPr>
          <m:t>,</m:t>
        </m:r>
        <m:r>
          <w:rPr>
            <w:rFonts w:ascii="Cambria Math" w:hAnsi="Cambria Math"/>
            <w:lang w:val="de-DE"/>
          </w:rPr>
          <m:t>β</m:t>
        </m:r>
        <m:r>
          <w:rPr>
            <w:rFonts w:ascii="Cambria Math" w:hAnsi="Cambria Math"/>
          </w:rPr>
          <m:t>)</m:t>
        </m:r>
      </m:oMath>
      <w:r w:rsidRPr="008311D5">
        <w:t xml:space="preserve">, i.e. the conjugate prior probability distribution of the binomial distribution, was </w:t>
      </w:r>
      <w:r>
        <w:t>used</w:t>
      </w:r>
      <w:r w:rsidRPr="008311D5">
        <w:t xml:space="preserve"> as the prior distribution of the MAF. Their parameters </w:t>
      </w:r>
      <w:r w:rsidRPr="008311D5">
        <w:rPr>
          <w:lang w:val="de-DE"/>
        </w:rPr>
        <w:t>α</w:t>
      </w:r>
      <w:r w:rsidRPr="008311D5">
        <w:t xml:space="preserve"> and </w:t>
      </w:r>
      <w:r w:rsidRPr="008311D5">
        <w:rPr>
          <w:lang w:val="de-DE"/>
        </w:rPr>
        <w:t>β</w:t>
      </w:r>
      <w:r w:rsidRPr="008311D5">
        <w:t xml:space="preserve"> were chosen so that </w:t>
      </w:r>
      <w:r w:rsidRPr="008311D5">
        <w:rPr>
          <w:lang w:val="de-DE"/>
        </w:rPr>
        <w:t>μ</w:t>
      </w:r>
      <w:r w:rsidRPr="008311D5">
        <w:t xml:space="preserve"> and </w:t>
      </w:r>
      <m:oMath>
        <m:sSubSup>
          <m:sSubSupPr>
            <m:ctrlPr>
              <w:rPr>
                <w:rFonts w:ascii="Cambria Math" w:hAnsi="Cambria Math"/>
                <w:i/>
                <w:lang w:val="de-DE"/>
              </w:rPr>
            </m:ctrlPr>
          </m:sSubSupPr>
          <m:e>
            <m:r>
              <w:rPr>
                <w:rFonts w:ascii="Cambria Math" w:hAnsi="Cambria Math"/>
                <w:lang w:val="de-DE"/>
              </w:rPr>
              <m:t>σ</m:t>
            </m:r>
          </m:e>
          <m:sub>
            <m:r>
              <m:rPr>
                <m:sty m:val="p"/>
              </m:rPr>
              <w:rPr>
                <w:rFonts w:ascii="Cambria Math" w:hAnsi="Cambria Math"/>
                <w:lang w:val="de-DE"/>
              </w:rPr>
              <m:t>μ</m:t>
            </m:r>
          </m:sub>
          <m:sup>
            <m:r>
              <w:rPr>
                <w:rFonts w:ascii="Cambria Math" w:hAnsi="Cambria Math"/>
              </w:rPr>
              <m:t>2</m:t>
            </m:r>
          </m:sup>
        </m:sSubSup>
      </m:oMath>
      <w:r w:rsidRPr="008311D5">
        <w:t>remain unchanged.</w:t>
      </w:r>
    </w:p>
    <w:p w14:paraId="21A7AC6D" w14:textId="57D189D0" w:rsidR="00AE3383" w:rsidRPr="00814D06" w:rsidRDefault="00AE3383" w:rsidP="004D1A26">
      <w:pPr>
        <w:keepNext/>
        <w:keepLines/>
        <w:ind w:left="851" w:hanging="851"/>
        <w:jc w:val="left"/>
      </w:pPr>
      <w:r w:rsidRPr="00814D06">
        <w:rPr>
          <w:i/>
        </w:rPr>
        <w:t xml:space="preserve">RR: </w:t>
      </w:r>
      <w:r w:rsidRPr="00814D06">
        <w:rPr>
          <w:i/>
        </w:rPr>
        <w:tab/>
        <w:t>non-informative: log-normal distribution</w:t>
      </w:r>
      <w:r>
        <w:rPr>
          <w:i/>
        </w:rPr>
        <w:t xml:space="preserve"> </w:t>
      </w:r>
      <m:oMath>
        <m:r>
          <w:rPr>
            <w:rFonts w:ascii="Cambria Math" w:hAnsi="Cambria Math"/>
          </w:rPr>
          <m:t>logN</m:t>
        </m:r>
        <m:d>
          <m:dPr>
            <m:ctrlPr>
              <w:rPr>
                <w:rFonts w:ascii="Cambria Math" w:hAnsi="Cambria Math"/>
                <w:i/>
              </w:rPr>
            </m:ctrlPr>
          </m:dPr>
          <m:e>
            <m:r>
              <m:rPr>
                <m:sty m:val="bi"/>
              </m:rPr>
              <w:rPr>
                <w:rFonts w:ascii="Cambria Math" w:hAnsi="Cambria Math"/>
              </w:rPr>
              <m:t>0</m:t>
            </m:r>
            <m:r>
              <w:rPr>
                <w:rFonts w:ascii="Cambria Math" w:hAnsi="Cambria Math"/>
              </w:rPr>
              <m:t>,</m:t>
            </m:r>
            <m:r>
              <m:rPr>
                <m:sty m:val="bi"/>
              </m:rPr>
              <w:rPr>
                <w:rFonts w:ascii="Cambria Math" w:hAnsi="Cambria Math"/>
              </w:rPr>
              <m:t>20</m:t>
            </m:r>
          </m:e>
        </m:d>
      </m:oMath>
      <w:r w:rsidRPr="00814D06">
        <w:rPr>
          <w:rFonts w:eastAsiaTheme="minorEastAsia"/>
          <w:i/>
        </w:rPr>
        <w:t xml:space="preserve">, </w:t>
      </w:r>
      <w:r>
        <w:rPr>
          <w:rFonts w:eastAsiaTheme="minorEastAsia"/>
          <w:i/>
        </w:rPr>
        <w:br/>
      </w:r>
      <w:r w:rsidRPr="00814D06">
        <w:rPr>
          <w:rFonts w:eastAsiaTheme="minorEastAsia"/>
          <w:i/>
        </w:rPr>
        <w:t xml:space="preserve">restricting RR to </w:t>
      </w:r>
      <w:r w:rsidRPr="00814D06">
        <w:t xml:space="preserve">positive values with </w:t>
      </w:r>
      <w:r>
        <w:t xml:space="preserve">an </w:t>
      </w:r>
      <w:r w:rsidRPr="00814D06">
        <w:t>ex</w:t>
      </w:r>
      <w:r>
        <w:t>pected value of E(</w:t>
      </w:r>
      <w:r w:rsidRPr="00814D06">
        <w:t>RR</w:t>
      </w:r>
      <w:r>
        <w:t>)</w:t>
      </w:r>
      <w:r w:rsidRPr="00814D06">
        <w:t>=1</w:t>
      </w:r>
    </w:p>
    <w:p w14:paraId="388E8E11" w14:textId="596D571B" w:rsidR="00AE3383" w:rsidRDefault="00AE3383" w:rsidP="00AE3383">
      <w:pPr>
        <w:ind w:left="851" w:hanging="851"/>
        <w:jc w:val="left"/>
        <w:rPr>
          <w:rFonts w:eastAsiaTheme="minorEastAsia"/>
          <w:i/>
          <w:lang w:val="en-US"/>
        </w:rPr>
      </w:pPr>
      <w:r w:rsidRPr="004F03FB">
        <w:rPr>
          <w:i/>
          <w:lang w:val="en-US"/>
        </w:rPr>
        <w:t xml:space="preserve">F: </w:t>
      </w:r>
      <w:r w:rsidRPr="004F03FB">
        <w:rPr>
          <w:i/>
          <w:lang w:val="en-US"/>
        </w:rPr>
        <w:tab/>
      </w:r>
      <w:r w:rsidRPr="00EC64BB">
        <w:rPr>
          <w:i/>
        </w:rPr>
        <w:t>restrictive, non-information</w:t>
      </w:r>
      <w:r w:rsidRPr="00814D06">
        <w:rPr>
          <w:i/>
        </w:rPr>
        <w:t xml:space="preserve">: </w:t>
      </w:r>
      <w:r w:rsidRPr="00EC64BB">
        <w:t>uniform distribution</w:t>
      </w:r>
      <w:r w:rsidRPr="004F03FB">
        <w:rPr>
          <w:i/>
          <w:lang w:val="en-US"/>
        </w:rPr>
        <w:t xml:space="preserve"> </w:t>
      </w:r>
      <m:oMath>
        <m:r>
          <w:rPr>
            <w:rFonts w:ascii="Cambria Math" w:hAnsi="Cambria Math"/>
          </w:rPr>
          <m:t>U</m:t>
        </m:r>
        <m:r>
          <w:rPr>
            <w:rFonts w:ascii="Cambria Math" w:hAnsi="Cambria Math"/>
            <w:lang w:val="en-US"/>
          </w:rPr>
          <m:t>(-0.1;+0,1)</m:t>
        </m:r>
      </m:oMath>
    </w:p>
    <w:p w14:paraId="52B3854B" w14:textId="767B9CBE" w:rsidR="00DD74F3" w:rsidRDefault="00DD74F3" w:rsidP="00AE3383">
      <w:pPr>
        <w:ind w:left="851" w:hanging="851"/>
        <w:jc w:val="left"/>
        <w:rPr>
          <w:rFonts w:eastAsiaTheme="minorEastAsia"/>
          <w:lang w:val="en-US"/>
        </w:rPr>
      </w:pPr>
    </w:p>
    <w:p w14:paraId="7F392E5A" w14:textId="3135562D" w:rsidR="00DD74F3" w:rsidRDefault="00DD74F3" w:rsidP="00AE3383">
      <w:pPr>
        <w:ind w:left="851" w:hanging="851"/>
        <w:jc w:val="left"/>
        <w:rPr>
          <w:rFonts w:eastAsiaTheme="minorEastAsia"/>
          <w:lang w:val="en-US"/>
        </w:rPr>
      </w:pPr>
    </w:p>
    <w:p w14:paraId="6637DB94" w14:textId="67180C8D" w:rsidR="00DD74F3" w:rsidRDefault="00DD74F3" w:rsidP="00AE3383">
      <w:pPr>
        <w:ind w:left="851" w:hanging="851"/>
        <w:jc w:val="left"/>
        <w:rPr>
          <w:rFonts w:eastAsiaTheme="minorEastAsia"/>
          <w:lang w:val="en-US"/>
        </w:rPr>
      </w:pPr>
    </w:p>
    <w:p w14:paraId="20A65AA9" w14:textId="457C2BEF" w:rsidR="00DD74F3" w:rsidRPr="004F03FB" w:rsidRDefault="00DD74F3" w:rsidP="00AE3383">
      <w:pPr>
        <w:ind w:left="851" w:hanging="851"/>
        <w:jc w:val="left"/>
        <w:rPr>
          <w:rFonts w:eastAsiaTheme="minorEastAsia"/>
          <w:lang w:val="en-US"/>
        </w:rPr>
      </w:pPr>
    </w:p>
    <w:p w14:paraId="3392D59D" w14:textId="05B3585A" w:rsidR="00AE3383" w:rsidRDefault="00AE3383" w:rsidP="004D1A26">
      <w:pPr>
        <w:pStyle w:val="berschrift2"/>
        <w:pageBreakBefore/>
      </w:pPr>
      <w:r>
        <w:t>G</w:t>
      </w:r>
      <w:r w:rsidR="00A64FE5">
        <w:t xml:space="preserve"> </w:t>
      </w:r>
      <w:r>
        <w:t>model: genetic relative risk</w:t>
      </w:r>
    </w:p>
    <w:p w14:paraId="2319AE8B" w14:textId="5C37A4E1" w:rsidR="00AE3383" w:rsidRDefault="00AE3383" w:rsidP="00AE3383">
      <w:pPr>
        <w:pStyle w:val="Beschriftung"/>
        <w:jc w:val="center"/>
      </w:pPr>
      <w:bookmarkStart w:id="5" w:name="_Ref212033716"/>
      <w:r>
        <w:t xml:space="preserve">S-Table </w:t>
      </w:r>
      <w:r>
        <w:fldChar w:fldCharType="begin"/>
      </w:r>
      <w:r>
        <w:instrText xml:space="preserve"> SEQ S-Table \* ARABIC </w:instrText>
      </w:r>
      <w:r>
        <w:fldChar w:fldCharType="separate"/>
      </w:r>
      <w:r w:rsidR="00D3791A">
        <w:rPr>
          <w:noProof/>
        </w:rPr>
        <w:t>4</w:t>
      </w:r>
      <w:r>
        <w:fldChar w:fldCharType="end"/>
      </w:r>
      <w:bookmarkEnd w:id="5"/>
      <w:r>
        <w:tab/>
        <w:t>G</w:t>
      </w:r>
      <w:r w:rsidR="00A64FE5">
        <w:t xml:space="preserve"> </w:t>
      </w:r>
      <w:r>
        <w:t>Model: MCMC estimates from MAF and RR</w:t>
      </w:r>
    </w:p>
    <w:tbl>
      <w:tblPr>
        <w:tblStyle w:val="Listentabelle2Akzent3"/>
        <w:tblW w:w="0" w:type="auto"/>
        <w:jc w:val="center"/>
        <w:tblLook w:val="0420" w:firstRow="1" w:lastRow="0" w:firstColumn="0" w:lastColumn="0" w:noHBand="0" w:noVBand="1"/>
        <w:tblCaption w:val="Tabelle 7"/>
        <w:tblDescription w:val="G-Model: MCMC-estimate of MAF and RR "/>
      </w:tblPr>
      <w:tblGrid>
        <w:gridCol w:w="984"/>
        <w:gridCol w:w="1421"/>
        <w:gridCol w:w="527"/>
        <w:gridCol w:w="833"/>
        <w:gridCol w:w="500"/>
        <w:gridCol w:w="833"/>
        <w:gridCol w:w="742"/>
      </w:tblGrid>
      <w:tr w:rsidR="00AE3383" w14:paraId="3615FA55" w14:textId="77777777" w:rsidTr="00504501">
        <w:trPr>
          <w:cnfStyle w:val="100000000000" w:firstRow="1" w:lastRow="0" w:firstColumn="0" w:lastColumn="0" w:oddVBand="0" w:evenVBand="0" w:oddHBand="0" w:evenHBand="0" w:firstRowFirstColumn="0" w:firstRowLastColumn="0" w:lastRowFirstColumn="0" w:lastRowLastColumn="0"/>
          <w:trHeight w:val="227"/>
          <w:jc w:val="center"/>
        </w:trPr>
        <w:tc>
          <w:tcPr>
            <w:tcW w:w="0" w:type="auto"/>
            <w:vAlign w:val="center"/>
          </w:tcPr>
          <w:p w14:paraId="2B49E16A" w14:textId="77777777" w:rsidR="00AE3383" w:rsidRDefault="00AE3383" w:rsidP="00504501">
            <w:pPr>
              <w:pStyle w:val="Tabelleneintrag"/>
              <w:spacing w:before="0"/>
              <w:rPr>
                <w:b w:val="0"/>
                <w:color w:val="000000"/>
              </w:rPr>
            </w:pPr>
            <w:r>
              <w:t>Marker</w:t>
            </w:r>
          </w:p>
        </w:tc>
        <w:tc>
          <w:tcPr>
            <w:tcW w:w="1421" w:type="dxa"/>
            <w:vAlign w:val="center"/>
          </w:tcPr>
          <w:p w14:paraId="4C596DF5" w14:textId="77777777" w:rsidR="00AE3383" w:rsidRDefault="00AE3383" w:rsidP="00504501">
            <w:pPr>
              <w:pStyle w:val="Tabelleneintrag"/>
              <w:spacing w:before="0"/>
              <w:jc w:val="center"/>
              <w:rPr>
                <w:b w:val="0"/>
                <w:color w:val="000000"/>
              </w:rPr>
            </w:pPr>
            <w:r>
              <w:t>Gen</w:t>
            </w:r>
          </w:p>
        </w:tc>
        <w:tc>
          <w:tcPr>
            <w:tcW w:w="0" w:type="auto"/>
            <w:vAlign w:val="center"/>
          </w:tcPr>
          <w:p w14:paraId="1DDC30AA" w14:textId="77777777" w:rsidR="00AE3383" w:rsidRDefault="00AE3383" w:rsidP="00504501">
            <w:pPr>
              <w:pStyle w:val="Tabelleneintrag"/>
              <w:spacing w:before="0"/>
              <w:jc w:val="center"/>
              <w:rPr>
                <w:b w:val="0"/>
                <w:color w:val="000000"/>
              </w:rPr>
            </w:pPr>
            <w:r>
              <w:rPr>
                <w:color w:val="000000"/>
              </w:rPr>
              <w:t>MAF</w:t>
            </w:r>
          </w:p>
        </w:tc>
        <w:tc>
          <w:tcPr>
            <w:tcW w:w="0" w:type="auto"/>
            <w:vAlign w:val="center"/>
          </w:tcPr>
          <w:p w14:paraId="2343A960" w14:textId="77777777" w:rsidR="00AE3383" w:rsidRDefault="00AE3383" w:rsidP="00504501">
            <w:pPr>
              <w:pStyle w:val="Tabelleneintrag"/>
              <w:spacing w:before="0"/>
              <w:jc w:val="center"/>
              <w:rPr>
                <w:b w:val="0"/>
                <w:color w:val="000000"/>
              </w:rPr>
            </w:pPr>
            <w:r>
              <w:rPr>
                <w:color w:val="000000"/>
              </w:rPr>
              <w:t>95%-HDI</w:t>
            </w:r>
          </w:p>
        </w:tc>
        <w:tc>
          <w:tcPr>
            <w:tcW w:w="0" w:type="auto"/>
            <w:vAlign w:val="center"/>
          </w:tcPr>
          <w:p w14:paraId="75C58384" w14:textId="77777777" w:rsidR="00AE3383" w:rsidRDefault="00AE3383" w:rsidP="00504501">
            <w:pPr>
              <w:pStyle w:val="Tabelleneintrag"/>
              <w:spacing w:before="0"/>
              <w:jc w:val="center"/>
              <w:rPr>
                <w:b w:val="0"/>
                <w:color w:val="000000"/>
              </w:rPr>
            </w:pPr>
            <w:r>
              <w:rPr>
                <w:color w:val="000000"/>
              </w:rPr>
              <w:t>RR</w:t>
            </w:r>
          </w:p>
        </w:tc>
        <w:tc>
          <w:tcPr>
            <w:tcW w:w="0" w:type="auto"/>
            <w:vAlign w:val="center"/>
          </w:tcPr>
          <w:p w14:paraId="35534F46" w14:textId="77777777" w:rsidR="00AE3383" w:rsidRDefault="00AE3383" w:rsidP="00504501">
            <w:pPr>
              <w:pStyle w:val="Tabelleneintrag"/>
              <w:spacing w:before="0"/>
              <w:jc w:val="center"/>
              <w:rPr>
                <w:b w:val="0"/>
                <w:color w:val="000000"/>
              </w:rPr>
            </w:pPr>
            <w:r>
              <w:rPr>
                <w:color w:val="000000"/>
              </w:rPr>
              <w:t>95%-HDI</w:t>
            </w:r>
          </w:p>
        </w:tc>
        <w:tc>
          <w:tcPr>
            <w:tcW w:w="0" w:type="auto"/>
            <w:vAlign w:val="center"/>
          </w:tcPr>
          <w:p w14:paraId="5814EEB2" w14:textId="77777777" w:rsidR="00AE3383" w:rsidRDefault="00AE3383" w:rsidP="00504501">
            <w:pPr>
              <w:pStyle w:val="Tabelleneintrag"/>
              <w:spacing w:before="0"/>
              <w:jc w:val="center"/>
              <w:rPr>
                <w:b w:val="0"/>
                <w:color w:val="000000"/>
              </w:rPr>
            </w:pPr>
            <w:r>
              <w:rPr>
                <w:color w:val="000000"/>
              </w:rPr>
              <w:t>p</w:t>
            </w:r>
            <w:r>
              <w:rPr>
                <w:color w:val="000000"/>
                <w:vertAlign w:val="subscript"/>
              </w:rPr>
              <w:t>direkt</w:t>
            </w:r>
            <w:r>
              <w:rPr>
                <w:color w:val="000000"/>
                <w:vertAlign w:val="superscript"/>
              </w:rPr>
              <w:t>†</w:t>
            </w:r>
          </w:p>
        </w:tc>
      </w:tr>
      <w:tr w:rsidR="00AE3383" w14:paraId="2ADF38C9"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0431564A" w14:textId="77777777" w:rsidR="00AE3383" w:rsidRDefault="00AE3383" w:rsidP="00504501">
            <w:pPr>
              <w:pStyle w:val="Tabelleneintrag"/>
              <w:spacing w:before="0"/>
              <w:rPr>
                <w:color w:val="000000"/>
              </w:rPr>
            </w:pPr>
            <w:r>
              <w:t>rs7545208</w:t>
            </w:r>
          </w:p>
        </w:tc>
        <w:tc>
          <w:tcPr>
            <w:tcW w:w="1421" w:type="dxa"/>
            <w:vAlign w:val="center"/>
          </w:tcPr>
          <w:p w14:paraId="73C80C54" w14:textId="635958D3" w:rsidR="00AE3383" w:rsidRDefault="00AD5F12" w:rsidP="00504501">
            <w:pPr>
              <w:pStyle w:val="Tabelleneintrag"/>
              <w:spacing w:before="0"/>
              <w:jc w:val="center"/>
              <w:rPr>
                <w:color w:val="000000"/>
              </w:rPr>
            </w:pPr>
            <w:r w:rsidRPr="00AD5F12">
              <w:rPr>
                <w:i/>
                <w:color w:val="000000"/>
              </w:rPr>
              <w:t>UBE2U</w:t>
            </w:r>
          </w:p>
        </w:tc>
        <w:tc>
          <w:tcPr>
            <w:tcW w:w="0" w:type="auto"/>
            <w:vAlign w:val="center"/>
          </w:tcPr>
          <w:p w14:paraId="5C8DDC3D" w14:textId="77777777" w:rsidR="00AE3383" w:rsidRDefault="00AE3383" w:rsidP="00504501">
            <w:pPr>
              <w:pStyle w:val="Tabelleneintrag"/>
              <w:spacing w:before="0"/>
              <w:jc w:val="center"/>
              <w:rPr>
                <w:color w:val="000000"/>
              </w:rPr>
            </w:pPr>
            <w:r>
              <w:rPr>
                <w:color w:val="000000"/>
              </w:rPr>
              <w:t>0.34</w:t>
            </w:r>
          </w:p>
        </w:tc>
        <w:tc>
          <w:tcPr>
            <w:tcW w:w="0" w:type="auto"/>
            <w:vAlign w:val="center"/>
          </w:tcPr>
          <w:p w14:paraId="4946F563" w14:textId="77777777" w:rsidR="00AE3383" w:rsidRDefault="00AE3383" w:rsidP="00504501">
            <w:pPr>
              <w:pStyle w:val="Tabelleneintrag"/>
              <w:spacing w:before="0"/>
              <w:jc w:val="center"/>
              <w:rPr>
                <w:color w:val="000000"/>
              </w:rPr>
            </w:pPr>
            <w:r>
              <w:rPr>
                <w:color w:val="000000"/>
              </w:rPr>
              <w:t>0.31-0.36</w:t>
            </w:r>
          </w:p>
        </w:tc>
        <w:tc>
          <w:tcPr>
            <w:tcW w:w="0" w:type="auto"/>
            <w:vAlign w:val="center"/>
          </w:tcPr>
          <w:p w14:paraId="4240C004" w14:textId="77777777" w:rsidR="00AE3383" w:rsidRDefault="00AE3383" w:rsidP="00504501">
            <w:pPr>
              <w:pStyle w:val="Tabelleneintrag"/>
              <w:spacing w:before="0"/>
              <w:jc w:val="center"/>
              <w:rPr>
                <w:color w:val="000000"/>
              </w:rPr>
            </w:pPr>
            <w:r>
              <w:rPr>
                <w:color w:val="000000"/>
              </w:rPr>
              <w:t>1.25</w:t>
            </w:r>
          </w:p>
        </w:tc>
        <w:tc>
          <w:tcPr>
            <w:tcW w:w="0" w:type="auto"/>
            <w:vAlign w:val="center"/>
          </w:tcPr>
          <w:p w14:paraId="49132641" w14:textId="77777777" w:rsidR="00AE3383" w:rsidRDefault="00AE3383" w:rsidP="00504501">
            <w:pPr>
              <w:pStyle w:val="Tabelleneintrag"/>
              <w:spacing w:before="0"/>
              <w:jc w:val="center"/>
              <w:rPr>
                <w:color w:val="000000"/>
              </w:rPr>
            </w:pPr>
            <w:r>
              <w:rPr>
                <w:color w:val="000000"/>
              </w:rPr>
              <w:t>1.02-1.46</w:t>
            </w:r>
          </w:p>
        </w:tc>
        <w:tc>
          <w:tcPr>
            <w:tcW w:w="0" w:type="auto"/>
            <w:vAlign w:val="center"/>
          </w:tcPr>
          <w:p w14:paraId="7EAF6C6B" w14:textId="77777777" w:rsidR="00AE3383" w:rsidRDefault="00AE3383" w:rsidP="00504501">
            <w:pPr>
              <w:pStyle w:val="Tabelleneintrag"/>
              <w:spacing w:before="0"/>
              <w:jc w:val="center"/>
              <w:rPr>
                <w:color w:val="000000"/>
              </w:rPr>
            </w:pPr>
            <w:r>
              <w:rPr>
                <w:color w:val="000000"/>
              </w:rPr>
              <w:t>0.0135</w:t>
            </w:r>
          </w:p>
        </w:tc>
      </w:tr>
      <w:tr w:rsidR="00AE3383" w14:paraId="46EA7332" w14:textId="77777777" w:rsidTr="00504501">
        <w:trPr>
          <w:trHeight w:val="227"/>
          <w:jc w:val="center"/>
        </w:trPr>
        <w:tc>
          <w:tcPr>
            <w:tcW w:w="0" w:type="auto"/>
            <w:vAlign w:val="center"/>
          </w:tcPr>
          <w:p w14:paraId="509250DC" w14:textId="77777777" w:rsidR="00AE3383" w:rsidRDefault="00AE3383" w:rsidP="00504501">
            <w:pPr>
              <w:pStyle w:val="Tabelleneintrag"/>
              <w:spacing w:before="0"/>
              <w:rPr>
                <w:color w:val="000000"/>
              </w:rPr>
            </w:pPr>
            <w:r>
              <w:t>rs7526950</w:t>
            </w:r>
          </w:p>
        </w:tc>
        <w:tc>
          <w:tcPr>
            <w:tcW w:w="1421" w:type="dxa"/>
            <w:vAlign w:val="center"/>
          </w:tcPr>
          <w:p w14:paraId="1834D999" w14:textId="75B17369" w:rsidR="00AE3383" w:rsidRDefault="00AD5F12" w:rsidP="00504501">
            <w:pPr>
              <w:pStyle w:val="Tabelleneintrag"/>
              <w:spacing w:before="0"/>
              <w:jc w:val="center"/>
              <w:rPr>
                <w:color w:val="000000"/>
              </w:rPr>
            </w:pPr>
            <w:r w:rsidRPr="00AD5F12">
              <w:rPr>
                <w:i/>
                <w:color w:val="000000"/>
              </w:rPr>
              <w:t>UBE2U</w:t>
            </w:r>
          </w:p>
        </w:tc>
        <w:tc>
          <w:tcPr>
            <w:tcW w:w="0" w:type="auto"/>
            <w:vAlign w:val="center"/>
          </w:tcPr>
          <w:p w14:paraId="3E8C759C" w14:textId="77777777" w:rsidR="00AE3383" w:rsidRDefault="00AE3383" w:rsidP="00504501">
            <w:pPr>
              <w:pStyle w:val="Tabelleneintrag"/>
              <w:spacing w:before="0"/>
              <w:jc w:val="center"/>
              <w:rPr>
                <w:color w:val="000000"/>
              </w:rPr>
            </w:pPr>
            <w:r>
              <w:rPr>
                <w:color w:val="000000"/>
              </w:rPr>
              <w:t>0.23</w:t>
            </w:r>
          </w:p>
        </w:tc>
        <w:tc>
          <w:tcPr>
            <w:tcW w:w="0" w:type="auto"/>
            <w:vAlign w:val="center"/>
          </w:tcPr>
          <w:p w14:paraId="2D88AFE6" w14:textId="77777777" w:rsidR="00AE3383" w:rsidRDefault="00AE3383" w:rsidP="00504501">
            <w:pPr>
              <w:pStyle w:val="Tabelleneintrag"/>
              <w:spacing w:before="0"/>
              <w:jc w:val="center"/>
              <w:rPr>
                <w:color w:val="000000"/>
              </w:rPr>
            </w:pPr>
            <w:r>
              <w:rPr>
                <w:color w:val="000000"/>
              </w:rPr>
              <w:t>0.21-0.25</w:t>
            </w:r>
          </w:p>
        </w:tc>
        <w:tc>
          <w:tcPr>
            <w:tcW w:w="0" w:type="auto"/>
            <w:vAlign w:val="center"/>
          </w:tcPr>
          <w:p w14:paraId="6FD0D64E" w14:textId="77777777" w:rsidR="00AE3383" w:rsidRDefault="00AE3383" w:rsidP="00504501">
            <w:pPr>
              <w:pStyle w:val="Tabelleneintrag"/>
              <w:spacing w:before="0"/>
              <w:jc w:val="center"/>
              <w:rPr>
                <w:color w:val="000000"/>
              </w:rPr>
            </w:pPr>
            <w:r>
              <w:rPr>
                <w:color w:val="000000"/>
              </w:rPr>
              <w:t>1.20</w:t>
            </w:r>
          </w:p>
        </w:tc>
        <w:tc>
          <w:tcPr>
            <w:tcW w:w="0" w:type="auto"/>
            <w:vAlign w:val="center"/>
          </w:tcPr>
          <w:p w14:paraId="39BA60AD" w14:textId="77777777" w:rsidR="00AE3383" w:rsidRDefault="00AE3383" w:rsidP="00504501">
            <w:pPr>
              <w:pStyle w:val="Tabelleneintrag"/>
              <w:spacing w:before="0"/>
              <w:jc w:val="center"/>
              <w:rPr>
                <w:color w:val="000000"/>
              </w:rPr>
            </w:pPr>
            <w:r>
              <w:rPr>
                <w:color w:val="000000"/>
              </w:rPr>
              <w:t>1.02-1.35</w:t>
            </w:r>
          </w:p>
        </w:tc>
        <w:tc>
          <w:tcPr>
            <w:tcW w:w="0" w:type="auto"/>
            <w:vAlign w:val="center"/>
          </w:tcPr>
          <w:p w14:paraId="3E1BADE1" w14:textId="77777777" w:rsidR="00AE3383" w:rsidRDefault="00AE3383" w:rsidP="00504501">
            <w:pPr>
              <w:pStyle w:val="Tabelleneintrag"/>
              <w:spacing w:before="0"/>
              <w:jc w:val="center"/>
              <w:rPr>
                <w:color w:val="000000"/>
              </w:rPr>
            </w:pPr>
            <w:r>
              <w:rPr>
                <w:color w:val="000000"/>
              </w:rPr>
              <w:t>0.0325</w:t>
            </w:r>
          </w:p>
        </w:tc>
      </w:tr>
      <w:tr w:rsidR="00AE3383" w14:paraId="3C93E641"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2B521291" w14:textId="77777777" w:rsidR="00AE3383" w:rsidRDefault="00AE3383" w:rsidP="00504501">
            <w:pPr>
              <w:pStyle w:val="Tabelleneintrag"/>
              <w:spacing w:before="0"/>
              <w:rPr>
                <w:color w:val="000000"/>
              </w:rPr>
            </w:pPr>
            <w:r>
              <w:t>rs10889478</w:t>
            </w:r>
          </w:p>
        </w:tc>
        <w:tc>
          <w:tcPr>
            <w:tcW w:w="1421" w:type="dxa"/>
            <w:vAlign w:val="center"/>
          </w:tcPr>
          <w:p w14:paraId="069F1082" w14:textId="33A57E67" w:rsidR="00AE3383" w:rsidRDefault="00AD5F12" w:rsidP="00504501">
            <w:pPr>
              <w:pStyle w:val="Tabelleneintrag"/>
              <w:spacing w:before="0"/>
              <w:jc w:val="center"/>
              <w:rPr>
                <w:color w:val="000000"/>
              </w:rPr>
            </w:pPr>
            <w:r w:rsidRPr="00AD5F12">
              <w:rPr>
                <w:i/>
                <w:color w:val="000000"/>
              </w:rPr>
              <w:t>UBE2U</w:t>
            </w:r>
          </w:p>
        </w:tc>
        <w:tc>
          <w:tcPr>
            <w:tcW w:w="0" w:type="auto"/>
            <w:vAlign w:val="center"/>
          </w:tcPr>
          <w:p w14:paraId="1F48F7D0" w14:textId="77777777" w:rsidR="00AE3383" w:rsidRDefault="00AE3383" w:rsidP="00504501">
            <w:pPr>
              <w:pStyle w:val="Tabelleneintrag"/>
              <w:spacing w:before="0"/>
              <w:jc w:val="center"/>
              <w:rPr>
                <w:color w:val="000000"/>
              </w:rPr>
            </w:pPr>
            <w:r>
              <w:rPr>
                <w:color w:val="000000"/>
              </w:rPr>
              <w:t>0.48</w:t>
            </w:r>
          </w:p>
        </w:tc>
        <w:tc>
          <w:tcPr>
            <w:tcW w:w="0" w:type="auto"/>
            <w:vAlign w:val="center"/>
          </w:tcPr>
          <w:p w14:paraId="4D579CF6" w14:textId="77777777" w:rsidR="00AE3383" w:rsidRDefault="00AE3383" w:rsidP="00504501">
            <w:pPr>
              <w:pStyle w:val="Tabelleneintrag"/>
              <w:spacing w:before="0"/>
              <w:jc w:val="center"/>
              <w:rPr>
                <w:color w:val="000000"/>
              </w:rPr>
            </w:pPr>
            <w:r>
              <w:rPr>
                <w:color w:val="000000"/>
              </w:rPr>
              <w:t>0.46-0.51</w:t>
            </w:r>
          </w:p>
        </w:tc>
        <w:tc>
          <w:tcPr>
            <w:tcW w:w="0" w:type="auto"/>
            <w:vAlign w:val="center"/>
          </w:tcPr>
          <w:p w14:paraId="352D5E43" w14:textId="77777777" w:rsidR="00AE3383" w:rsidRDefault="00AE3383" w:rsidP="00504501">
            <w:pPr>
              <w:pStyle w:val="Tabelleneintrag"/>
              <w:spacing w:before="0"/>
              <w:jc w:val="center"/>
              <w:rPr>
                <w:color w:val="000000"/>
              </w:rPr>
            </w:pPr>
            <w:r>
              <w:rPr>
                <w:color w:val="000000"/>
              </w:rPr>
              <w:t>0.95</w:t>
            </w:r>
          </w:p>
        </w:tc>
        <w:tc>
          <w:tcPr>
            <w:tcW w:w="0" w:type="auto"/>
            <w:vAlign w:val="center"/>
          </w:tcPr>
          <w:p w14:paraId="28860277" w14:textId="77777777" w:rsidR="00AE3383" w:rsidRDefault="00AE3383" w:rsidP="00504501">
            <w:pPr>
              <w:pStyle w:val="Tabelleneintrag"/>
              <w:spacing w:before="0"/>
              <w:jc w:val="center"/>
              <w:rPr>
                <w:color w:val="000000"/>
              </w:rPr>
            </w:pPr>
            <w:r>
              <w:rPr>
                <w:color w:val="000000"/>
              </w:rPr>
              <w:t>0.82-1.08</w:t>
            </w:r>
          </w:p>
        </w:tc>
        <w:tc>
          <w:tcPr>
            <w:tcW w:w="0" w:type="auto"/>
            <w:vAlign w:val="center"/>
          </w:tcPr>
          <w:p w14:paraId="381945B4" w14:textId="77777777" w:rsidR="00AE3383" w:rsidRDefault="00AE3383" w:rsidP="00504501">
            <w:pPr>
              <w:pStyle w:val="Tabelleneintrag"/>
              <w:spacing w:before="0"/>
              <w:jc w:val="center"/>
              <w:rPr>
                <w:color w:val="000000"/>
              </w:rPr>
            </w:pPr>
            <w:r>
              <w:rPr>
                <w:color w:val="000000"/>
              </w:rPr>
              <w:t>0.5181</w:t>
            </w:r>
          </w:p>
        </w:tc>
      </w:tr>
      <w:tr w:rsidR="00AE3383" w14:paraId="4D34BBF6" w14:textId="77777777" w:rsidTr="00504501">
        <w:trPr>
          <w:trHeight w:val="227"/>
          <w:jc w:val="center"/>
        </w:trPr>
        <w:tc>
          <w:tcPr>
            <w:tcW w:w="0" w:type="auto"/>
            <w:vAlign w:val="center"/>
          </w:tcPr>
          <w:p w14:paraId="10F5199E" w14:textId="77777777" w:rsidR="00AE3383" w:rsidRDefault="00AE3383" w:rsidP="00504501">
            <w:pPr>
              <w:pStyle w:val="Tabelleneintrag"/>
              <w:spacing w:before="0"/>
              <w:rPr>
                <w:color w:val="000000"/>
              </w:rPr>
            </w:pPr>
            <w:r>
              <w:t>rs1908635</w:t>
            </w:r>
          </w:p>
        </w:tc>
        <w:tc>
          <w:tcPr>
            <w:tcW w:w="1421" w:type="dxa"/>
            <w:vAlign w:val="center"/>
          </w:tcPr>
          <w:p w14:paraId="25E4793F" w14:textId="6EEF079D" w:rsidR="00AE3383" w:rsidRDefault="00AD5F12" w:rsidP="00504501">
            <w:pPr>
              <w:pStyle w:val="Tabelleneintrag"/>
              <w:spacing w:before="0"/>
              <w:jc w:val="center"/>
              <w:rPr>
                <w:color w:val="000000"/>
              </w:rPr>
            </w:pPr>
            <w:r w:rsidRPr="00AD5F12">
              <w:rPr>
                <w:i/>
                <w:color w:val="000000"/>
              </w:rPr>
              <w:t>UBE2U</w:t>
            </w:r>
          </w:p>
        </w:tc>
        <w:tc>
          <w:tcPr>
            <w:tcW w:w="0" w:type="auto"/>
            <w:vAlign w:val="center"/>
          </w:tcPr>
          <w:p w14:paraId="490C3E3A" w14:textId="77777777" w:rsidR="00AE3383" w:rsidRDefault="00AE3383" w:rsidP="00504501">
            <w:pPr>
              <w:pStyle w:val="Tabelleneintrag"/>
              <w:spacing w:before="0"/>
              <w:jc w:val="center"/>
              <w:rPr>
                <w:color w:val="000000"/>
              </w:rPr>
            </w:pPr>
            <w:r>
              <w:rPr>
                <w:color w:val="000000"/>
              </w:rPr>
              <w:t>0.17</w:t>
            </w:r>
          </w:p>
        </w:tc>
        <w:tc>
          <w:tcPr>
            <w:tcW w:w="0" w:type="auto"/>
            <w:vAlign w:val="center"/>
          </w:tcPr>
          <w:p w14:paraId="75BC16D3" w14:textId="77777777" w:rsidR="00AE3383" w:rsidRDefault="00AE3383" w:rsidP="00504501">
            <w:pPr>
              <w:pStyle w:val="Tabelleneintrag"/>
              <w:spacing w:before="0"/>
              <w:jc w:val="center"/>
              <w:rPr>
                <w:color w:val="000000"/>
              </w:rPr>
            </w:pPr>
            <w:r>
              <w:rPr>
                <w:color w:val="000000"/>
              </w:rPr>
              <w:t>0.16-0.19</w:t>
            </w:r>
          </w:p>
        </w:tc>
        <w:tc>
          <w:tcPr>
            <w:tcW w:w="0" w:type="auto"/>
            <w:vAlign w:val="center"/>
          </w:tcPr>
          <w:p w14:paraId="4BC4A219" w14:textId="77777777" w:rsidR="00AE3383" w:rsidRDefault="00AE3383" w:rsidP="00504501">
            <w:pPr>
              <w:pStyle w:val="Tabelleneintrag"/>
              <w:spacing w:before="0"/>
              <w:jc w:val="center"/>
              <w:rPr>
                <w:color w:val="000000"/>
              </w:rPr>
            </w:pPr>
            <w:r>
              <w:rPr>
                <w:color w:val="000000"/>
              </w:rPr>
              <w:t>1.15</w:t>
            </w:r>
          </w:p>
        </w:tc>
        <w:tc>
          <w:tcPr>
            <w:tcW w:w="0" w:type="auto"/>
            <w:vAlign w:val="center"/>
          </w:tcPr>
          <w:p w14:paraId="518B8640" w14:textId="77777777" w:rsidR="00AE3383" w:rsidRDefault="00AE3383" w:rsidP="00504501">
            <w:pPr>
              <w:pStyle w:val="Tabelleneintrag"/>
              <w:spacing w:before="0"/>
              <w:jc w:val="center"/>
              <w:rPr>
                <w:color w:val="000000"/>
              </w:rPr>
            </w:pPr>
            <w:r>
              <w:rPr>
                <w:color w:val="000000"/>
              </w:rPr>
              <w:t>0.96-1.31</w:t>
            </w:r>
          </w:p>
        </w:tc>
        <w:tc>
          <w:tcPr>
            <w:tcW w:w="0" w:type="auto"/>
            <w:vAlign w:val="center"/>
          </w:tcPr>
          <w:p w14:paraId="70AA380A" w14:textId="77777777" w:rsidR="00AE3383" w:rsidRDefault="00AE3383" w:rsidP="00504501">
            <w:pPr>
              <w:pStyle w:val="Tabelleneintrag"/>
              <w:spacing w:before="0"/>
              <w:jc w:val="center"/>
              <w:rPr>
                <w:color w:val="000000"/>
              </w:rPr>
            </w:pPr>
            <w:r>
              <w:rPr>
                <w:color w:val="000000"/>
              </w:rPr>
              <w:t>0.1152</w:t>
            </w:r>
          </w:p>
        </w:tc>
      </w:tr>
      <w:tr w:rsidR="00AE3383" w14:paraId="01482F54"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7B1BAE98" w14:textId="77777777" w:rsidR="00AE3383" w:rsidRDefault="00AE3383" w:rsidP="00504501">
            <w:pPr>
              <w:pStyle w:val="Tabelleneintrag"/>
              <w:spacing w:before="0"/>
              <w:rPr>
                <w:color w:val="000000"/>
              </w:rPr>
            </w:pPr>
            <w:r>
              <w:t>rs7023680</w:t>
            </w:r>
          </w:p>
        </w:tc>
        <w:tc>
          <w:tcPr>
            <w:tcW w:w="1421" w:type="dxa"/>
            <w:vAlign w:val="center"/>
          </w:tcPr>
          <w:p w14:paraId="70060270" w14:textId="6303F5D6" w:rsidR="00AE3383" w:rsidRDefault="00AD5F12" w:rsidP="00504501">
            <w:pPr>
              <w:pStyle w:val="Tabelleneintrag"/>
              <w:spacing w:before="0"/>
              <w:jc w:val="center"/>
              <w:rPr>
                <w:color w:val="000000"/>
              </w:rPr>
            </w:pPr>
            <w:r w:rsidRPr="00AD5F12">
              <w:rPr>
                <w:i/>
                <w:color w:val="000000"/>
              </w:rPr>
              <w:t>CDKN2A</w:t>
            </w:r>
          </w:p>
        </w:tc>
        <w:tc>
          <w:tcPr>
            <w:tcW w:w="0" w:type="auto"/>
            <w:vAlign w:val="center"/>
          </w:tcPr>
          <w:p w14:paraId="31988164" w14:textId="77777777" w:rsidR="00AE3383" w:rsidRDefault="00AE3383" w:rsidP="00504501">
            <w:pPr>
              <w:pStyle w:val="Tabelleneintrag"/>
              <w:spacing w:before="0"/>
              <w:jc w:val="center"/>
              <w:rPr>
                <w:color w:val="000000"/>
              </w:rPr>
            </w:pPr>
            <w:r>
              <w:rPr>
                <w:color w:val="000000"/>
              </w:rPr>
              <w:t>0.47</w:t>
            </w:r>
          </w:p>
        </w:tc>
        <w:tc>
          <w:tcPr>
            <w:tcW w:w="0" w:type="auto"/>
            <w:vAlign w:val="center"/>
          </w:tcPr>
          <w:p w14:paraId="42A8B929" w14:textId="77777777" w:rsidR="00AE3383" w:rsidRDefault="00AE3383" w:rsidP="00504501">
            <w:pPr>
              <w:pStyle w:val="Tabelleneintrag"/>
              <w:spacing w:before="0"/>
              <w:jc w:val="center"/>
              <w:rPr>
                <w:color w:val="000000"/>
              </w:rPr>
            </w:pPr>
            <w:r>
              <w:rPr>
                <w:color w:val="000000"/>
              </w:rPr>
              <w:t>0.45-0.49</w:t>
            </w:r>
          </w:p>
        </w:tc>
        <w:tc>
          <w:tcPr>
            <w:tcW w:w="0" w:type="auto"/>
            <w:vAlign w:val="center"/>
          </w:tcPr>
          <w:p w14:paraId="5DD43FF2" w14:textId="77777777" w:rsidR="00AE3383" w:rsidRDefault="00AE3383" w:rsidP="00504501">
            <w:pPr>
              <w:pStyle w:val="Tabelleneintrag"/>
              <w:spacing w:before="0"/>
              <w:jc w:val="center"/>
              <w:rPr>
                <w:color w:val="000000"/>
              </w:rPr>
            </w:pPr>
            <w:r>
              <w:rPr>
                <w:color w:val="000000"/>
              </w:rPr>
              <w:t>1.12</w:t>
            </w:r>
          </w:p>
        </w:tc>
        <w:tc>
          <w:tcPr>
            <w:tcW w:w="0" w:type="auto"/>
            <w:vAlign w:val="center"/>
          </w:tcPr>
          <w:p w14:paraId="32A60FE4" w14:textId="77777777" w:rsidR="00AE3383" w:rsidRDefault="00AE3383" w:rsidP="00504501">
            <w:pPr>
              <w:pStyle w:val="Tabelleneintrag"/>
              <w:spacing w:before="0"/>
              <w:jc w:val="center"/>
              <w:rPr>
                <w:color w:val="000000"/>
              </w:rPr>
            </w:pPr>
            <w:r>
              <w:rPr>
                <w:color w:val="000000"/>
              </w:rPr>
              <w:t>0.93-1.29</w:t>
            </w:r>
          </w:p>
        </w:tc>
        <w:tc>
          <w:tcPr>
            <w:tcW w:w="0" w:type="auto"/>
            <w:vAlign w:val="center"/>
          </w:tcPr>
          <w:p w14:paraId="27BC63AA" w14:textId="77777777" w:rsidR="00AE3383" w:rsidRDefault="00AE3383" w:rsidP="00504501">
            <w:pPr>
              <w:pStyle w:val="Tabelleneintrag"/>
              <w:spacing w:before="0"/>
              <w:jc w:val="center"/>
              <w:rPr>
                <w:color w:val="000000"/>
              </w:rPr>
            </w:pPr>
            <w:r>
              <w:rPr>
                <w:color w:val="000000"/>
              </w:rPr>
              <w:t>0.2289</w:t>
            </w:r>
          </w:p>
        </w:tc>
      </w:tr>
      <w:tr w:rsidR="00AE3383" w14:paraId="52AB04EC" w14:textId="77777777" w:rsidTr="00504501">
        <w:trPr>
          <w:trHeight w:val="227"/>
          <w:jc w:val="center"/>
        </w:trPr>
        <w:tc>
          <w:tcPr>
            <w:tcW w:w="0" w:type="auto"/>
            <w:vAlign w:val="center"/>
          </w:tcPr>
          <w:p w14:paraId="494C5054" w14:textId="77777777" w:rsidR="00AE3383" w:rsidRDefault="00AE3383" w:rsidP="00504501">
            <w:pPr>
              <w:pStyle w:val="Tabelleneintrag"/>
              <w:spacing w:before="0"/>
              <w:rPr>
                <w:color w:val="000000"/>
              </w:rPr>
            </w:pPr>
            <w:r>
              <w:t>rs3731217</w:t>
            </w:r>
          </w:p>
        </w:tc>
        <w:tc>
          <w:tcPr>
            <w:tcW w:w="1421" w:type="dxa"/>
            <w:vAlign w:val="center"/>
          </w:tcPr>
          <w:p w14:paraId="0FB283CE" w14:textId="29FB10D9" w:rsidR="00AE3383" w:rsidRDefault="00AD5F12" w:rsidP="00504501">
            <w:pPr>
              <w:pStyle w:val="Tabelleneintrag"/>
              <w:spacing w:before="0"/>
              <w:jc w:val="center"/>
              <w:rPr>
                <w:color w:val="000000"/>
              </w:rPr>
            </w:pPr>
            <w:r w:rsidRPr="00AD5F12">
              <w:rPr>
                <w:i/>
                <w:color w:val="000000"/>
              </w:rPr>
              <w:t>CDKN2A</w:t>
            </w:r>
          </w:p>
        </w:tc>
        <w:tc>
          <w:tcPr>
            <w:tcW w:w="0" w:type="auto"/>
            <w:vAlign w:val="center"/>
          </w:tcPr>
          <w:p w14:paraId="4E773A3F" w14:textId="77777777" w:rsidR="00AE3383" w:rsidRDefault="00AE3383" w:rsidP="00504501">
            <w:pPr>
              <w:pStyle w:val="Tabelleneintrag"/>
              <w:spacing w:before="0"/>
              <w:jc w:val="center"/>
              <w:rPr>
                <w:color w:val="000000"/>
              </w:rPr>
            </w:pPr>
            <w:r>
              <w:rPr>
                <w:color w:val="000000"/>
              </w:rPr>
              <w:t>0.14</w:t>
            </w:r>
          </w:p>
        </w:tc>
        <w:tc>
          <w:tcPr>
            <w:tcW w:w="0" w:type="auto"/>
            <w:vAlign w:val="center"/>
          </w:tcPr>
          <w:p w14:paraId="4F025682" w14:textId="77777777" w:rsidR="00AE3383" w:rsidRDefault="00AE3383" w:rsidP="00504501">
            <w:pPr>
              <w:pStyle w:val="Tabelleneintrag"/>
              <w:spacing w:before="0"/>
              <w:jc w:val="center"/>
              <w:rPr>
                <w:color w:val="000000"/>
              </w:rPr>
            </w:pPr>
            <w:r>
              <w:rPr>
                <w:color w:val="000000"/>
              </w:rPr>
              <w:t>0.12-0.16</w:t>
            </w:r>
          </w:p>
        </w:tc>
        <w:tc>
          <w:tcPr>
            <w:tcW w:w="0" w:type="auto"/>
            <w:vAlign w:val="center"/>
          </w:tcPr>
          <w:p w14:paraId="27BD87FA" w14:textId="77777777" w:rsidR="00AE3383" w:rsidRDefault="00AE3383" w:rsidP="00504501">
            <w:pPr>
              <w:pStyle w:val="Tabelleneintrag"/>
              <w:spacing w:before="0"/>
              <w:jc w:val="center"/>
              <w:rPr>
                <w:color w:val="000000"/>
              </w:rPr>
            </w:pPr>
            <w:r>
              <w:rPr>
                <w:color w:val="000000"/>
              </w:rPr>
              <w:t>1.15</w:t>
            </w:r>
          </w:p>
        </w:tc>
        <w:tc>
          <w:tcPr>
            <w:tcW w:w="0" w:type="auto"/>
            <w:vAlign w:val="center"/>
          </w:tcPr>
          <w:p w14:paraId="2D1657FD" w14:textId="77777777" w:rsidR="00AE3383" w:rsidRDefault="00AE3383" w:rsidP="00504501">
            <w:pPr>
              <w:pStyle w:val="Tabelleneintrag"/>
              <w:spacing w:before="0"/>
              <w:jc w:val="center"/>
              <w:rPr>
                <w:color w:val="000000"/>
              </w:rPr>
            </w:pPr>
            <w:r>
              <w:rPr>
                <w:color w:val="000000"/>
              </w:rPr>
              <w:t>0.87-1.59</w:t>
            </w:r>
          </w:p>
        </w:tc>
        <w:tc>
          <w:tcPr>
            <w:tcW w:w="0" w:type="auto"/>
            <w:vAlign w:val="center"/>
          </w:tcPr>
          <w:p w14:paraId="4D3A5A67" w14:textId="77777777" w:rsidR="00AE3383" w:rsidRDefault="00AE3383" w:rsidP="00504501">
            <w:pPr>
              <w:pStyle w:val="Tabelleneintrag"/>
              <w:spacing w:before="0"/>
              <w:jc w:val="center"/>
              <w:rPr>
                <w:color w:val="000000"/>
              </w:rPr>
            </w:pPr>
            <w:r>
              <w:rPr>
                <w:color w:val="000000"/>
              </w:rPr>
              <w:t>0.4889</w:t>
            </w:r>
          </w:p>
        </w:tc>
      </w:tr>
      <w:tr w:rsidR="00AE3383" w14:paraId="3C9D8E9D"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05E8B3F8" w14:textId="77777777" w:rsidR="00AE3383" w:rsidRDefault="00AE3383" w:rsidP="00504501">
            <w:pPr>
              <w:pStyle w:val="Tabelleneintrag"/>
              <w:spacing w:before="0"/>
              <w:rPr>
                <w:color w:val="000000"/>
              </w:rPr>
            </w:pPr>
            <w:r>
              <w:t>rs10965227</w:t>
            </w:r>
          </w:p>
        </w:tc>
        <w:tc>
          <w:tcPr>
            <w:tcW w:w="1421" w:type="dxa"/>
            <w:vAlign w:val="center"/>
          </w:tcPr>
          <w:p w14:paraId="4B4CE997" w14:textId="1FC22336" w:rsidR="00AE3383" w:rsidRDefault="00AD5F12" w:rsidP="00504501">
            <w:pPr>
              <w:pStyle w:val="Tabelleneintrag"/>
              <w:spacing w:before="0"/>
              <w:jc w:val="center"/>
              <w:rPr>
                <w:color w:val="000000"/>
              </w:rPr>
            </w:pPr>
            <w:r w:rsidRPr="00AD5F12">
              <w:rPr>
                <w:i/>
                <w:color w:val="000000"/>
              </w:rPr>
              <w:t>CDKN2A</w:t>
            </w:r>
          </w:p>
        </w:tc>
        <w:tc>
          <w:tcPr>
            <w:tcW w:w="0" w:type="auto"/>
            <w:vAlign w:val="center"/>
          </w:tcPr>
          <w:p w14:paraId="60AA1E0B" w14:textId="77777777" w:rsidR="00AE3383" w:rsidRDefault="00AE3383" w:rsidP="00504501">
            <w:pPr>
              <w:pStyle w:val="Tabelleneintrag"/>
              <w:spacing w:before="0"/>
              <w:jc w:val="center"/>
              <w:rPr>
                <w:color w:val="000000"/>
              </w:rPr>
            </w:pPr>
            <w:r>
              <w:rPr>
                <w:color w:val="000000"/>
              </w:rPr>
              <w:t>0.24</w:t>
            </w:r>
          </w:p>
        </w:tc>
        <w:tc>
          <w:tcPr>
            <w:tcW w:w="0" w:type="auto"/>
            <w:vAlign w:val="center"/>
          </w:tcPr>
          <w:p w14:paraId="794F842E" w14:textId="77777777" w:rsidR="00AE3383" w:rsidRDefault="00AE3383" w:rsidP="00504501">
            <w:pPr>
              <w:pStyle w:val="Tabelleneintrag"/>
              <w:spacing w:before="0"/>
              <w:jc w:val="center"/>
              <w:rPr>
                <w:color w:val="000000"/>
              </w:rPr>
            </w:pPr>
            <w:r>
              <w:rPr>
                <w:color w:val="000000"/>
              </w:rPr>
              <w:t>0.22-0.25</w:t>
            </w:r>
          </w:p>
        </w:tc>
        <w:tc>
          <w:tcPr>
            <w:tcW w:w="0" w:type="auto"/>
            <w:vAlign w:val="center"/>
          </w:tcPr>
          <w:p w14:paraId="7A8EC009" w14:textId="77777777" w:rsidR="00AE3383" w:rsidRDefault="00AE3383" w:rsidP="00504501">
            <w:pPr>
              <w:pStyle w:val="Tabelleneintrag"/>
              <w:spacing w:before="0"/>
              <w:jc w:val="center"/>
              <w:rPr>
                <w:color w:val="000000"/>
              </w:rPr>
            </w:pPr>
            <w:r>
              <w:rPr>
                <w:color w:val="000000"/>
              </w:rPr>
              <w:t>1.14</w:t>
            </w:r>
          </w:p>
        </w:tc>
        <w:tc>
          <w:tcPr>
            <w:tcW w:w="0" w:type="auto"/>
            <w:vAlign w:val="center"/>
          </w:tcPr>
          <w:p w14:paraId="516A05B1" w14:textId="77777777" w:rsidR="00AE3383" w:rsidRDefault="00AE3383" w:rsidP="00504501">
            <w:pPr>
              <w:pStyle w:val="Tabelleneintrag"/>
              <w:spacing w:before="0"/>
              <w:jc w:val="center"/>
              <w:rPr>
                <w:color w:val="000000"/>
              </w:rPr>
            </w:pPr>
            <w:r>
              <w:rPr>
                <w:color w:val="000000"/>
              </w:rPr>
              <w:t>1.03-1.21</w:t>
            </w:r>
          </w:p>
        </w:tc>
        <w:tc>
          <w:tcPr>
            <w:tcW w:w="0" w:type="auto"/>
            <w:vAlign w:val="center"/>
          </w:tcPr>
          <w:p w14:paraId="6B692AD8" w14:textId="77777777" w:rsidR="00AE3383" w:rsidRDefault="00AE3383" w:rsidP="00504501">
            <w:pPr>
              <w:pStyle w:val="Tabelleneintrag"/>
              <w:spacing w:before="0"/>
              <w:jc w:val="center"/>
              <w:rPr>
                <w:color w:val="000000"/>
              </w:rPr>
            </w:pPr>
            <w:r>
              <w:rPr>
                <w:color w:val="000000"/>
              </w:rPr>
              <w:t>0.0276</w:t>
            </w:r>
          </w:p>
        </w:tc>
      </w:tr>
      <w:tr w:rsidR="00AE3383" w14:paraId="63350C2B" w14:textId="77777777" w:rsidTr="00504501">
        <w:trPr>
          <w:trHeight w:val="227"/>
          <w:jc w:val="center"/>
        </w:trPr>
        <w:tc>
          <w:tcPr>
            <w:tcW w:w="0" w:type="auto"/>
            <w:vAlign w:val="center"/>
          </w:tcPr>
          <w:p w14:paraId="0374F77A" w14:textId="77777777" w:rsidR="00AE3383" w:rsidRDefault="00AE3383" w:rsidP="00504501">
            <w:pPr>
              <w:pStyle w:val="Tabelleneintrag"/>
              <w:spacing w:before="0"/>
              <w:rPr>
                <w:color w:val="000000"/>
              </w:rPr>
            </w:pPr>
            <w:r>
              <w:t>rs73596224</w:t>
            </w:r>
          </w:p>
        </w:tc>
        <w:tc>
          <w:tcPr>
            <w:tcW w:w="1421" w:type="dxa"/>
            <w:vAlign w:val="center"/>
          </w:tcPr>
          <w:p w14:paraId="3946C003" w14:textId="75CD81F1" w:rsidR="00AE3383" w:rsidRDefault="004037C3" w:rsidP="00504501">
            <w:pPr>
              <w:pStyle w:val="Tabelleneintrag"/>
              <w:spacing w:before="0"/>
              <w:jc w:val="center"/>
              <w:rPr>
                <w:color w:val="000000"/>
              </w:rPr>
            </w:pPr>
            <w:r w:rsidRPr="004037C3">
              <w:rPr>
                <w:i/>
                <w:color w:val="000000"/>
              </w:rPr>
              <w:t>CUBN</w:t>
            </w:r>
          </w:p>
        </w:tc>
        <w:tc>
          <w:tcPr>
            <w:tcW w:w="0" w:type="auto"/>
            <w:vAlign w:val="center"/>
          </w:tcPr>
          <w:p w14:paraId="6A4111DF" w14:textId="77777777" w:rsidR="00AE3383" w:rsidRDefault="00AE3383" w:rsidP="00504501">
            <w:pPr>
              <w:pStyle w:val="Tabelleneintrag"/>
              <w:spacing w:before="0"/>
              <w:jc w:val="center"/>
              <w:rPr>
                <w:color w:val="000000"/>
              </w:rPr>
            </w:pPr>
            <w:r>
              <w:rPr>
                <w:color w:val="000000"/>
              </w:rPr>
              <w:t>0.06</w:t>
            </w:r>
          </w:p>
        </w:tc>
        <w:tc>
          <w:tcPr>
            <w:tcW w:w="0" w:type="auto"/>
            <w:vAlign w:val="center"/>
          </w:tcPr>
          <w:p w14:paraId="5D578F99" w14:textId="77777777" w:rsidR="00AE3383" w:rsidRDefault="00AE3383" w:rsidP="00504501">
            <w:pPr>
              <w:pStyle w:val="Tabelleneintrag"/>
              <w:spacing w:before="0"/>
              <w:jc w:val="center"/>
              <w:rPr>
                <w:color w:val="000000"/>
              </w:rPr>
            </w:pPr>
            <w:r>
              <w:rPr>
                <w:color w:val="000000"/>
              </w:rPr>
              <w:t>0.06-0.07</w:t>
            </w:r>
          </w:p>
        </w:tc>
        <w:tc>
          <w:tcPr>
            <w:tcW w:w="0" w:type="auto"/>
            <w:vAlign w:val="center"/>
          </w:tcPr>
          <w:p w14:paraId="032CB687" w14:textId="77777777" w:rsidR="00AE3383" w:rsidRDefault="00AE3383" w:rsidP="00504501">
            <w:pPr>
              <w:pStyle w:val="Tabelleneintrag"/>
              <w:spacing w:before="0"/>
              <w:jc w:val="center"/>
              <w:rPr>
                <w:color w:val="000000"/>
              </w:rPr>
            </w:pPr>
            <w:r>
              <w:rPr>
                <w:color w:val="000000"/>
              </w:rPr>
              <w:t>1.35</w:t>
            </w:r>
          </w:p>
        </w:tc>
        <w:tc>
          <w:tcPr>
            <w:tcW w:w="0" w:type="auto"/>
            <w:vAlign w:val="center"/>
          </w:tcPr>
          <w:p w14:paraId="656319A1" w14:textId="77777777" w:rsidR="00AE3383" w:rsidRDefault="00AE3383" w:rsidP="00504501">
            <w:pPr>
              <w:pStyle w:val="Tabelleneintrag"/>
              <w:spacing w:before="0"/>
              <w:jc w:val="center"/>
              <w:rPr>
                <w:color w:val="000000"/>
              </w:rPr>
            </w:pPr>
            <w:r>
              <w:rPr>
                <w:color w:val="000000"/>
              </w:rPr>
              <w:t>1.10-1.54</w:t>
            </w:r>
          </w:p>
        </w:tc>
        <w:tc>
          <w:tcPr>
            <w:tcW w:w="0" w:type="auto"/>
            <w:vAlign w:val="center"/>
          </w:tcPr>
          <w:p w14:paraId="25DB255C" w14:textId="77777777" w:rsidR="00AE3383" w:rsidRDefault="00AE3383" w:rsidP="00504501">
            <w:pPr>
              <w:pStyle w:val="Tabelleneintrag"/>
              <w:spacing w:before="0"/>
              <w:jc w:val="center"/>
              <w:rPr>
                <w:color w:val="000000"/>
              </w:rPr>
            </w:pPr>
            <w:r>
              <w:rPr>
                <w:color w:val="000000"/>
              </w:rPr>
              <w:t>0.0073</w:t>
            </w:r>
          </w:p>
        </w:tc>
      </w:tr>
      <w:tr w:rsidR="00AE3383" w14:paraId="7CA1F856"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0520ADFC" w14:textId="77777777" w:rsidR="00AE3383" w:rsidRDefault="00AE3383" w:rsidP="00504501">
            <w:pPr>
              <w:pStyle w:val="Tabelleneintrag"/>
              <w:spacing w:before="0"/>
              <w:rPr>
                <w:color w:val="000000"/>
              </w:rPr>
            </w:pPr>
            <w:r>
              <w:t>rs60918373</w:t>
            </w:r>
          </w:p>
        </w:tc>
        <w:tc>
          <w:tcPr>
            <w:tcW w:w="1421" w:type="dxa"/>
            <w:vAlign w:val="center"/>
          </w:tcPr>
          <w:p w14:paraId="51BF4049" w14:textId="67FEE4A6" w:rsidR="00AE3383" w:rsidRDefault="004037C3" w:rsidP="00504501">
            <w:pPr>
              <w:pStyle w:val="Tabelleneintrag"/>
              <w:spacing w:before="0"/>
              <w:jc w:val="center"/>
              <w:rPr>
                <w:color w:val="000000"/>
              </w:rPr>
            </w:pPr>
            <w:r w:rsidRPr="004037C3">
              <w:rPr>
                <w:i/>
                <w:color w:val="000000"/>
              </w:rPr>
              <w:t>CUBN</w:t>
            </w:r>
          </w:p>
        </w:tc>
        <w:tc>
          <w:tcPr>
            <w:tcW w:w="0" w:type="auto"/>
            <w:vAlign w:val="center"/>
          </w:tcPr>
          <w:p w14:paraId="31122303" w14:textId="77777777" w:rsidR="00AE3383" w:rsidRDefault="00AE3383" w:rsidP="00504501">
            <w:pPr>
              <w:pStyle w:val="Tabelleneintrag"/>
              <w:spacing w:before="0"/>
              <w:jc w:val="center"/>
              <w:rPr>
                <w:color w:val="000000"/>
              </w:rPr>
            </w:pPr>
            <w:r>
              <w:rPr>
                <w:color w:val="000000"/>
              </w:rPr>
              <w:t>0.15</w:t>
            </w:r>
          </w:p>
        </w:tc>
        <w:tc>
          <w:tcPr>
            <w:tcW w:w="0" w:type="auto"/>
            <w:vAlign w:val="center"/>
          </w:tcPr>
          <w:p w14:paraId="1FD5F28C" w14:textId="77777777" w:rsidR="00AE3383" w:rsidRDefault="00AE3383" w:rsidP="00504501">
            <w:pPr>
              <w:pStyle w:val="Tabelleneintrag"/>
              <w:spacing w:before="0"/>
              <w:jc w:val="center"/>
              <w:rPr>
                <w:color w:val="000000"/>
              </w:rPr>
            </w:pPr>
            <w:r>
              <w:rPr>
                <w:color w:val="000000"/>
              </w:rPr>
              <w:t>0.13-0.17</w:t>
            </w:r>
          </w:p>
        </w:tc>
        <w:tc>
          <w:tcPr>
            <w:tcW w:w="0" w:type="auto"/>
            <w:vAlign w:val="center"/>
          </w:tcPr>
          <w:p w14:paraId="6DC6B122" w14:textId="77777777" w:rsidR="00AE3383" w:rsidRDefault="00AE3383" w:rsidP="00504501">
            <w:pPr>
              <w:pStyle w:val="Tabelleneintrag"/>
              <w:spacing w:before="0"/>
              <w:jc w:val="center"/>
              <w:rPr>
                <w:color w:val="000000"/>
              </w:rPr>
            </w:pPr>
            <w:r>
              <w:rPr>
                <w:color w:val="000000"/>
              </w:rPr>
              <w:t>1.10</w:t>
            </w:r>
          </w:p>
        </w:tc>
        <w:tc>
          <w:tcPr>
            <w:tcW w:w="0" w:type="auto"/>
            <w:vAlign w:val="center"/>
          </w:tcPr>
          <w:p w14:paraId="7A86621B" w14:textId="77777777" w:rsidR="00AE3383" w:rsidRDefault="00AE3383" w:rsidP="00504501">
            <w:pPr>
              <w:pStyle w:val="Tabelleneintrag"/>
              <w:spacing w:before="0"/>
              <w:jc w:val="center"/>
              <w:rPr>
                <w:color w:val="000000"/>
              </w:rPr>
            </w:pPr>
            <w:r>
              <w:rPr>
                <w:color w:val="000000"/>
              </w:rPr>
              <w:t>0.89-1.31</w:t>
            </w:r>
          </w:p>
        </w:tc>
        <w:tc>
          <w:tcPr>
            <w:tcW w:w="0" w:type="auto"/>
            <w:vAlign w:val="center"/>
          </w:tcPr>
          <w:p w14:paraId="106E9049" w14:textId="77777777" w:rsidR="00AE3383" w:rsidRDefault="00AE3383" w:rsidP="00504501">
            <w:pPr>
              <w:pStyle w:val="Tabelleneintrag"/>
              <w:spacing w:before="0"/>
              <w:jc w:val="center"/>
              <w:rPr>
                <w:color w:val="000000"/>
              </w:rPr>
            </w:pPr>
            <w:r>
              <w:rPr>
                <w:color w:val="000000"/>
              </w:rPr>
              <w:t>0.3133</w:t>
            </w:r>
          </w:p>
        </w:tc>
      </w:tr>
      <w:tr w:rsidR="00AE3383" w14:paraId="66241CDD" w14:textId="77777777" w:rsidTr="00504501">
        <w:trPr>
          <w:trHeight w:val="227"/>
          <w:jc w:val="center"/>
        </w:trPr>
        <w:tc>
          <w:tcPr>
            <w:tcW w:w="0" w:type="auto"/>
            <w:vAlign w:val="center"/>
          </w:tcPr>
          <w:p w14:paraId="6CC107CE" w14:textId="77777777" w:rsidR="00AE3383" w:rsidRDefault="00AE3383" w:rsidP="00504501">
            <w:pPr>
              <w:pStyle w:val="Tabelleneintrag"/>
              <w:spacing w:before="0"/>
              <w:rPr>
                <w:color w:val="000000"/>
              </w:rPr>
            </w:pPr>
            <w:r>
              <w:t>rs7095324</w:t>
            </w:r>
          </w:p>
        </w:tc>
        <w:tc>
          <w:tcPr>
            <w:tcW w:w="1421" w:type="dxa"/>
            <w:vAlign w:val="center"/>
          </w:tcPr>
          <w:p w14:paraId="445560BF" w14:textId="389695F0" w:rsidR="00AE3383" w:rsidRDefault="004037C3" w:rsidP="00504501">
            <w:pPr>
              <w:pStyle w:val="Tabelleneintrag"/>
              <w:spacing w:before="0"/>
              <w:jc w:val="center"/>
              <w:rPr>
                <w:color w:val="000000"/>
              </w:rPr>
            </w:pPr>
            <w:r w:rsidRPr="004037C3">
              <w:rPr>
                <w:i/>
                <w:color w:val="000000"/>
              </w:rPr>
              <w:t>CUBN</w:t>
            </w:r>
          </w:p>
        </w:tc>
        <w:tc>
          <w:tcPr>
            <w:tcW w:w="0" w:type="auto"/>
            <w:vAlign w:val="center"/>
          </w:tcPr>
          <w:p w14:paraId="1A6D636B" w14:textId="77777777" w:rsidR="00AE3383" w:rsidRDefault="00AE3383" w:rsidP="00504501">
            <w:pPr>
              <w:pStyle w:val="Tabelleneintrag"/>
              <w:spacing w:before="0"/>
              <w:jc w:val="center"/>
              <w:rPr>
                <w:color w:val="000000"/>
              </w:rPr>
            </w:pPr>
            <w:r>
              <w:rPr>
                <w:color w:val="000000"/>
              </w:rPr>
              <w:t>0.36</w:t>
            </w:r>
          </w:p>
        </w:tc>
        <w:tc>
          <w:tcPr>
            <w:tcW w:w="0" w:type="auto"/>
            <w:vAlign w:val="center"/>
          </w:tcPr>
          <w:p w14:paraId="718BC627" w14:textId="77777777" w:rsidR="00AE3383" w:rsidRDefault="00AE3383" w:rsidP="00504501">
            <w:pPr>
              <w:pStyle w:val="Tabelleneintrag"/>
              <w:spacing w:before="0"/>
              <w:jc w:val="center"/>
              <w:rPr>
                <w:color w:val="000000"/>
              </w:rPr>
            </w:pPr>
            <w:r>
              <w:rPr>
                <w:color w:val="000000"/>
              </w:rPr>
              <w:t>0.34-0.39</w:t>
            </w:r>
          </w:p>
        </w:tc>
        <w:tc>
          <w:tcPr>
            <w:tcW w:w="0" w:type="auto"/>
            <w:vAlign w:val="center"/>
          </w:tcPr>
          <w:p w14:paraId="1A3DAE8C" w14:textId="77777777" w:rsidR="00AE3383" w:rsidRDefault="00AE3383" w:rsidP="00504501">
            <w:pPr>
              <w:pStyle w:val="Tabelleneintrag"/>
              <w:spacing w:before="0"/>
              <w:jc w:val="center"/>
              <w:rPr>
                <w:color w:val="000000"/>
              </w:rPr>
            </w:pPr>
            <w:r>
              <w:rPr>
                <w:color w:val="000000"/>
              </w:rPr>
              <w:t>1.01</w:t>
            </w:r>
          </w:p>
        </w:tc>
        <w:tc>
          <w:tcPr>
            <w:tcW w:w="0" w:type="auto"/>
            <w:vAlign w:val="center"/>
          </w:tcPr>
          <w:p w14:paraId="4B5DE562" w14:textId="77777777" w:rsidR="00AE3383" w:rsidRDefault="00AE3383" w:rsidP="00504501">
            <w:pPr>
              <w:pStyle w:val="Tabelleneintrag"/>
              <w:spacing w:before="0"/>
              <w:jc w:val="center"/>
              <w:rPr>
                <w:color w:val="000000"/>
              </w:rPr>
            </w:pPr>
            <w:r>
              <w:rPr>
                <w:color w:val="000000"/>
              </w:rPr>
              <w:t>0.86-1.16</w:t>
            </w:r>
          </w:p>
        </w:tc>
        <w:tc>
          <w:tcPr>
            <w:tcW w:w="0" w:type="auto"/>
            <w:vAlign w:val="center"/>
          </w:tcPr>
          <w:p w14:paraId="6C35C71A" w14:textId="77777777" w:rsidR="00AE3383" w:rsidRDefault="00AE3383" w:rsidP="00504501">
            <w:pPr>
              <w:pStyle w:val="Tabelleneintrag"/>
              <w:spacing w:before="0"/>
              <w:jc w:val="center"/>
              <w:rPr>
                <w:color w:val="000000"/>
              </w:rPr>
            </w:pPr>
            <w:r>
              <w:rPr>
                <w:color w:val="000000"/>
              </w:rPr>
              <w:t>0.9439</w:t>
            </w:r>
          </w:p>
        </w:tc>
      </w:tr>
      <w:tr w:rsidR="00AE3383" w14:paraId="21431B8E"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12744432" w14:textId="77777777" w:rsidR="00AE3383" w:rsidRDefault="00AE3383" w:rsidP="00504501">
            <w:pPr>
              <w:pStyle w:val="Tabelleneintrag"/>
              <w:spacing w:before="0"/>
              <w:rPr>
                <w:color w:val="000000"/>
              </w:rPr>
            </w:pPr>
            <w:r>
              <w:t>rs10823112</w:t>
            </w:r>
          </w:p>
        </w:tc>
        <w:tc>
          <w:tcPr>
            <w:tcW w:w="1421" w:type="dxa"/>
            <w:vAlign w:val="center"/>
          </w:tcPr>
          <w:p w14:paraId="1168F9F3" w14:textId="0402E5AB" w:rsidR="00AE3383" w:rsidRDefault="00AD5F12" w:rsidP="00504501">
            <w:pPr>
              <w:pStyle w:val="Tabelleneintrag"/>
              <w:spacing w:before="0"/>
              <w:jc w:val="center"/>
              <w:rPr>
                <w:color w:val="000000"/>
              </w:rPr>
            </w:pPr>
            <w:r w:rsidRPr="00AD5F12">
              <w:rPr>
                <w:i/>
                <w:color w:val="000000"/>
              </w:rPr>
              <w:t>SIRT1</w:t>
            </w:r>
          </w:p>
        </w:tc>
        <w:tc>
          <w:tcPr>
            <w:tcW w:w="0" w:type="auto"/>
            <w:vAlign w:val="center"/>
          </w:tcPr>
          <w:p w14:paraId="03499335" w14:textId="77777777" w:rsidR="00AE3383" w:rsidRDefault="00AE3383" w:rsidP="00504501">
            <w:pPr>
              <w:pStyle w:val="Tabelleneintrag"/>
              <w:spacing w:before="0"/>
              <w:jc w:val="center"/>
              <w:rPr>
                <w:color w:val="000000"/>
              </w:rPr>
            </w:pPr>
            <w:r>
              <w:rPr>
                <w:color w:val="000000"/>
              </w:rPr>
              <w:t>0.06</w:t>
            </w:r>
          </w:p>
        </w:tc>
        <w:tc>
          <w:tcPr>
            <w:tcW w:w="0" w:type="auto"/>
            <w:vAlign w:val="center"/>
          </w:tcPr>
          <w:p w14:paraId="38A10703" w14:textId="77777777" w:rsidR="00AE3383" w:rsidRDefault="00AE3383" w:rsidP="00504501">
            <w:pPr>
              <w:pStyle w:val="Tabelleneintrag"/>
              <w:spacing w:before="0"/>
              <w:jc w:val="center"/>
              <w:rPr>
                <w:color w:val="000000"/>
              </w:rPr>
            </w:pPr>
            <w:r>
              <w:rPr>
                <w:color w:val="000000"/>
              </w:rPr>
              <w:t>0.05-0.07</w:t>
            </w:r>
          </w:p>
        </w:tc>
        <w:tc>
          <w:tcPr>
            <w:tcW w:w="0" w:type="auto"/>
            <w:vAlign w:val="center"/>
          </w:tcPr>
          <w:p w14:paraId="1496BEC2" w14:textId="77777777" w:rsidR="00AE3383" w:rsidRDefault="00AE3383" w:rsidP="00504501">
            <w:pPr>
              <w:pStyle w:val="Tabelleneintrag"/>
              <w:spacing w:before="0"/>
              <w:jc w:val="center"/>
              <w:rPr>
                <w:color w:val="000000"/>
              </w:rPr>
            </w:pPr>
            <w:r>
              <w:rPr>
                <w:color w:val="000000"/>
              </w:rPr>
              <w:t>1.22</w:t>
            </w:r>
          </w:p>
        </w:tc>
        <w:tc>
          <w:tcPr>
            <w:tcW w:w="0" w:type="auto"/>
            <w:vAlign w:val="center"/>
          </w:tcPr>
          <w:p w14:paraId="7620D996" w14:textId="77777777" w:rsidR="00AE3383" w:rsidRDefault="00AE3383" w:rsidP="00504501">
            <w:pPr>
              <w:pStyle w:val="Tabelleneintrag"/>
              <w:spacing w:before="0"/>
              <w:jc w:val="center"/>
              <w:rPr>
                <w:color w:val="000000"/>
              </w:rPr>
            </w:pPr>
            <w:r>
              <w:rPr>
                <w:color w:val="000000"/>
              </w:rPr>
              <w:t>0.99-1.47</w:t>
            </w:r>
          </w:p>
        </w:tc>
        <w:tc>
          <w:tcPr>
            <w:tcW w:w="0" w:type="auto"/>
            <w:vAlign w:val="center"/>
          </w:tcPr>
          <w:p w14:paraId="654849C6" w14:textId="77777777" w:rsidR="00AE3383" w:rsidRDefault="00AE3383" w:rsidP="00504501">
            <w:pPr>
              <w:pStyle w:val="Tabelleneintrag"/>
              <w:spacing w:before="0"/>
              <w:jc w:val="center"/>
              <w:rPr>
                <w:color w:val="000000"/>
              </w:rPr>
            </w:pPr>
            <w:r>
              <w:rPr>
                <w:color w:val="000000"/>
              </w:rPr>
              <w:t>0.0597</w:t>
            </w:r>
          </w:p>
        </w:tc>
      </w:tr>
      <w:tr w:rsidR="00AE3383" w14:paraId="5510D508" w14:textId="77777777" w:rsidTr="00504501">
        <w:trPr>
          <w:trHeight w:val="227"/>
          <w:jc w:val="center"/>
        </w:trPr>
        <w:tc>
          <w:tcPr>
            <w:tcW w:w="0" w:type="auto"/>
            <w:vAlign w:val="center"/>
          </w:tcPr>
          <w:p w14:paraId="2684DC45" w14:textId="77777777" w:rsidR="00AE3383" w:rsidRDefault="00AE3383" w:rsidP="00504501">
            <w:pPr>
              <w:pStyle w:val="Tabelleneintrag"/>
              <w:spacing w:before="0"/>
              <w:rPr>
                <w:color w:val="000000"/>
              </w:rPr>
            </w:pPr>
            <w:r>
              <w:t>rs10762183</w:t>
            </w:r>
          </w:p>
        </w:tc>
        <w:tc>
          <w:tcPr>
            <w:tcW w:w="1421" w:type="dxa"/>
            <w:vAlign w:val="center"/>
          </w:tcPr>
          <w:p w14:paraId="52031A0F" w14:textId="7E317D8D" w:rsidR="00AE3383" w:rsidRDefault="00AD5F12" w:rsidP="00504501">
            <w:pPr>
              <w:pStyle w:val="Tabelleneintrag"/>
              <w:spacing w:before="0"/>
              <w:jc w:val="center"/>
              <w:rPr>
                <w:color w:val="000000"/>
              </w:rPr>
            </w:pPr>
            <w:r w:rsidRPr="00AD5F12">
              <w:rPr>
                <w:i/>
                <w:color w:val="000000"/>
              </w:rPr>
              <w:t>SIRT1</w:t>
            </w:r>
          </w:p>
        </w:tc>
        <w:tc>
          <w:tcPr>
            <w:tcW w:w="0" w:type="auto"/>
            <w:vAlign w:val="center"/>
          </w:tcPr>
          <w:p w14:paraId="5C0B86DE" w14:textId="77777777" w:rsidR="00AE3383" w:rsidRDefault="00AE3383" w:rsidP="00504501">
            <w:pPr>
              <w:pStyle w:val="Tabelleneintrag"/>
              <w:spacing w:before="0"/>
              <w:jc w:val="center"/>
              <w:rPr>
                <w:color w:val="000000"/>
              </w:rPr>
            </w:pPr>
            <w:r>
              <w:rPr>
                <w:color w:val="000000"/>
              </w:rPr>
              <w:t>0.32</w:t>
            </w:r>
          </w:p>
        </w:tc>
        <w:tc>
          <w:tcPr>
            <w:tcW w:w="0" w:type="auto"/>
            <w:vAlign w:val="center"/>
          </w:tcPr>
          <w:p w14:paraId="4141CF2F" w14:textId="77777777" w:rsidR="00AE3383" w:rsidRDefault="00AE3383" w:rsidP="00504501">
            <w:pPr>
              <w:pStyle w:val="Tabelleneintrag"/>
              <w:spacing w:before="0"/>
              <w:jc w:val="center"/>
              <w:rPr>
                <w:color w:val="000000"/>
              </w:rPr>
            </w:pPr>
            <w:r>
              <w:rPr>
                <w:color w:val="000000"/>
              </w:rPr>
              <w:t>0.30-0.34</w:t>
            </w:r>
          </w:p>
        </w:tc>
        <w:tc>
          <w:tcPr>
            <w:tcW w:w="0" w:type="auto"/>
            <w:vAlign w:val="center"/>
          </w:tcPr>
          <w:p w14:paraId="14B6246E" w14:textId="77777777" w:rsidR="00AE3383" w:rsidRDefault="00AE3383" w:rsidP="00504501">
            <w:pPr>
              <w:pStyle w:val="Tabelleneintrag"/>
              <w:spacing w:before="0"/>
              <w:jc w:val="center"/>
              <w:rPr>
                <w:color w:val="000000"/>
              </w:rPr>
            </w:pPr>
            <w:r>
              <w:rPr>
                <w:color w:val="000000"/>
              </w:rPr>
              <w:t>1.38</w:t>
            </w:r>
          </w:p>
        </w:tc>
        <w:tc>
          <w:tcPr>
            <w:tcW w:w="0" w:type="auto"/>
            <w:vAlign w:val="center"/>
          </w:tcPr>
          <w:p w14:paraId="2AA04815" w14:textId="77777777" w:rsidR="00AE3383" w:rsidRDefault="00AE3383" w:rsidP="00504501">
            <w:pPr>
              <w:pStyle w:val="Tabelleneintrag"/>
              <w:spacing w:before="0"/>
              <w:jc w:val="center"/>
              <w:rPr>
                <w:color w:val="000000"/>
              </w:rPr>
            </w:pPr>
            <w:r>
              <w:rPr>
                <w:color w:val="000000"/>
              </w:rPr>
              <w:t>1.17-1.61</w:t>
            </w:r>
          </w:p>
        </w:tc>
        <w:tc>
          <w:tcPr>
            <w:tcW w:w="0" w:type="auto"/>
            <w:vAlign w:val="center"/>
          </w:tcPr>
          <w:p w14:paraId="61FA2957" w14:textId="77777777" w:rsidR="00AE3383" w:rsidRDefault="00AE3383" w:rsidP="00504501">
            <w:pPr>
              <w:pStyle w:val="Tabelleneintrag"/>
              <w:spacing w:before="0"/>
              <w:jc w:val="center"/>
              <w:rPr>
                <w:color w:val="000000"/>
              </w:rPr>
            </w:pPr>
            <w:r>
              <w:rPr>
                <w:color w:val="000000"/>
              </w:rPr>
              <w:t>&lt;0.0001</w:t>
            </w:r>
          </w:p>
        </w:tc>
      </w:tr>
      <w:tr w:rsidR="00AE3383" w14:paraId="04341871"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01C9795D" w14:textId="77777777" w:rsidR="00AE3383" w:rsidRDefault="00AE3383" w:rsidP="00504501">
            <w:pPr>
              <w:pStyle w:val="Tabelleneintrag"/>
              <w:spacing w:before="0"/>
              <w:rPr>
                <w:color w:val="000000"/>
              </w:rPr>
            </w:pPr>
            <w:r>
              <w:t>rs7129281</w:t>
            </w:r>
          </w:p>
        </w:tc>
        <w:tc>
          <w:tcPr>
            <w:tcW w:w="1421" w:type="dxa"/>
            <w:vAlign w:val="center"/>
          </w:tcPr>
          <w:p w14:paraId="29419604" w14:textId="4BAA7F69" w:rsidR="00AE3383" w:rsidRDefault="00AD5F12" w:rsidP="00504501">
            <w:pPr>
              <w:pStyle w:val="Tabelleneintrag"/>
              <w:spacing w:before="0"/>
              <w:jc w:val="center"/>
              <w:rPr>
                <w:color w:val="000000"/>
              </w:rPr>
            </w:pPr>
            <w:r w:rsidRPr="00AD5F12">
              <w:rPr>
                <w:i/>
                <w:color w:val="000000"/>
              </w:rPr>
              <w:t>NAV2</w:t>
            </w:r>
          </w:p>
        </w:tc>
        <w:tc>
          <w:tcPr>
            <w:tcW w:w="0" w:type="auto"/>
            <w:vAlign w:val="center"/>
          </w:tcPr>
          <w:p w14:paraId="5424D7E5" w14:textId="77777777" w:rsidR="00AE3383" w:rsidRDefault="00AE3383" w:rsidP="00504501">
            <w:pPr>
              <w:pStyle w:val="Tabelleneintrag"/>
              <w:spacing w:before="0"/>
              <w:jc w:val="center"/>
              <w:rPr>
                <w:color w:val="000000"/>
              </w:rPr>
            </w:pPr>
            <w:r>
              <w:rPr>
                <w:color w:val="000000"/>
              </w:rPr>
              <w:t>0.27</w:t>
            </w:r>
          </w:p>
        </w:tc>
        <w:tc>
          <w:tcPr>
            <w:tcW w:w="0" w:type="auto"/>
            <w:vAlign w:val="center"/>
          </w:tcPr>
          <w:p w14:paraId="247B3EC4" w14:textId="77777777" w:rsidR="00AE3383" w:rsidRDefault="00AE3383" w:rsidP="00504501">
            <w:pPr>
              <w:pStyle w:val="Tabelleneintrag"/>
              <w:spacing w:before="0"/>
              <w:jc w:val="center"/>
              <w:rPr>
                <w:color w:val="000000"/>
              </w:rPr>
            </w:pPr>
            <w:r>
              <w:rPr>
                <w:color w:val="000000"/>
              </w:rPr>
              <w:t>0.25-0.29</w:t>
            </w:r>
          </w:p>
        </w:tc>
        <w:tc>
          <w:tcPr>
            <w:tcW w:w="0" w:type="auto"/>
            <w:vAlign w:val="center"/>
          </w:tcPr>
          <w:p w14:paraId="27239F20" w14:textId="77777777" w:rsidR="00AE3383" w:rsidRDefault="00AE3383" w:rsidP="00504501">
            <w:pPr>
              <w:pStyle w:val="Tabelleneintrag"/>
              <w:spacing w:before="0"/>
              <w:jc w:val="center"/>
              <w:rPr>
                <w:color w:val="000000"/>
              </w:rPr>
            </w:pPr>
            <w:r>
              <w:rPr>
                <w:color w:val="000000"/>
              </w:rPr>
              <w:t>0.95</w:t>
            </w:r>
          </w:p>
        </w:tc>
        <w:tc>
          <w:tcPr>
            <w:tcW w:w="0" w:type="auto"/>
            <w:vAlign w:val="center"/>
          </w:tcPr>
          <w:p w14:paraId="1C9C51C3" w14:textId="77777777" w:rsidR="00AE3383" w:rsidRDefault="00AE3383" w:rsidP="00504501">
            <w:pPr>
              <w:pStyle w:val="Tabelleneintrag"/>
              <w:spacing w:before="0"/>
              <w:jc w:val="center"/>
              <w:rPr>
                <w:color w:val="000000"/>
              </w:rPr>
            </w:pPr>
            <w:r>
              <w:rPr>
                <w:color w:val="000000"/>
              </w:rPr>
              <w:t>0.74-1.13</w:t>
            </w:r>
          </w:p>
        </w:tc>
        <w:tc>
          <w:tcPr>
            <w:tcW w:w="0" w:type="auto"/>
            <w:vAlign w:val="center"/>
          </w:tcPr>
          <w:p w14:paraId="33F97617" w14:textId="77777777" w:rsidR="00AE3383" w:rsidRDefault="00AE3383" w:rsidP="00504501">
            <w:pPr>
              <w:pStyle w:val="Tabelleneintrag"/>
              <w:spacing w:before="0"/>
              <w:jc w:val="center"/>
              <w:rPr>
                <w:color w:val="000000"/>
              </w:rPr>
            </w:pPr>
            <w:r>
              <w:rPr>
                <w:color w:val="000000"/>
              </w:rPr>
              <w:t>0.549</w:t>
            </w:r>
          </w:p>
        </w:tc>
      </w:tr>
      <w:tr w:rsidR="00AE3383" w14:paraId="301B29AD" w14:textId="77777777" w:rsidTr="00504501">
        <w:trPr>
          <w:trHeight w:val="227"/>
          <w:jc w:val="center"/>
        </w:trPr>
        <w:tc>
          <w:tcPr>
            <w:tcW w:w="0" w:type="auto"/>
            <w:vAlign w:val="center"/>
          </w:tcPr>
          <w:p w14:paraId="5D9A507C" w14:textId="77777777" w:rsidR="00AE3383" w:rsidRDefault="00AE3383" w:rsidP="00504501">
            <w:pPr>
              <w:pStyle w:val="Tabelleneintrag"/>
              <w:spacing w:before="0"/>
              <w:rPr>
                <w:color w:val="000000"/>
              </w:rPr>
            </w:pPr>
            <w:r>
              <w:t>rs11025138</w:t>
            </w:r>
          </w:p>
        </w:tc>
        <w:tc>
          <w:tcPr>
            <w:tcW w:w="1421" w:type="dxa"/>
            <w:vAlign w:val="center"/>
          </w:tcPr>
          <w:p w14:paraId="040E900C" w14:textId="66E6BC47" w:rsidR="00AE3383" w:rsidRDefault="00AD5F12" w:rsidP="00504501">
            <w:pPr>
              <w:pStyle w:val="Tabelleneintrag"/>
              <w:spacing w:before="0"/>
              <w:jc w:val="center"/>
              <w:rPr>
                <w:color w:val="000000"/>
              </w:rPr>
            </w:pPr>
            <w:r w:rsidRPr="00AD5F12">
              <w:rPr>
                <w:i/>
                <w:color w:val="000000"/>
              </w:rPr>
              <w:t>NAV2</w:t>
            </w:r>
          </w:p>
        </w:tc>
        <w:tc>
          <w:tcPr>
            <w:tcW w:w="0" w:type="auto"/>
            <w:vAlign w:val="center"/>
          </w:tcPr>
          <w:p w14:paraId="3DB8DE86" w14:textId="77777777" w:rsidR="00AE3383" w:rsidRDefault="00AE3383" w:rsidP="00504501">
            <w:pPr>
              <w:pStyle w:val="Tabelleneintrag"/>
              <w:spacing w:before="0"/>
              <w:jc w:val="center"/>
              <w:rPr>
                <w:color w:val="000000"/>
              </w:rPr>
            </w:pPr>
            <w:r>
              <w:rPr>
                <w:color w:val="000000"/>
              </w:rPr>
              <w:t>0.30</w:t>
            </w:r>
          </w:p>
        </w:tc>
        <w:tc>
          <w:tcPr>
            <w:tcW w:w="0" w:type="auto"/>
            <w:vAlign w:val="center"/>
          </w:tcPr>
          <w:p w14:paraId="783D7D10" w14:textId="77777777" w:rsidR="00AE3383" w:rsidRDefault="00AE3383" w:rsidP="00504501">
            <w:pPr>
              <w:pStyle w:val="Tabelleneintrag"/>
              <w:spacing w:before="0"/>
              <w:jc w:val="center"/>
              <w:rPr>
                <w:color w:val="000000"/>
              </w:rPr>
            </w:pPr>
            <w:r>
              <w:rPr>
                <w:color w:val="000000"/>
              </w:rPr>
              <w:t>0.28-0.32</w:t>
            </w:r>
          </w:p>
        </w:tc>
        <w:tc>
          <w:tcPr>
            <w:tcW w:w="0" w:type="auto"/>
            <w:vAlign w:val="center"/>
          </w:tcPr>
          <w:p w14:paraId="69F3CC77" w14:textId="77777777" w:rsidR="00AE3383" w:rsidRDefault="00AE3383" w:rsidP="00504501">
            <w:pPr>
              <w:pStyle w:val="Tabelleneintrag"/>
              <w:spacing w:before="0"/>
              <w:jc w:val="center"/>
              <w:rPr>
                <w:color w:val="000000"/>
              </w:rPr>
            </w:pPr>
            <w:r>
              <w:rPr>
                <w:color w:val="000000"/>
              </w:rPr>
              <w:t>0.92</w:t>
            </w:r>
          </w:p>
        </w:tc>
        <w:tc>
          <w:tcPr>
            <w:tcW w:w="0" w:type="auto"/>
            <w:vAlign w:val="center"/>
          </w:tcPr>
          <w:p w14:paraId="48F7E299" w14:textId="77777777" w:rsidR="00AE3383" w:rsidRDefault="00AE3383" w:rsidP="00504501">
            <w:pPr>
              <w:pStyle w:val="Tabelleneintrag"/>
              <w:spacing w:before="0"/>
              <w:jc w:val="center"/>
              <w:rPr>
                <w:color w:val="000000"/>
              </w:rPr>
            </w:pPr>
            <w:r>
              <w:rPr>
                <w:color w:val="000000"/>
              </w:rPr>
              <w:t>0.75-1.07</w:t>
            </w:r>
          </w:p>
        </w:tc>
        <w:tc>
          <w:tcPr>
            <w:tcW w:w="0" w:type="auto"/>
            <w:vAlign w:val="center"/>
          </w:tcPr>
          <w:p w14:paraId="68BCDA9A" w14:textId="77777777" w:rsidR="00AE3383" w:rsidRDefault="00AE3383" w:rsidP="00504501">
            <w:pPr>
              <w:pStyle w:val="Tabelleneintrag"/>
              <w:spacing w:before="0"/>
              <w:jc w:val="center"/>
              <w:rPr>
                <w:color w:val="000000"/>
              </w:rPr>
            </w:pPr>
            <w:r>
              <w:rPr>
                <w:color w:val="000000"/>
              </w:rPr>
              <w:t>0.3479</w:t>
            </w:r>
          </w:p>
        </w:tc>
      </w:tr>
      <w:tr w:rsidR="00AE3383" w14:paraId="623FAAED"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1D1AA29F" w14:textId="77777777" w:rsidR="00AE3383" w:rsidRDefault="00AE3383" w:rsidP="00504501">
            <w:pPr>
              <w:pStyle w:val="Tabelleneintrag"/>
              <w:spacing w:before="0"/>
              <w:rPr>
                <w:color w:val="000000"/>
              </w:rPr>
            </w:pPr>
            <w:r>
              <w:t>rs4756999</w:t>
            </w:r>
          </w:p>
        </w:tc>
        <w:tc>
          <w:tcPr>
            <w:tcW w:w="1421" w:type="dxa"/>
            <w:vAlign w:val="center"/>
          </w:tcPr>
          <w:p w14:paraId="21DD8043" w14:textId="3CD1E787" w:rsidR="00AE3383" w:rsidRDefault="00AD5F12" w:rsidP="00504501">
            <w:pPr>
              <w:pStyle w:val="Tabelleneintrag"/>
              <w:spacing w:before="0"/>
              <w:jc w:val="center"/>
              <w:rPr>
                <w:color w:val="000000"/>
              </w:rPr>
            </w:pPr>
            <w:r w:rsidRPr="00AD5F12">
              <w:rPr>
                <w:i/>
                <w:color w:val="000000"/>
              </w:rPr>
              <w:t>NAV2</w:t>
            </w:r>
          </w:p>
        </w:tc>
        <w:tc>
          <w:tcPr>
            <w:tcW w:w="0" w:type="auto"/>
            <w:vAlign w:val="center"/>
          </w:tcPr>
          <w:p w14:paraId="498E3D4A" w14:textId="77777777" w:rsidR="00AE3383" w:rsidRDefault="00AE3383" w:rsidP="00504501">
            <w:pPr>
              <w:pStyle w:val="Tabelleneintrag"/>
              <w:spacing w:before="0"/>
              <w:jc w:val="center"/>
              <w:rPr>
                <w:color w:val="000000"/>
              </w:rPr>
            </w:pPr>
            <w:r>
              <w:rPr>
                <w:color w:val="000000"/>
              </w:rPr>
              <w:t>0.34</w:t>
            </w:r>
          </w:p>
        </w:tc>
        <w:tc>
          <w:tcPr>
            <w:tcW w:w="0" w:type="auto"/>
            <w:vAlign w:val="center"/>
          </w:tcPr>
          <w:p w14:paraId="70D22D80" w14:textId="77777777" w:rsidR="00AE3383" w:rsidRDefault="00AE3383" w:rsidP="00504501">
            <w:pPr>
              <w:pStyle w:val="Tabelleneintrag"/>
              <w:spacing w:before="0"/>
              <w:jc w:val="center"/>
              <w:rPr>
                <w:color w:val="000000"/>
              </w:rPr>
            </w:pPr>
            <w:r>
              <w:rPr>
                <w:color w:val="000000"/>
              </w:rPr>
              <w:t>0.31-0.36</w:t>
            </w:r>
          </w:p>
        </w:tc>
        <w:tc>
          <w:tcPr>
            <w:tcW w:w="0" w:type="auto"/>
            <w:vAlign w:val="center"/>
          </w:tcPr>
          <w:p w14:paraId="4A287DBD" w14:textId="77777777" w:rsidR="00AE3383" w:rsidRDefault="00AE3383" w:rsidP="00504501">
            <w:pPr>
              <w:pStyle w:val="Tabelleneintrag"/>
              <w:spacing w:before="0"/>
              <w:jc w:val="center"/>
              <w:rPr>
                <w:color w:val="000000"/>
              </w:rPr>
            </w:pPr>
            <w:r>
              <w:rPr>
                <w:color w:val="000000"/>
              </w:rPr>
              <w:t>1.30</w:t>
            </w:r>
          </w:p>
        </w:tc>
        <w:tc>
          <w:tcPr>
            <w:tcW w:w="0" w:type="auto"/>
            <w:vAlign w:val="center"/>
          </w:tcPr>
          <w:p w14:paraId="0E6C876A" w14:textId="77777777" w:rsidR="00AE3383" w:rsidRDefault="00AE3383" w:rsidP="00504501">
            <w:pPr>
              <w:pStyle w:val="Tabelleneintrag"/>
              <w:spacing w:before="0"/>
              <w:jc w:val="center"/>
              <w:rPr>
                <w:color w:val="000000"/>
              </w:rPr>
            </w:pPr>
            <w:r>
              <w:rPr>
                <w:color w:val="000000"/>
              </w:rPr>
              <w:t>1.05-1.52</w:t>
            </w:r>
          </w:p>
        </w:tc>
        <w:tc>
          <w:tcPr>
            <w:tcW w:w="0" w:type="auto"/>
            <w:vAlign w:val="center"/>
          </w:tcPr>
          <w:p w14:paraId="7493B97B" w14:textId="77777777" w:rsidR="00AE3383" w:rsidRDefault="00AE3383" w:rsidP="00504501">
            <w:pPr>
              <w:pStyle w:val="Tabelleneintrag"/>
              <w:spacing w:before="0"/>
              <w:jc w:val="center"/>
              <w:rPr>
                <w:color w:val="000000"/>
              </w:rPr>
            </w:pPr>
            <w:r>
              <w:rPr>
                <w:color w:val="000000"/>
              </w:rPr>
              <w:t>0.0056</w:t>
            </w:r>
          </w:p>
        </w:tc>
      </w:tr>
      <w:tr w:rsidR="00AE3383" w14:paraId="1E6F6C2F" w14:textId="77777777" w:rsidTr="00504501">
        <w:trPr>
          <w:trHeight w:val="227"/>
          <w:jc w:val="center"/>
        </w:trPr>
        <w:tc>
          <w:tcPr>
            <w:tcW w:w="0" w:type="auto"/>
            <w:vAlign w:val="center"/>
          </w:tcPr>
          <w:p w14:paraId="3F8D410E" w14:textId="77777777" w:rsidR="00AE3383" w:rsidRDefault="00AE3383" w:rsidP="00504501">
            <w:pPr>
              <w:pStyle w:val="Tabelleneintrag"/>
              <w:spacing w:before="0"/>
              <w:rPr>
                <w:color w:val="000000"/>
              </w:rPr>
            </w:pPr>
            <w:r>
              <w:t>rs7137426</w:t>
            </w:r>
          </w:p>
        </w:tc>
        <w:tc>
          <w:tcPr>
            <w:tcW w:w="1421" w:type="dxa"/>
            <w:vAlign w:val="center"/>
          </w:tcPr>
          <w:p w14:paraId="290592B3" w14:textId="5BAC09EC" w:rsidR="00AE3383" w:rsidRDefault="004037C3" w:rsidP="00504501">
            <w:pPr>
              <w:pStyle w:val="Tabelleneintrag"/>
              <w:spacing w:before="0"/>
              <w:jc w:val="center"/>
              <w:rPr>
                <w:color w:val="000000"/>
              </w:rPr>
            </w:pPr>
            <w:r w:rsidRPr="004037C3">
              <w:rPr>
                <w:i/>
                <w:color w:val="000000"/>
              </w:rPr>
              <w:t>CD163L1</w:t>
            </w:r>
          </w:p>
        </w:tc>
        <w:tc>
          <w:tcPr>
            <w:tcW w:w="0" w:type="auto"/>
            <w:vAlign w:val="center"/>
          </w:tcPr>
          <w:p w14:paraId="55D9A3FC" w14:textId="77777777" w:rsidR="00AE3383" w:rsidRDefault="00AE3383" w:rsidP="00504501">
            <w:pPr>
              <w:pStyle w:val="Tabelleneintrag"/>
              <w:spacing w:before="0"/>
              <w:jc w:val="center"/>
              <w:rPr>
                <w:color w:val="000000"/>
              </w:rPr>
            </w:pPr>
            <w:r>
              <w:rPr>
                <w:color w:val="000000"/>
              </w:rPr>
              <w:t>0.37</w:t>
            </w:r>
          </w:p>
        </w:tc>
        <w:tc>
          <w:tcPr>
            <w:tcW w:w="0" w:type="auto"/>
            <w:vAlign w:val="center"/>
          </w:tcPr>
          <w:p w14:paraId="1974D4EA" w14:textId="77777777" w:rsidR="00AE3383" w:rsidRDefault="00AE3383" w:rsidP="00504501">
            <w:pPr>
              <w:pStyle w:val="Tabelleneintrag"/>
              <w:spacing w:before="0"/>
              <w:jc w:val="center"/>
              <w:rPr>
                <w:color w:val="000000"/>
              </w:rPr>
            </w:pPr>
            <w:r>
              <w:rPr>
                <w:color w:val="000000"/>
              </w:rPr>
              <w:t>0.35-0.39</w:t>
            </w:r>
          </w:p>
        </w:tc>
        <w:tc>
          <w:tcPr>
            <w:tcW w:w="0" w:type="auto"/>
            <w:vAlign w:val="center"/>
          </w:tcPr>
          <w:p w14:paraId="3218CABC" w14:textId="77777777" w:rsidR="00AE3383" w:rsidRDefault="00AE3383" w:rsidP="00504501">
            <w:pPr>
              <w:pStyle w:val="Tabelleneintrag"/>
              <w:spacing w:before="0"/>
              <w:jc w:val="center"/>
              <w:rPr>
                <w:color w:val="000000"/>
              </w:rPr>
            </w:pPr>
            <w:r>
              <w:rPr>
                <w:color w:val="000000"/>
              </w:rPr>
              <w:t>1.01</w:t>
            </w:r>
          </w:p>
        </w:tc>
        <w:tc>
          <w:tcPr>
            <w:tcW w:w="0" w:type="auto"/>
            <w:vAlign w:val="center"/>
          </w:tcPr>
          <w:p w14:paraId="7C264AD6" w14:textId="77777777" w:rsidR="00AE3383" w:rsidRDefault="00AE3383" w:rsidP="00504501">
            <w:pPr>
              <w:pStyle w:val="Tabelleneintrag"/>
              <w:spacing w:before="0"/>
              <w:jc w:val="center"/>
              <w:rPr>
                <w:color w:val="000000"/>
              </w:rPr>
            </w:pPr>
            <w:r>
              <w:rPr>
                <w:color w:val="000000"/>
              </w:rPr>
              <w:t>0.86-1.15</w:t>
            </w:r>
          </w:p>
        </w:tc>
        <w:tc>
          <w:tcPr>
            <w:tcW w:w="0" w:type="auto"/>
            <w:vAlign w:val="center"/>
          </w:tcPr>
          <w:p w14:paraId="6411EAF4" w14:textId="77777777" w:rsidR="00AE3383" w:rsidRDefault="00AE3383" w:rsidP="00504501">
            <w:pPr>
              <w:pStyle w:val="Tabelleneintrag"/>
              <w:spacing w:before="0"/>
              <w:jc w:val="center"/>
              <w:rPr>
                <w:color w:val="000000"/>
              </w:rPr>
            </w:pPr>
            <w:r>
              <w:rPr>
                <w:color w:val="000000"/>
              </w:rPr>
              <w:t>0.9482</w:t>
            </w:r>
          </w:p>
        </w:tc>
      </w:tr>
      <w:tr w:rsidR="00AE3383" w14:paraId="4FF52E96"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3395FCE0" w14:textId="77777777" w:rsidR="00AE3383" w:rsidRDefault="00AE3383" w:rsidP="00504501">
            <w:pPr>
              <w:pStyle w:val="Tabelleneintrag"/>
              <w:spacing w:before="0"/>
              <w:rPr>
                <w:color w:val="000000"/>
              </w:rPr>
            </w:pPr>
            <w:r>
              <w:t>rs7970379</w:t>
            </w:r>
          </w:p>
        </w:tc>
        <w:tc>
          <w:tcPr>
            <w:tcW w:w="1421" w:type="dxa"/>
            <w:vAlign w:val="center"/>
          </w:tcPr>
          <w:p w14:paraId="1C12E0E3" w14:textId="72058171" w:rsidR="00AE3383" w:rsidRDefault="004037C3" w:rsidP="00504501">
            <w:pPr>
              <w:pStyle w:val="Tabelleneintrag"/>
              <w:spacing w:before="0"/>
              <w:jc w:val="center"/>
              <w:rPr>
                <w:color w:val="000000"/>
              </w:rPr>
            </w:pPr>
            <w:r w:rsidRPr="004037C3">
              <w:rPr>
                <w:i/>
                <w:color w:val="000000"/>
              </w:rPr>
              <w:t>CD163L1</w:t>
            </w:r>
          </w:p>
        </w:tc>
        <w:tc>
          <w:tcPr>
            <w:tcW w:w="0" w:type="auto"/>
            <w:vAlign w:val="center"/>
          </w:tcPr>
          <w:p w14:paraId="1B4A3132" w14:textId="77777777" w:rsidR="00AE3383" w:rsidRDefault="00AE3383" w:rsidP="00504501">
            <w:pPr>
              <w:pStyle w:val="Tabelleneintrag"/>
              <w:spacing w:before="0"/>
              <w:jc w:val="center"/>
              <w:rPr>
                <w:color w:val="000000"/>
              </w:rPr>
            </w:pPr>
            <w:r>
              <w:rPr>
                <w:color w:val="000000"/>
              </w:rPr>
              <w:t>0.05</w:t>
            </w:r>
          </w:p>
        </w:tc>
        <w:tc>
          <w:tcPr>
            <w:tcW w:w="0" w:type="auto"/>
            <w:vAlign w:val="center"/>
          </w:tcPr>
          <w:p w14:paraId="084DFEA5" w14:textId="77777777" w:rsidR="00AE3383" w:rsidRDefault="00AE3383" w:rsidP="00504501">
            <w:pPr>
              <w:pStyle w:val="Tabelleneintrag"/>
              <w:spacing w:before="0"/>
              <w:jc w:val="center"/>
              <w:rPr>
                <w:color w:val="000000"/>
              </w:rPr>
            </w:pPr>
            <w:r>
              <w:rPr>
                <w:color w:val="000000"/>
              </w:rPr>
              <w:t>0.04-0.06</w:t>
            </w:r>
          </w:p>
        </w:tc>
        <w:tc>
          <w:tcPr>
            <w:tcW w:w="0" w:type="auto"/>
            <w:vAlign w:val="center"/>
          </w:tcPr>
          <w:p w14:paraId="332EAB40" w14:textId="77777777" w:rsidR="00AE3383" w:rsidRDefault="00AE3383" w:rsidP="00504501">
            <w:pPr>
              <w:pStyle w:val="Tabelleneintrag"/>
              <w:spacing w:before="0"/>
              <w:jc w:val="center"/>
              <w:rPr>
                <w:color w:val="000000"/>
              </w:rPr>
            </w:pPr>
            <w:r>
              <w:rPr>
                <w:color w:val="000000"/>
              </w:rPr>
              <w:t>0.89</w:t>
            </w:r>
          </w:p>
        </w:tc>
        <w:tc>
          <w:tcPr>
            <w:tcW w:w="0" w:type="auto"/>
            <w:vAlign w:val="center"/>
          </w:tcPr>
          <w:p w14:paraId="206C8FA4" w14:textId="77777777" w:rsidR="00AE3383" w:rsidRDefault="00AE3383" w:rsidP="00504501">
            <w:pPr>
              <w:pStyle w:val="Tabelleneintrag"/>
              <w:spacing w:before="0"/>
              <w:jc w:val="center"/>
              <w:rPr>
                <w:color w:val="000000"/>
              </w:rPr>
            </w:pPr>
            <w:r>
              <w:rPr>
                <w:color w:val="000000"/>
              </w:rPr>
              <w:t>0.58-1.26</w:t>
            </w:r>
          </w:p>
        </w:tc>
        <w:tc>
          <w:tcPr>
            <w:tcW w:w="0" w:type="auto"/>
            <w:vAlign w:val="center"/>
          </w:tcPr>
          <w:p w14:paraId="7FCF54CD" w14:textId="77777777" w:rsidR="00AE3383" w:rsidRDefault="00AE3383" w:rsidP="00504501">
            <w:pPr>
              <w:pStyle w:val="Tabelleneintrag"/>
              <w:spacing w:before="0"/>
              <w:jc w:val="center"/>
              <w:rPr>
                <w:color w:val="000000"/>
              </w:rPr>
            </w:pPr>
            <w:r>
              <w:rPr>
                <w:color w:val="000000"/>
              </w:rPr>
              <w:t>0.502</w:t>
            </w:r>
          </w:p>
        </w:tc>
      </w:tr>
      <w:tr w:rsidR="00AE3383" w14:paraId="1473E728" w14:textId="77777777" w:rsidTr="00504501">
        <w:trPr>
          <w:trHeight w:val="227"/>
          <w:jc w:val="center"/>
        </w:trPr>
        <w:tc>
          <w:tcPr>
            <w:tcW w:w="0" w:type="auto"/>
            <w:vAlign w:val="center"/>
          </w:tcPr>
          <w:p w14:paraId="0C0922E9" w14:textId="77777777" w:rsidR="00AE3383" w:rsidRDefault="00AE3383" w:rsidP="00504501">
            <w:pPr>
              <w:pStyle w:val="Tabelleneintrag"/>
              <w:spacing w:before="0"/>
              <w:rPr>
                <w:color w:val="000000"/>
              </w:rPr>
            </w:pPr>
            <w:r>
              <w:t>rs7302538</w:t>
            </w:r>
          </w:p>
        </w:tc>
        <w:tc>
          <w:tcPr>
            <w:tcW w:w="1421" w:type="dxa"/>
            <w:vAlign w:val="center"/>
          </w:tcPr>
          <w:p w14:paraId="558D0622" w14:textId="5843BCAB" w:rsidR="00AE3383" w:rsidRDefault="004037C3" w:rsidP="00504501">
            <w:pPr>
              <w:pStyle w:val="Tabelleneintrag"/>
              <w:spacing w:before="0"/>
              <w:jc w:val="center"/>
              <w:rPr>
                <w:color w:val="000000"/>
              </w:rPr>
            </w:pPr>
            <w:r w:rsidRPr="004037C3">
              <w:rPr>
                <w:i/>
                <w:color w:val="000000"/>
              </w:rPr>
              <w:t>CD163L1</w:t>
            </w:r>
            <w:r w:rsidR="00AE3383">
              <w:rPr>
                <w:color w:val="000000"/>
              </w:rPr>
              <w:t>/ACSM4</w:t>
            </w:r>
          </w:p>
        </w:tc>
        <w:tc>
          <w:tcPr>
            <w:tcW w:w="0" w:type="auto"/>
            <w:vAlign w:val="center"/>
          </w:tcPr>
          <w:p w14:paraId="1E3116C1" w14:textId="77777777" w:rsidR="00AE3383" w:rsidRDefault="00AE3383" w:rsidP="00504501">
            <w:pPr>
              <w:pStyle w:val="Tabelleneintrag"/>
              <w:spacing w:before="0"/>
              <w:jc w:val="center"/>
              <w:rPr>
                <w:color w:val="000000"/>
              </w:rPr>
            </w:pPr>
            <w:r>
              <w:rPr>
                <w:color w:val="000000"/>
              </w:rPr>
              <w:t>0.06</w:t>
            </w:r>
          </w:p>
        </w:tc>
        <w:tc>
          <w:tcPr>
            <w:tcW w:w="0" w:type="auto"/>
            <w:vAlign w:val="center"/>
          </w:tcPr>
          <w:p w14:paraId="5C4299C4" w14:textId="77777777" w:rsidR="00AE3383" w:rsidRDefault="00AE3383" w:rsidP="00504501">
            <w:pPr>
              <w:pStyle w:val="Tabelleneintrag"/>
              <w:spacing w:before="0"/>
              <w:jc w:val="center"/>
              <w:rPr>
                <w:color w:val="000000"/>
              </w:rPr>
            </w:pPr>
            <w:r>
              <w:rPr>
                <w:color w:val="000000"/>
              </w:rPr>
              <w:t>0.04-0.07</w:t>
            </w:r>
          </w:p>
        </w:tc>
        <w:tc>
          <w:tcPr>
            <w:tcW w:w="0" w:type="auto"/>
            <w:vAlign w:val="center"/>
          </w:tcPr>
          <w:p w14:paraId="0211E221" w14:textId="77777777" w:rsidR="00AE3383" w:rsidRDefault="00AE3383" w:rsidP="00504501">
            <w:pPr>
              <w:pStyle w:val="Tabelleneintrag"/>
              <w:spacing w:before="0"/>
              <w:jc w:val="center"/>
              <w:rPr>
                <w:color w:val="000000"/>
              </w:rPr>
            </w:pPr>
            <w:r>
              <w:rPr>
                <w:color w:val="000000"/>
              </w:rPr>
              <w:t>1.18</w:t>
            </w:r>
          </w:p>
        </w:tc>
        <w:tc>
          <w:tcPr>
            <w:tcW w:w="0" w:type="auto"/>
            <w:vAlign w:val="center"/>
          </w:tcPr>
          <w:p w14:paraId="031CAB03" w14:textId="77777777" w:rsidR="00AE3383" w:rsidRDefault="00AE3383" w:rsidP="00504501">
            <w:pPr>
              <w:pStyle w:val="Tabelleneintrag"/>
              <w:spacing w:before="0"/>
              <w:jc w:val="center"/>
              <w:rPr>
                <w:color w:val="000000"/>
              </w:rPr>
            </w:pPr>
            <w:r>
              <w:rPr>
                <w:color w:val="000000"/>
              </w:rPr>
              <w:t>0.86-1.65</w:t>
            </w:r>
          </w:p>
        </w:tc>
        <w:tc>
          <w:tcPr>
            <w:tcW w:w="0" w:type="auto"/>
            <w:vAlign w:val="center"/>
          </w:tcPr>
          <w:p w14:paraId="7DD94D35" w14:textId="77777777" w:rsidR="00AE3383" w:rsidRDefault="00AE3383" w:rsidP="00504501">
            <w:pPr>
              <w:pStyle w:val="Tabelleneintrag"/>
              <w:spacing w:before="0"/>
              <w:jc w:val="center"/>
              <w:rPr>
                <w:color w:val="000000"/>
              </w:rPr>
            </w:pPr>
            <w:r>
              <w:rPr>
                <w:color w:val="000000"/>
              </w:rPr>
              <w:t>0.517</w:t>
            </w:r>
          </w:p>
        </w:tc>
      </w:tr>
      <w:tr w:rsidR="00AE3383" w14:paraId="4836C8EE"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3D77B3EF" w14:textId="77777777" w:rsidR="00AE3383" w:rsidRDefault="00AE3383" w:rsidP="00504501">
            <w:pPr>
              <w:pStyle w:val="Tabelleneintrag"/>
              <w:spacing w:before="0"/>
              <w:rPr>
                <w:color w:val="000000"/>
              </w:rPr>
            </w:pPr>
            <w:r>
              <w:t>rs1353793</w:t>
            </w:r>
          </w:p>
        </w:tc>
        <w:tc>
          <w:tcPr>
            <w:tcW w:w="1421" w:type="dxa"/>
            <w:vAlign w:val="center"/>
          </w:tcPr>
          <w:p w14:paraId="343EBFD3" w14:textId="39A9C643" w:rsidR="00AE3383" w:rsidRDefault="00AD5F12" w:rsidP="00504501">
            <w:pPr>
              <w:pStyle w:val="Tabelleneintrag"/>
              <w:spacing w:before="0"/>
              <w:jc w:val="center"/>
              <w:rPr>
                <w:color w:val="000000"/>
              </w:rPr>
            </w:pPr>
            <w:r w:rsidRPr="00AD5F12">
              <w:rPr>
                <w:i/>
                <w:color w:val="000000"/>
              </w:rPr>
              <w:t>SOX5</w:t>
            </w:r>
          </w:p>
        </w:tc>
        <w:tc>
          <w:tcPr>
            <w:tcW w:w="0" w:type="auto"/>
            <w:vAlign w:val="center"/>
          </w:tcPr>
          <w:p w14:paraId="6651DFFC" w14:textId="77777777" w:rsidR="00AE3383" w:rsidRDefault="00AE3383" w:rsidP="00504501">
            <w:pPr>
              <w:pStyle w:val="Tabelleneintrag"/>
              <w:spacing w:before="0"/>
              <w:jc w:val="center"/>
              <w:rPr>
                <w:color w:val="000000"/>
              </w:rPr>
            </w:pPr>
            <w:r>
              <w:rPr>
                <w:color w:val="000000"/>
              </w:rPr>
              <w:t>0.45</w:t>
            </w:r>
          </w:p>
        </w:tc>
        <w:tc>
          <w:tcPr>
            <w:tcW w:w="0" w:type="auto"/>
            <w:vAlign w:val="center"/>
          </w:tcPr>
          <w:p w14:paraId="6E0ABAAF" w14:textId="77777777" w:rsidR="00AE3383" w:rsidRDefault="00AE3383" w:rsidP="00504501">
            <w:pPr>
              <w:pStyle w:val="Tabelleneintrag"/>
              <w:spacing w:before="0"/>
              <w:jc w:val="center"/>
              <w:rPr>
                <w:color w:val="000000"/>
              </w:rPr>
            </w:pPr>
            <w:r>
              <w:rPr>
                <w:color w:val="000000"/>
              </w:rPr>
              <w:t>0.43-0.47</w:t>
            </w:r>
          </w:p>
        </w:tc>
        <w:tc>
          <w:tcPr>
            <w:tcW w:w="0" w:type="auto"/>
            <w:vAlign w:val="center"/>
          </w:tcPr>
          <w:p w14:paraId="2CA8BA3F" w14:textId="77777777" w:rsidR="00AE3383" w:rsidRDefault="00AE3383" w:rsidP="00504501">
            <w:pPr>
              <w:pStyle w:val="Tabelleneintrag"/>
              <w:spacing w:before="0"/>
              <w:jc w:val="center"/>
              <w:rPr>
                <w:color w:val="000000"/>
              </w:rPr>
            </w:pPr>
            <w:r>
              <w:rPr>
                <w:color w:val="000000"/>
              </w:rPr>
              <w:t>1.34</w:t>
            </w:r>
          </w:p>
        </w:tc>
        <w:tc>
          <w:tcPr>
            <w:tcW w:w="0" w:type="auto"/>
            <w:vAlign w:val="center"/>
          </w:tcPr>
          <w:p w14:paraId="5FFDC14D" w14:textId="77777777" w:rsidR="00AE3383" w:rsidRDefault="00AE3383" w:rsidP="00504501">
            <w:pPr>
              <w:pStyle w:val="Tabelleneintrag"/>
              <w:spacing w:before="0"/>
              <w:jc w:val="center"/>
              <w:rPr>
                <w:color w:val="000000"/>
              </w:rPr>
            </w:pPr>
            <w:r>
              <w:rPr>
                <w:color w:val="000000"/>
              </w:rPr>
              <w:t>1.14-1.54</w:t>
            </w:r>
          </w:p>
        </w:tc>
        <w:tc>
          <w:tcPr>
            <w:tcW w:w="0" w:type="auto"/>
            <w:vAlign w:val="center"/>
          </w:tcPr>
          <w:p w14:paraId="24ED8C94" w14:textId="77777777" w:rsidR="00AE3383" w:rsidRDefault="00AE3383" w:rsidP="00504501">
            <w:pPr>
              <w:pStyle w:val="Tabelleneintrag"/>
              <w:spacing w:before="0"/>
              <w:jc w:val="center"/>
              <w:rPr>
                <w:color w:val="000000"/>
              </w:rPr>
            </w:pPr>
            <w:r>
              <w:rPr>
                <w:color w:val="000000"/>
              </w:rPr>
              <w:t>&lt;0.0001</w:t>
            </w:r>
          </w:p>
        </w:tc>
      </w:tr>
      <w:tr w:rsidR="00AE3383" w14:paraId="75B463DB" w14:textId="77777777" w:rsidTr="00504501">
        <w:trPr>
          <w:trHeight w:val="227"/>
          <w:jc w:val="center"/>
        </w:trPr>
        <w:tc>
          <w:tcPr>
            <w:tcW w:w="0" w:type="auto"/>
            <w:vAlign w:val="center"/>
          </w:tcPr>
          <w:p w14:paraId="78C73104" w14:textId="77777777" w:rsidR="00AE3383" w:rsidRDefault="00AE3383" w:rsidP="00504501">
            <w:pPr>
              <w:pStyle w:val="Tabelleneintrag"/>
              <w:spacing w:before="0"/>
              <w:rPr>
                <w:color w:val="000000"/>
              </w:rPr>
            </w:pPr>
            <w:r>
              <w:t>rs7978583</w:t>
            </w:r>
          </w:p>
        </w:tc>
        <w:tc>
          <w:tcPr>
            <w:tcW w:w="1421" w:type="dxa"/>
            <w:vAlign w:val="center"/>
          </w:tcPr>
          <w:p w14:paraId="0CB06F80" w14:textId="4127BF86" w:rsidR="00AE3383" w:rsidRDefault="00AD5F12" w:rsidP="00504501">
            <w:pPr>
              <w:pStyle w:val="Tabelleneintrag"/>
              <w:spacing w:before="0"/>
              <w:jc w:val="center"/>
              <w:rPr>
                <w:color w:val="000000"/>
              </w:rPr>
            </w:pPr>
            <w:r w:rsidRPr="00AD5F12">
              <w:rPr>
                <w:i/>
                <w:color w:val="000000"/>
              </w:rPr>
              <w:t>SOX5</w:t>
            </w:r>
          </w:p>
        </w:tc>
        <w:tc>
          <w:tcPr>
            <w:tcW w:w="0" w:type="auto"/>
            <w:vAlign w:val="center"/>
          </w:tcPr>
          <w:p w14:paraId="67B23D84" w14:textId="77777777" w:rsidR="00AE3383" w:rsidRDefault="00AE3383" w:rsidP="00504501">
            <w:pPr>
              <w:pStyle w:val="Tabelleneintrag"/>
              <w:spacing w:before="0"/>
              <w:jc w:val="center"/>
              <w:rPr>
                <w:color w:val="000000"/>
              </w:rPr>
            </w:pPr>
            <w:r>
              <w:rPr>
                <w:color w:val="000000"/>
              </w:rPr>
              <w:t>0.46</w:t>
            </w:r>
          </w:p>
        </w:tc>
        <w:tc>
          <w:tcPr>
            <w:tcW w:w="0" w:type="auto"/>
            <w:vAlign w:val="center"/>
          </w:tcPr>
          <w:p w14:paraId="3BEEDDC0" w14:textId="77777777" w:rsidR="00AE3383" w:rsidRDefault="00AE3383" w:rsidP="00504501">
            <w:pPr>
              <w:pStyle w:val="Tabelleneintrag"/>
              <w:spacing w:before="0"/>
              <w:jc w:val="center"/>
              <w:rPr>
                <w:color w:val="000000"/>
              </w:rPr>
            </w:pPr>
            <w:r>
              <w:rPr>
                <w:color w:val="000000"/>
              </w:rPr>
              <w:t>0.44-0.49</w:t>
            </w:r>
          </w:p>
        </w:tc>
        <w:tc>
          <w:tcPr>
            <w:tcW w:w="0" w:type="auto"/>
            <w:vAlign w:val="center"/>
          </w:tcPr>
          <w:p w14:paraId="55BDDEB3" w14:textId="77777777" w:rsidR="00AE3383" w:rsidRDefault="00AE3383" w:rsidP="00504501">
            <w:pPr>
              <w:pStyle w:val="Tabelleneintrag"/>
              <w:spacing w:before="0"/>
              <w:jc w:val="center"/>
              <w:rPr>
                <w:color w:val="000000"/>
              </w:rPr>
            </w:pPr>
            <w:r>
              <w:rPr>
                <w:color w:val="000000"/>
              </w:rPr>
              <w:t>1.03</w:t>
            </w:r>
          </w:p>
        </w:tc>
        <w:tc>
          <w:tcPr>
            <w:tcW w:w="0" w:type="auto"/>
            <w:vAlign w:val="center"/>
          </w:tcPr>
          <w:p w14:paraId="70154B99" w14:textId="77777777" w:rsidR="00AE3383" w:rsidRDefault="00AE3383" w:rsidP="00504501">
            <w:pPr>
              <w:pStyle w:val="Tabelleneintrag"/>
              <w:spacing w:before="0"/>
              <w:jc w:val="center"/>
              <w:rPr>
                <w:color w:val="000000"/>
              </w:rPr>
            </w:pPr>
            <w:r>
              <w:rPr>
                <w:color w:val="000000"/>
              </w:rPr>
              <w:t>0.88-1.21</w:t>
            </w:r>
          </w:p>
        </w:tc>
        <w:tc>
          <w:tcPr>
            <w:tcW w:w="0" w:type="auto"/>
            <w:vAlign w:val="center"/>
          </w:tcPr>
          <w:p w14:paraId="7C020CDD" w14:textId="77777777" w:rsidR="00AE3383" w:rsidRDefault="00AE3383" w:rsidP="00504501">
            <w:pPr>
              <w:pStyle w:val="Tabelleneintrag"/>
              <w:spacing w:before="0"/>
              <w:jc w:val="center"/>
              <w:rPr>
                <w:color w:val="000000"/>
              </w:rPr>
            </w:pPr>
            <w:r>
              <w:rPr>
                <w:color w:val="000000"/>
              </w:rPr>
              <w:t>0.7345</w:t>
            </w:r>
          </w:p>
        </w:tc>
      </w:tr>
      <w:tr w:rsidR="00AE3383" w14:paraId="0039AB1F"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2467C637" w14:textId="77777777" w:rsidR="00AE3383" w:rsidRDefault="00AE3383" w:rsidP="00504501">
            <w:pPr>
              <w:pStyle w:val="Tabelleneintrag"/>
              <w:spacing w:before="0"/>
              <w:rPr>
                <w:color w:val="000000"/>
              </w:rPr>
            </w:pPr>
            <w:r>
              <w:t>rs4777965</w:t>
            </w:r>
          </w:p>
        </w:tc>
        <w:tc>
          <w:tcPr>
            <w:tcW w:w="1421" w:type="dxa"/>
            <w:vAlign w:val="center"/>
          </w:tcPr>
          <w:p w14:paraId="3C2BF6FC" w14:textId="2CEB4096" w:rsidR="00AE3383" w:rsidRDefault="00AD5F12" w:rsidP="00504501">
            <w:pPr>
              <w:pStyle w:val="Tabelleneintrag"/>
              <w:spacing w:before="0"/>
              <w:jc w:val="center"/>
              <w:rPr>
                <w:color w:val="000000"/>
              </w:rPr>
            </w:pPr>
            <w:r w:rsidRPr="00AD5F12">
              <w:rPr>
                <w:i/>
                <w:color w:val="000000"/>
              </w:rPr>
              <w:t>ST8SIA2</w:t>
            </w:r>
          </w:p>
        </w:tc>
        <w:tc>
          <w:tcPr>
            <w:tcW w:w="0" w:type="auto"/>
            <w:vAlign w:val="center"/>
          </w:tcPr>
          <w:p w14:paraId="7DAEF490" w14:textId="77777777" w:rsidR="00AE3383" w:rsidRDefault="00AE3383" w:rsidP="00504501">
            <w:pPr>
              <w:pStyle w:val="Tabelleneintrag"/>
              <w:spacing w:before="0"/>
              <w:jc w:val="center"/>
              <w:rPr>
                <w:color w:val="000000"/>
              </w:rPr>
            </w:pPr>
            <w:r>
              <w:rPr>
                <w:color w:val="000000"/>
              </w:rPr>
              <w:t>0.38</w:t>
            </w:r>
          </w:p>
        </w:tc>
        <w:tc>
          <w:tcPr>
            <w:tcW w:w="0" w:type="auto"/>
            <w:vAlign w:val="center"/>
          </w:tcPr>
          <w:p w14:paraId="3BE94268" w14:textId="77777777" w:rsidR="00AE3383" w:rsidRDefault="00AE3383" w:rsidP="00504501">
            <w:pPr>
              <w:pStyle w:val="Tabelleneintrag"/>
              <w:spacing w:before="0"/>
              <w:jc w:val="center"/>
              <w:rPr>
                <w:color w:val="000000"/>
              </w:rPr>
            </w:pPr>
            <w:r>
              <w:rPr>
                <w:color w:val="000000"/>
              </w:rPr>
              <w:t>0.36-0.41</w:t>
            </w:r>
          </w:p>
        </w:tc>
        <w:tc>
          <w:tcPr>
            <w:tcW w:w="0" w:type="auto"/>
            <w:vAlign w:val="center"/>
          </w:tcPr>
          <w:p w14:paraId="7EA560A0" w14:textId="77777777" w:rsidR="00AE3383" w:rsidRDefault="00AE3383" w:rsidP="00504501">
            <w:pPr>
              <w:pStyle w:val="Tabelleneintrag"/>
              <w:spacing w:before="0"/>
              <w:jc w:val="center"/>
              <w:rPr>
                <w:color w:val="000000"/>
              </w:rPr>
            </w:pPr>
            <w:r>
              <w:rPr>
                <w:color w:val="000000"/>
              </w:rPr>
              <w:t>1.30</w:t>
            </w:r>
          </w:p>
        </w:tc>
        <w:tc>
          <w:tcPr>
            <w:tcW w:w="0" w:type="auto"/>
            <w:vAlign w:val="center"/>
          </w:tcPr>
          <w:p w14:paraId="2978D9F4" w14:textId="77777777" w:rsidR="00AE3383" w:rsidRDefault="00AE3383" w:rsidP="00504501">
            <w:pPr>
              <w:pStyle w:val="Tabelleneintrag"/>
              <w:spacing w:before="0"/>
              <w:jc w:val="center"/>
              <w:rPr>
                <w:color w:val="000000"/>
              </w:rPr>
            </w:pPr>
            <w:r>
              <w:rPr>
                <w:color w:val="000000"/>
              </w:rPr>
              <w:t>1.08-1.55</w:t>
            </w:r>
          </w:p>
        </w:tc>
        <w:tc>
          <w:tcPr>
            <w:tcW w:w="0" w:type="auto"/>
            <w:vAlign w:val="center"/>
          </w:tcPr>
          <w:p w14:paraId="1C4E3AFD" w14:textId="77777777" w:rsidR="00AE3383" w:rsidRDefault="00AE3383" w:rsidP="00504501">
            <w:pPr>
              <w:pStyle w:val="Tabelleneintrag"/>
              <w:spacing w:before="0"/>
              <w:jc w:val="center"/>
              <w:rPr>
                <w:color w:val="000000"/>
              </w:rPr>
            </w:pPr>
            <w:r>
              <w:rPr>
                <w:color w:val="000000"/>
              </w:rPr>
              <w:t>0.0083</w:t>
            </w:r>
          </w:p>
        </w:tc>
      </w:tr>
      <w:tr w:rsidR="00AE3383" w14:paraId="03020724" w14:textId="77777777" w:rsidTr="00504501">
        <w:trPr>
          <w:trHeight w:val="227"/>
          <w:jc w:val="center"/>
        </w:trPr>
        <w:tc>
          <w:tcPr>
            <w:tcW w:w="0" w:type="auto"/>
            <w:vAlign w:val="center"/>
          </w:tcPr>
          <w:p w14:paraId="3F666202" w14:textId="77777777" w:rsidR="00AE3383" w:rsidRDefault="00AE3383" w:rsidP="00504501">
            <w:pPr>
              <w:pStyle w:val="Tabelleneintrag"/>
              <w:spacing w:before="0"/>
              <w:rPr>
                <w:color w:val="000000"/>
              </w:rPr>
            </w:pPr>
            <w:r>
              <w:t>rs1455777</w:t>
            </w:r>
          </w:p>
        </w:tc>
        <w:tc>
          <w:tcPr>
            <w:tcW w:w="1421" w:type="dxa"/>
            <w:vAlign w:val="center"/>
          </w:tcPr>
          <w:p w14:paraId="55CAC4D6" w14:textId="58198A37" w:rsidR="00AE3383" w:rsidRDefault="00AD5F12" w:rsidP="00504501">
            <w:pPr>
              <w:pStyle w:val="Tabelleneintrag"/>
              <w:spacing w:before="0"/>
              <w:jc w:val="center"/>
              <w:rPr>
                <w:color w:val="000000"/>
              </w:rPr>
            </w:pPr>
            <w:r w:rsidRPr="00AD5F12">
              <w:rPr>
                <w:i/>
                <w:color w:val="000000"/>
              </w:rPr>
              <w:t>ST8SIA2</w:t>
            </w:r>
          </w:p>
        </w:tc>
        <w:tc>
          <w:tcPr>
            <w:tcW w:w="0" w:type="auto"/>
            <w:vAlign w:val="center"/>
          </w:tcPr>
          <w:p w14:paraId="5EEE335C" w14:textId="77777777" w:rsidR="00AE3383" w:rsidRDefault="00AE3383" w:rsidP="00504501">
            <w:pPr>
              <w:pStyle w:val="Tabelleneintrag"/>
              <w:spacing w:before="0"/>
              <w:jc w:val="center"/>
              <w:rPr>
                <w:color w:val="000000"/>
              </w:rPr>
            </w:pPr>
            <w:r>
              <w:rPr>
                <w:color w:val="000000"/>
              </w:rPr>
              <w:t>0.50</w:t>
            </w:r>
          </w:p>
        </w:tc>
        <w:tc>
          <w:tcPr>
            <w:tcW w:w="0" w:type="auto"/>
            <w:vAlign w:val="center"/>
          </w:tcPr>
          <w:p w14:paraId="733546A8" w14:textId="77777777" w:rsidR="00AE3383" w:rsidRDefault="00AE3383" w:rsidP="00504501">
            <w:pPr>
              <w:pStyle w:val="Tabelleneintrag"/>
              <w:spacing w:before="0"/>
              <w:jc w:val="center"/>
              <w:rPr>
                <w:color w:val="000000"/>
              </w:rPr>
            </w:pPr>
            <w:r>
              <w:rPr>
                <w:color w:val="000000"/>
              </w:rPr>
              <w:t>0.47-0.52</w:t>
            </w:r>
          </w:p>
        </w:tc>
        <w:tc>
          <w:tcPr>
            <w:tcW w:w="0" w:type="auto"/>
            <w:vAlign w:val="center"/>
          </w:tcPr>
          <w:p w14:paraId="5DE48CFF" w14:textId="77777777" w:rsidR="00AE3383" w:rsidRDefault="00AE3383" w:rsidP="00504501">
            <w:pPr>
              <w:pStyle w:val="Tabelleneintrag"/>
              <w:spacing w:before="0"/>
              <w:jc w:val="center"/>
              <w:rPr>
                <w:color w:val="000000"/>
              </w:rPr>
            </w:pPr>
            <w:r>
              <w:rPr>
                <w:color w:val="000000"/>
              </w:rPr>
              <w:t>0.80</w:t>
            </w:r>
          </w:p>
        </w:tc>
        <w:tc>
          <w:tcPr>
            <w:tcW w:w="0" w:type="auto"/>
            <w:vAlign w:val="center"/>
          </w:tcPr>
          <w:p w14:paraId="2401F71E" w14:textId="77777777" w:rsidR="00AE3383" w:rsidRDefault="00AE3383" w:rsidP="00504501">
            <w:pPr>
              <w:pStyle w:val="Tabelleneintrag"/>
              <w:spacing w:before="0"/>
              <w:jc w:val="center"/>
              <w:rPr>
                <w:color w:val="000000"/>
              </w:rPr>
            </w:pPr>
            <w:r>
              <w:rPr>
                <w:color w:val="000000"/>
              </w:rPr>
              <w:t>0.70-0.90</w:t>
            </w:r>
          </w:p>
        </w:tc>
        <w:tc>
          <w:tcPr>
            <w:tcW w:w="0" w:type="auto"/>
            <w:vAlign w:val="center"/>
          </w:tcPr>
          <w:p w14:paraId="7A7203A0" w14:textId="77777777" w:rsidR="00AE3383" w:rsidRDefault="00AE3383" w:rsidP="00504501">
            <w:pPr>
              <w:pStyle w:val="Tabelleneintrag"/>
              <w:spacing w:before="0"/>
              <w:jc w:val="center"/>
              <w:rPr>
                <w:color w:val="000000"/>
              </w:rPr>
            </w:pPr>
            <w:r>
              <w:rPr>
                <w:color w:val="000000"/>
              </w:rPr>
              <w:t>0.0063</w:t>
            </w:r>
          </w:p>
        </w:tc>
      </w:tr>
      <w:tr w:rsidR="00AE3383" w14:paraId="37E8B8DC"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7FD8A6D9" w14:textId="77777777" w:rsidR="00AE3383" w:rsidRDefault="00AE3383" w:rsidP="00504501">
            <w:pPr>
              <w:pStyle w:val="Tabelleneintrag"/>
              <w:spacing w:before="0"/>
              <w:rPr>
                <w:color w:val="000000"/>
              </w:rPr>
            </w:pPr>
            <w:r>
              <w:t>rs3784722</w:t>
            </w:r>
          </w:p>
        </w:tc>
        <w:tc>
          <w:tcPr>
            <w:tcW w:w="1421" w:type="dxa"/>
            <w:vAlign w:val="center"/>
          </w:tcPr>
          <w:p w14:paraId="3585CA92" w14:textId="66D84402" w:rsidR="00AE3383" w:rsidRDefault="00AD5F12" w:rsidP="00504501">
            <w:pPr>
              <w:pStyle w:val="Tabelleneintrag"/>
              <w:spacing w:before="0"/>
              <w:jc w:val="center"/>
              <w:rPr>
                <w:color w:val="000000"/>
              </w:rPr>
            </w:pPr>
            <w:r w:rsidRPr="00AD5F12">
              <w:rPr>
                <w:i/>
                <w:color w:val="000000"/>
              </w:rPr>
              <w:t>ST8SIA2</w:t>
            </w:r>
          </w:p>
        </w:tc>
        <w:tc>
          <w:tcPr>
            <w:tcW w:w="0" w:type="auto"/>
            <w:vAlign w:val="center"/>
          </w:tcPr>
          <w:p w14:paraId="68B917A2" w14:textId="77777777" w:rsidR="00AE3383" w:rsidRDefault="00AE3383" w:rsidP="00504501">
            <w:pPr>
              <w:pStyle w:val="Tabelleneintrag"/>
              <w:spacing w:before="0"/>
              <w:jc w:val="center"/>
              <w:rPr>
                <w:color w:val="000000"/>
              </w:rPr>
            </w:pPr>
            <w:r>
              <w:rPr>
                <w:color w:val="000000"/>
              </w:rPr>
              <w:t>0.37</w:t>
            </w:r>
          </w:p>
        </w:tc>
        <w:tc>
          <w:tcPr>
            <w:tcW w:w="0" w:type="auto"/>
            <w:vAlign w:val="center"/>
          </w:tcPr>
          <w:p w14:paraId="1FCC7E77" w14:textId="77777777" w:rsidR="00AE3383" w:rsidRDefault="00AE3383" w:rsidP="00504501">
            <w:pPr>
              <w:pStyle w:val="Tabelleneintrag"/>
              <w:spacing w:before="0"/>
              <w:jc w:val="center"/>
              <w:rPr>
                <w:color w:val="000000"/>
              </w:rPr>
            </w:pPr>
            <w:r>
              <w:rPr>
                <w:color w:val="000000"/>
              </w:rPr>
              <w:t>0.34-0.39</w:t>
            </w:r>
          </w:p>
        </w:tc>
        <w:tc>
          <w:tcPr>
            <w:tcW w:w="0" w:type="auto"/>
            <w:vAlign w:val="center"/>
          </w:tcPr>
          <w:p w14:paraId="031C6231" w14:textId="77777777" w:rsidR="00AE3383" w:rsidRDefault="00AE3383" w:rsidP="00504501">
            <w:pPr>
              <w:pStyle w:val="Tabelleneintrag"/>
              <w:spacing w:before="0"/>
              <w:jc w:val="center"/>
              <w:rPr>
                <w:color w:val="000000"/>
              </w:rPr>
            </w:pPr>
            <w:r>
              <w:rPr>
                <w:color w:val="000000"/>
              </w:rPr>
              <w:t>0.97</w:t>
            </w:r>
          </w:p>
        </w:tc>
        <w:tc>
          <w:tcPr>
            <w:tcW w:w="0" w:type="auto"/>
            <w:vAlign w:val="center"/>
          </w:tcPr>
          <w:p w14:paraId="72EFA5CC" w14:textId="77777777" w:rsidR="00AE3383" w:rsidRDefault="00AE3383" w:rsidP="00504501">
            <w:pPr>
              <w:pStyle w:val="Tabelleneintrag"/>
              <w:spacing w:before="0"/>
              <w:jc w:val="center"/>
              <w:rPr>
                <w:color w:val="000000"/>
              </w:rPr>
            </w:pPr>
            <w:r>
              <w:rPr>
                <w:color w:val="000000"/>
              </w:rPr>
              <w:t>0.83-1.14</w:t>
            </w:r>
          </w:p>
        </w:tc>
        <w:tc>
          <w:tcPr>
            <w:tcW w:w="0" w:type="auto"/>
            <w:vAlign w:val="center"/>
          </w:tcPr>
          <w:p w14:paraId="6EB8858F" w14:textId="77777777" w:rsidR="00AE3383" w:rsidRDefault="00AE3383" w:rsidP="00504501">
            <w:pPr>
              <w:pStyle w:val="Tabelleneintrag"/>
              <w:spacing w:before="0"/>
              <w:jc w:val="center"/>
              <w:rPr>
                <w:color w:val="000000"/>
              </w:rPr>
            </w:pPr>
            <w:r>
              <w:rPr>
                <w:color w:val="000000"/>
              </w:rPr>
              <w:t>0.7011</w:t>
            </w:r>
          </w:p>
        </w:tc>
      </w:tr>
      <w:tr w:rsidR="00AE3383" w14:paraId="0A3C5B95" w14:textId="77777777" w:rsidTr="00504501">
        <w:trPr>
          <w:trHeight w:val="227"/>
          <w:jc w:val="center"/>
        </w:trPr>
        <w:tc>
          <w:tcPr>
            <w:tcW w:w="0" w:type="auto"/>
            <w:vAlign w:val="center"/>
          </w:tcPr>
          <w:p w14:paraId="760897C6" w14:textId="77777777" w:rsidR="00AE3383" w:rsidRDefault="00AE3383" w:rsidP="00504501">
            <w:pPr>
              <w:pStyle w:val="Tabelleneintrag"/>
              <w:spacing w:before="0"/>
              <w:rPr>
                <w:color w:val="000000"/>
              </w:rPr>
            </w:pPr>
            <w:r>
              <w:t>rs8061518</w:t>
            </w:r>
          </w:p>
        </w:tc>
        <w:tc>
          <w:tcPr>
            <w:tcW w:w="1421" w:type="dxa"/>
            <w:vAlign w:val="center"/>
          </w:tcPr>
          <w:p w14:paraId="42B38E8D" w14:textId="11B5ED60" w:rsidR="00AE3383" w:rsidRDefault="004037C3" w:rsidP="00504501">
            <w:pPr>
              <w:pStyle w:val="Tabelleneintrag"/>
              <w:spacing w:before="0"/>
              <w:jc w:val="center"/>
              <w:rPr>
                <w:color w:val="000000"/>
              </w:rPr>
            </w:pPr>
            <w:r w:rsidRPr="004037C3">
              <w:rPr>
                <w:i/>
                <w:color w:val="000000"/>
              </w:rPr>
              <w:t>FTO</w:t>
            </w:r>
          </w:p>
        </w:tc>
        <w:tc>
          <w:tcPr>
            <w:tcW w:w="0" w:type="auto"/>
            <w:vAlign w:val="center"/>
          </w:tcPr>
          <w:p w14:paraId="7D70885E" w14:textId="77777777" w:rsidR="00AE3383" w:rsidRDefault="00AE3383" w:rsidP="00504501">
            <w:pPr>
              <w:pStyle w:val="Tabelleneintrag"/>
              <w:spacing w:before="0"/>
              <w:jc w:val="center"/>
              <w:rPr>
                <w:color w:val="000000"/>
              </w:rPr>
            </w:pPr>
            <w:r>
              <w:rPr>
                <w:color w:val="000000"/>
              </w:rPr>
              <w:t>0.34</w:t>
            </w:r>
          </w:p>
        </w:tc>
        <w:tc>
          <w:tcPr>
            <w:tcW w:w="0" w:type="auto"/>
            <w:vAlign w:val="center"/>
          </w:tcPr>
          <w:p w14:paraId="612C737C" w14:textId="77777777" w:rsidR="00AE3383" w:rsidRDefault="00AE3383" w:rsidP="00504501">
            <w:pPr>
              <w:pStyle w:val="Tabelleneintrag"/>
              <w:spacing w:before="0"/>
              <w:jc w:val="center"/>
              <w:rPr>
                <w:color w:val="000000"/>
              </w:rPr>
            </w:pPr>
            <w:r>
              <w:rPr>
                <w:color w:val="000000"/>
              </w:rPr>
              <w:t>0.32-0.36</w:t>
            </w:r>
          </w:p>
        </w:tc>
        <w:tc>
          <w:tcPr>
            <w:tcW w:w="0" w:type="auto"/>
            <w:vAlign w:val="center"/>
          </w:tcPr>
          <w:p w14:paraId="01574746" w14:textId="77777777" w:rsidR="00AE3383" w:rsidRDefault="00AE3383" w:rsidP="00504501">
            <w:pPr>
              <w:pStyle w:val="Tabelleneintrag"/>
              <w:spacing w:before="0"/>
              <w:jc w:val="center"/>
              <w:rPr>
                <w:color w:val="000000"/>
              </w:rPr>
            </w:pPr>
            <w:r>
              <w:rPr>
                <w:color w:val="000000"/>
              </w:rPr>
              <w:t>1.27</w:t>
            </w:r>
          </w:p>
        </w:tc>
        <w:tc>
          <w:tcPr>
            <w:tcW w:w="0" w:type="auto"/>
            <w:vAlign w:val="center"/>
          </w:tcPr>
          <w:p w14:paraId="0C55F923" w14:textId="77777777" w:rsidR="00AE3383" w:rsidRDefault="00AE3383" w:rsidP="00504501">
            <w:pPr>
              <w:pStyle w:val="Tabelleneintrag"/>
              <w:spacing w:before="0"/>
              <w:jc w:val="center"/>
              <w:rPr>
                <w:color w:val="000000"/>
              </w:rPr>
            </w:pPr>
            <w:r>
              <w:rPr>
                <w:color w:val="000000"/>
              </w:rPr>
              <w:t>1.07-1.50</w:t>
            </w:r>
          </w:p>
        </w:tc>
        <w:tc>
          <w:tcPr>
            <w:tcW w:w="0" w:type="auto"/>
            <w:vAlign w:val="center"/>
          </w:tcPr>
          <w:p w14:paraId="594369BD" w14:textId="77777777" w:rsidR="00AE3383" w:rsidRDefault="00AE3383" w:rsidP="00504501">
            <w:pPr>
              <w:pStyle w:val="Tabelleneintrag"/>
              <w:spacing w:before="0"/>
              <w:jc w:val="center"/>
              <w:rPr>
                <w:color w:val="000000"/>
              </w:rPr>
            </w:pPr>
            <w:r>
              <w:rPr>
                <w:color w:val="000000"/>
              </w:rPr>
              <w:t>0.01</w:t>
            </w:r>
          </w:p>
        </w:tc>
      </w:tr>
      <w:tr w:rsidR="00AE3383" w14:paraId="7F84EB44"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48920BBD" w14:textId="77777777" w:rsidR="00AE3383" w:rsidRDefault="00AE3383" w:rsidP="00504501">
            <w:pPr>
              <w:pStyle w:val="Tabelleneintrag"/>
              <w:spacing w:before="0"/>
              <w:rPr>
                <w:color w:val="000000"/>
              </w:rPr>
            </w:pPr>
            <w:r>
              <w:t>rs6499657</w:t>
            </w:r>
          </w:p>
        </w:tc>
        <w:tc>
          <w:tcPr>
            <w:tcW w:w="1421" w:type="dxa"/>
            <w:vAlign w:val="center"/>
          </w:tcPr>
          <w:p w14:paraId="25D93CBC" w14:textId="0B603DE4" w:rsidR="00AE3383" w:rsidRDefault="004037C3" w:rsidP="00504501">
            <w:pPr>
              <w:pStyle w:val="Tabelleneintrag"/>
              <w:spacing w:before="0"/>
              <w:jc w:val="center"/>
              <w:rPr>
                <w:color w:val="000000"/>
              </w:rPr>
            </w:pPr>
            <w:r w:rsidRPr="004037C3">
              <w:rPr>
                <w:i/>
                <w:color w:val="000000"/>
              </w:rPr>
              <w:t>FTO</w:t>
            </w:r>
          </w:p>
        </w:tc>
        <w:tc>
          <w:tcPr>
            <w:tcW w:w="0" w:type="auto"/>
            <w:vAlign w:val="center"/>
          </w:tcPr>
          <w:p w14:paraId="19FBC16E" w14:textId="77777777" w:rsidR="00AE3383" w:rsidRDefault="00AE3383" w:rsidP="00504501">
            <w:pPr>
              <w:pStyle w:val="Tabelleneintrag"/>
              <w:spacing w:before="0"/>
              <w:jc w:val="center"/>
              <w:rPr>
                <w:color w:val="000000"/>
              </w:rPr>
            </w:pPr>
            <w:r>
              <w:rPr>
                <w:color w:val="000000"/>
              </w:rPr>
              <w:t>0.16</w:t>
            </w:r>
          </w:p>
        </w:tc>
        <w:tc>
          <w:tcPr>
            <w:tcW w:w="0" w:type="auto"/>
            <w:vAlign w:val="center"/>
          </w:tcPr>
          <w:p w14:paraId="6A385739" w14:textId="77777777" w:rsidR="00AE3383" w:rsidRDefault="00AE3383" w:rsidP="00504501">
            <w:pPr>
              <w:pStyle w:val="Tabelleneintrag"/>
              <w:spacing w:before="0"/>
              <w:jc w:val="center"/>
              <w:rPr>
                <w:color w:val="000000"/>
              </w:rPr>
            </w:pPr>
            <w:r>
              <w:rPr>
                <w:color w:val="000000"/>
              </w:rPr>
              <w:t>0.14-0.17</w:t>
            </w:r>
          </w:p>
        </w:tc>
        <w:tc>
          <w:tcPr>
            <w:tcW w:w="0" w:type="auto"/>
            <w:vAlign w:val="center"/>
          </w:tcPr>
          <w:p w14:paraId="0E7723BD" w14:textId="77777777" w:rsidR="00AE3383" w:rsidRDefault="00AE3383" w:rsidP="00504501">
            <w:pPr>
              <w:pStyle w:val="Tabelleneintrag"/>
              <w:spacing w:before="0"/>
              <w:jc w:val="center"/>
              <w:rPr>
                <w:color w:val="000000"/>
              </w:rPr>
            </w:pPr>
            <w:r>
              <w:rPr>
                <w:color w:val="000000"/>
              </w:rPr>
              <w:t>1.22</w:t>
            </w:r>
          </w:p>
        </w:tc>
        <w:tc>
          <w:tcPr>
            <w:tcW w:w="0" w:type="auto"/>
            <w:vAlign w:val="center"/>
          </w:tcPr>
          <w:p w14:paraId="0BA2D112" w14:textId="77777777" w:rsidR="00AE3383" w:rsidRDefault="00AE3383" w:rsidP="00504501">
            <w:pPr>
              <w:pStyle w:val="Tabelleneintrag"/>
              <w:spacing w:before="0"/>
              <w:jc w:val="center"/>
              <w:rPr>
                <w:color w:val="000000"/>
              </w:rPr>
            </w:pPr>
            <w:r>
              <w:rPr>
                <w:color w:val="000000"/>
              </w:rPr>
              <w:t>1.00-1.55</w:t>
            </w:r>
          </w:p>
        </w:tc>
        <w:tc>
          <w:tcPr>
            <w:tcW w:w="0" w:type="auto"/>
            <w:vAlign w:val="center"/>
          </w:tcPr>
          <w:p w14:paraId="003B56FD" w14:textId="77777777" w:rsidR="00AE3383" w:rsidRDefault="00AE3383" w:rsidP="00504501">
            <w:pPr>
              <w:pStyle w:val="Tabelleneintrag"/>
              <w:spacing w:before="0"/>
              <w:jc w:val="center"/>
              <w:rPr>
                <w:color w:val="000000"/>
              </w:rPr>
            </w:pPr>
            <w:r>
              <w:rPr>
                <w:color w:val="000000"/>
              </w:rPr>
              <w:t>0.091</w:t>
            </w:r>
          </w:p>
        </w:tc>
      </w:tr>
      <w:tr w:rsidR="00AE3383" w14:paraId="789DB07A" w14:textId="77777777" w:rsidTr="00504501">
        <w:trPr>
          <w:trHeight w:val="227"/>
          <w:jc w:val="center"/>
        </w:trPr>
        <w:tc>
          <w:tcPr>
            <w:tcW w:w="0" w:type="auto"/>
            <w:vAlign w:val="center"/>
          </w:tcPr>
          <w:p w14:paraId="29429B39" w14:textId="77777777" w:rsidR="00AE3383" w:rsidRDefault="00AE3383" w:rsidP="00504501">
            <w:pPr>
              <w:pStyle w:val="Tabelleneintrag"/>
              <w:spacing w:before="0"/>
              <w:rPr>
                <w:color w:val="000000"/>
              </w:rPr>
            </w:pPr>
            <w:r>
              <w:t>rs1111483</w:t>
            </w:r>
          </w:p>
        </w:tc>
        <w:tc>
          <w:tcPr>
            <w:tcW w:w="1421" w:type="dxa"/>
            <w:vAlign w:val="center"/>
          </w:tcPr>
          <w:p w14:paraId="7B49A3CF" w14:textId="06330848" w:rsidR="00AE3383" w:rsidRDefault="004037C3" w:rsidP="00504501">
            <w:pPr>
              <w:pStyle w:val="Tabelleneintrag"/>
              <w:spacing w:before="0"/>
              <w:jc w:val="center"/>
              <w:rPr>
                <w:color w:val="000000"/>
              </w:rPr>
            </w:pPr>
            <w:r w:rsidRPr="004037C3">
              <w:rPr>
                <w:i/>
                <w:color w:val="000000"/>
              </w:rPr>
              <w:t>FTO</w:t>
            </w:r>
          </w:p>
        </w:tc>
        <w:tc>
          <w:tcPr>
            <w:tcW w:w="0" w:type="auto"/>
            <w:vAlign w:val="center"/>
          </w:tcPr>
          <w:p w14:paraId="531E2EB0" w14:textId="77777777" w:rsidR="00AE3383" w:rsidRDefault="00AE3383" w:rsidP="00504501">
            <w:pPr>
              <w:pStyle w:val="Tabelleneintrag"/>
              <w:spacing w:before="0"/>
              <w:jc w:val="center"/>
              <w:rPr>
                <w:color w:val="000000"/>
              </w:rPr>
            </w:pPr>
            <w:r>
              <w:rPr>
                <w:color w:val="000000"/>
              </w:rPr>
              <w:t>0.48</w:t>
            </w:r>
          </w:p>
        </w:tc>
        <w:tc>
          <w:tcPr>
            <w:tcW w:w="0" w:type="auto"/>
            <w:vAlign w:val="center"/>
          </w:tcPr>
          <w:p w14:paraId="47F204C2" w14:textId="77777777" w:rsidR="00AE3383" w:rsidRDefault="00AE3383" w:rsidP="00504501">
            <w:pPr>
              <w:pStyle w:val="Tabelleneintrag"/>
              <w:spacing w:before="0"/>
              <w:jc w:val="center"/>
              <w:rPr>
                <w:color w:val="000000"/>
              </w:rPr>
            </w:pPr>
            <w:r>
              <w:rPr>
                <w:color w:val="000000"/>
              </w:rPr>
              <w:t>0.46-0.51</w:t>
            </w:r>
          </w:p>
        </w:tc>
        <w:tc>
          <w:tcPr>
            <w:tcW w:w="0" w:type="auto"/>
            <w:vAlign w:val="center"/>
          </w:tcPr>
          <w:p w14:paraId="2AAD52C1" w14:textId="77777777" w:rsidR="00AE3383" w:rsidRDefault="00AE3383" w:rsidP="00504501">
            <w:pPr>
              <w:pStyle w:val="Tabelleneintrag"/>
              <w:spacing w:before="0"/>
              <w:jc w:val="center"/>
              <w:rPr>
                <w:color w:val="000000"/>
              </w:rPr>
            </w:pPr>
            <w:r>
              <w:rPr>
                <w:color w:val="000000"/>
              </w:rPr>
              <w:t>1.02</w:t>
            </w:r>
          </w:p>
        </w:tc>
        <w:tc>
          <w:tcPr>
            <w:tcW w:w="0" w:type="auto"/>
            <w:vAlign w:val="center"/>
          </w:tcPr>
          <w:p w14:paraId="564C8C81" w14:textId="77777777" w:rsidR="00AE3383" w:rsidRDefault="00AE3383" w:rsidP="00504501">
            <w:pPr>
              <w:pStyle w:val="Tabelleneintrag"/>
              <w:spacing w:before="0"/>
              <w:jc w:val="center"/>
              <w:rPr>
                <w:color w:val="000000"/>
              </w:rPr>
            </w:pPr>
            <w:r>
              <w:rPr>
                <w:color w:val="000000"/>
              </w:rPr>
              <w:t>0.89-1.18</w:t>
            </w:r>
          </w:p>
        </w:tc>
        <w:tc>
          <w:tcPr>
            <w:tcW w:w="0" w:type="auto"/>
            <w:vAlign w:val="center"/>
          </w:tcPr>
          <w:p w14:paraId="51B71B43" w14:textId="77777777" w:rsidR="00AE3383" w:rsidRDefault="00AE3383" w:rsidP="00504501">
            <w:pPr>
              <w:pStyle w:val="Tabelleneintrag"/>
              <w:spacing w:before="0"/>
              <w:jc w:val="center"/>
              <w:rPr>
                <w:color w:val="000000"/>
              </w:rPr>
            </w:pPr>
            <w:r>
              <w:rPr>
                <w:color w:val="000000"/>
              </w:rPr>
              <w:t>0.9023</w:t>
            </w:r>
          </w:p>
        </w:tc>
      </w:tr>
      <w:tr w:rsidR="00AE3383" w14:paraId="3E7E73F1"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5488420A" w14:textId="77777777" w:rsidR="00AE3383" w:rsidRDefault="00AE3383" w:rsidP="00504501">
            <w:pPr>
              <w:pStyle w:val="Tabelleneintrag"/>
              <w:spacing w:before="0"/>
              <w:rPr>
                <w:color w:val="000000"/>
              </w:rPr>
            </w:pPr>
            <w:r>
              <w:t>rs17886268</w:t>
            </w:r>
          </w:p>
        </w:tc>
        <w:tc>
          <w:tcPr>
            <w:tcW w:w="1421" w:type="dxa"/>
            <w:vAlign w:val="center"/>
          </w:tcPr>
          <w:p w14:paraId="0A5A4E15" w14:textId="6ED16B53" w:rsidR="00AE3383" w:rsidRDefault="00AD5F12" w:rsidP="00504501">
            <w:pPr>
              <w:pStyle w:val="Tabelleneintrag"/>
              <w:spacing w:before="0"/>
              <w:jc w:val="center"/>
              <w:rPr>
                <w:color w:val="000000"/>
              </w:rPr>
            </w:pPr>
            <w:r w:rsidRPr="00AD5F12">
              <w:rPr>
                <w:i/>
                <w:color w:val="000000"/>
              </w:rPr>
              <w:t>TP53</w:t>
            </w:r>
          </w:p>
        </w:tc>
        <w:tc>
          <w:tcPr>
            <w:tcW w:w="0" w:type="auto"/>
            <w:vAlign w:val="center"/>
          </w:tcPr>
          <w:p w14:paraId="457223F1" w14:textId="77777777" w:rsidR="00AE3383" w:rsidRDefault="00AE3383" w:rsidP="00504501">
            <w:pPr>
              <w:pStyle w:val="Tabelleneintrag"/>
              <w:spacing w:before="0"/>
              <w:jc w:val="center"/>
              <w:rPr>
                <w:color w:val="000000"/>
              </w:rPr>
            </w:pPr>
            <w:r>
              <w:rPr>
                <w:color w:val="000000"/>
              </w:rPr>
              <w:t>0.04</w:t>
            </w:r>
          </w:p>
        </w:tc>
        <w:tc>
          <w:tcPr>
            <w:tcW w:w="0" w:type="auto"/>
            <w:vAlign w:val="center"/>
          </w:tcPr>
          <w:p w14:paraId="46D9A3C0" w14:textId="77777777" w:rsidR="00AE3383" w:rsidRDefault="00AE3383" w:rsidP="00504501">
            <w:pPr>
              <w:pStyle w:val="Tabelleneintrag"/>
              <w:spacing w:before="0"/>
              <w:jc w:val="center"/>
              <w:rPr>
                <w:color w:val="000000"/>
              </w:rPr>
            </w:pPr>
            <w:r>
              <w:rPr>
                <w:color w:val="000000"/>
              </w:rPr>
              <w:t>0.03-0.05</w:t>
            </w:r>
          </w:p>
        </w:tc>
        <w:tc>
          <w:tcPr>
            <w:tcW w:w="0" w:type="auto"/>
            <w:vAlign w:val="center"/>
          </w:tcPr>
          <w:p w14:paraId="266BD65E" w14:textId="77777777" w:rsidR="00AE3383" w:rsidRDefault="00AE3383" w:rsidP="00504501">
            <w:pPr>
              <w:pStyle w:val="Tabelleneintrag"/>
              <w:spacing w:before="0"/>
              <w:jc w:val="center"/>
              <w:rPr>
                <w:color w:val="000000"/>
              </w:rPr>
            </w:pPr>
            <w:r>
              <w:rPr>
                <w:color w:val="000000"/>
              </w:rPr>
              <w:t>1.14</w:t>
            </w:r>
          </w:p>
        </w:tc>
        <w:tc>
          <w:tcPr>
            <w:tcW w:w="0" w:type="auto"/>
            <w:vAlign w:val="center"/>
          </w:tcPr>
          <w:p w14:paraId="120B90EB" w14:textId="77777777" w:rsidR="00AE3383" w:rsidRDefault="00AE3383" w:rsidP="00504501">
            <w:pPr>
              <w:pStyle w:val="Tabelleneintrag"/>
              <w:spacing w:before="0"/>
              <w:jc w:val="center"/>
              <w:rPr>
                <w:color w:val="000000"/>
              </w:rPr>
            </w:pPr>
            <w:r>
              <w:rPr>
                <w:color w:val="000000"/>
              </w:rPr>
              <w:t>0.93-1.35</w:t>
            </w:r>
          </w:p>
        </w:tc>
        <w:tc>
          <w:tcPr>
            <w:tcW w:w="0" w:type="auto"/>
            <w:vAlign w:val="center"/>
          </w:tcPr>
          <w:p w14:paraId="60C346C2" w14:textId="77777777" w:rsidR="00AE3383" w:rsidRDefault="00AE3383" w:rsidP="00504501">
            <w:pPr>
              <w:pStyle w:val="Tabelleneintrag"/>
              <w:spacing w:before="0"/>
              <w:jc w:val="center"/>
              <w:rPr>
                <w:color w:val="000000"/>
              </w:rPr>
            </w:pPr>
            <w:r>
              <w:rPr>
                <w:color w:val="000000"/>
              </w:rPr>
              <w:t>0.3467</w:t>
            </w:r>
          </w:p>
        </w:tc>
      </w:tr>
      <w:tr w:rsidR="00AE3383" w14:paraId="263B96F7" w14:textId="77777777" w:rsidTr="00504501">
        <w:trPr>
          <w:trHeight w:val="227"/>
          <w:jc w:val="center"/>
        </w:trPr>
        <w:tc>
          <w:tcPr>
            <w:tcW w:w="0" w:type="auto"/>
            <w:vAlign w:val="center"/>
          </w:tcPr>
          <w:p w14:paraId="1432BADF" w14:textId="77777777" w:rsidR="00AE3383" w:rsidRDefault="00AE3383" w:rsidP="00504501">
            <w:pPr>
              <w:pStyle w:val="Tabelleneintrag"/>
              <w:spacing w:before="0"/>
              <w:rPr>
                <w:color w:val="000000"/>
              </w:rPr>
            </w:pPr>
            <w:r>
              <w:t>rs7141</w:t>
            </w:r>
          </w:p>
        </w:tc>
        <w:tc>
          <w:tcPr>
            <w:tcW w:w="1421" w:type="dxa"/>
            <w:vAlign w:val="center"/>
          </w:tcPr>
          <w:p w14:paraId="7937BA13" w14:textId="730F3FB1" w:rsidR="00AE3383" w:rsidRDefault="00AD5F12" w:rsidP="00504501">
            <w:pPr>
              <w:pStyle w:val="Tabelleneintrag"/>
              <w:spacing w:before="0"/>
              <w:jc w:val="center"/>
              <w:rPr>
                <w:color w:val="000000"/>
              </w:rPr>
            </w:pPr>
            <w:r w:rsidRPr="00AD5F12">
              <w:rPr>
                <w:i/>
                <w:color w:val="000000"/>
              </w:rPr>
              <w:t>TP53</w:t>
            </w:r>
          </w:p>
        </w:tc>
        <w:tc>
          <w:tcPr>
            <w:tcW w:w="0" w:type="auto"/>
            <w:vAlign w:val="center"/>
          </w:tcPr>
          <w:p w14:paraId="69EA6C87" w14:textId="77777777" w:rsidR="00AE3383" w:rsidRDefault="00AE3383" w:rsidP="00504501">
            <w:pPr>
              <w:pStyle w:val="Tabelleneintrag"/>
              <w:spacing w:before="0"/>
              <w:jc w:val="center"/>
              <w:rPr>
                <w:color w:val="000000"/>
              </w:rPr>
            </w:pPr>
            <w:r>
              <w:rPr>
                <w:color w:val="000000"/>
              </w:rPr>
              <w:t>0.37</w:t>
            </w:r>
          </w:p>
        </w:tc>
        <w:tc>
          <w:tcPr>
            <w:tcW w:w="0" w:type="auto"/>
            <w:vAlign w:val="center"/>
          </w:tcPr>
          <w:p w14:paraId="61525A2C" w14:textId="77777777" w:rsidR="00AE3383" w:rsidRDefault="00AE3383" w:rsidP="00504501">
            <w:pPr>
              <w:pStyle w:val="Tabelleneintrag"/>
              <w:spacing w:before="0"/>
              <w:jc w:val="center"/>
              <w:rPr>
                <w:color w:val="000000"/>
              </w:rPr>
            </w:pPr>
            <w:r>
              <w:rPr>
                <w:color w:val="000000"/>
              </w:rPr>
              <w:t>0.34-0.39</w:t>
            </w:r>
          </w:p>
        </w:tc>
        <w:tc>
          <w:tcPr>
            <w:tcW w:w="0" w:type="auto"/>
            <w:vAlign w:val="center"/>
          </w:tcPr>
          <w:p w14:paraId="2F5A2FBD" w14:textId="77777777" w:rsidR="00AE3383" w:rsidRDefault="00AE3383" w:rsidP="00504501">
            <w:pPr>
              <w:pStyle w:val="Tabelleneintrag"/>
              <w:spacing w:before="0"/>
              <w:jc w:val="center"/>
              <w:rPr>
                <w:color w:val="000000"/>
              </w:rPr>
            </w:pPr>
            <w:r>
              <w:rPr>
                <w:color w:val="000000"/>
              </w:rPr>
              <w:t>1.18</w:t>
            </w:r>
          </w:p>
        </w:tc>
        <w:tc>
          <w:tcPr>
            <w:tcW w:w="0" w:type="auto"/>
            <w:vAlign w:val="center"/>
          </w:tcPr>
          <w:p w14:paraId="31E632C3" w14:textId="77777777" w:rsidR="00AE3383" w:rsidRDefault="00AE3383" w:rsidP="00504501">
            <w:pPr>
              <w:pStyle w:val="Tabelleneintrag"/>
              <w:spacing w:before="0"/>
              <w:jc w:val="center"/>
              <w:rPr>
                <w:color w:val="000000"/>
              </w:rPr>
            </w:pPr>
            <w:r>
              <w:rPr>
                <w:color w:val="000000"/>
              </w:rPr>
              <w:t>0.94-1.43</w:t>
            </w:r>
          </w:p>
        </w:tc>
        <w:tc>
          <w:tcPr>
            <w:tcW w:w="0" w:type="auto"/>
            <w:vAlign w:val="center"/>
          </w:tcPr>
          <w:p w14:paraId="67363928" w14:textId="77777777" w:rsidR="00AE3383" w:rsidRDefault="00AE3383" w:rsidP="00504501">
            <w:pPr>
              <w:pStyle w:val="Tabelleneintrag"/>
              <w:spacing w:before="0"/>
              <w:jc w:val="center"/>
              <w:rPr>
                <w:color w:val="000000"/>
              </w:rPr>
            </w:pPr>
            <w:r>
              <w:rPr>
                <w:color w:val="000000"/>
              </w:rPr>
              <w:t>0.0726</w:t>
            </w:r>
          </w:p>
        </w:tc>
      </w:tr>
      <w:tr w:rsidR="00AE3383" w14:paraId="0E40BB4C" w14:textId="77777777" w:rsidTr="00504501">
        <w:trPr>
          <w:cnfStyle w:val="000000100000" w:firstRow="0" w:lastRow="0" w:firstColumn="0" w:lastColumn="0" w:oddVBand="0" w:evenVBand="0" w:oddHBand="1" w:evenHBand="0" w:firstRowFirstColumn="0" w:firstRowLastColumn="0" w:lastRowFirstColumn="0" w:lastRowLastColumn="0"/>
          <w:trHeight w:val="227"/>
          <w:jc w:val="center"/>
        </w:trPr>
        <w:tc>
          <w:tcPr>
            <w:tcW w:w="0" w:type="auto"/>
            <w:vAlign w:val="center"/>
          </w:tcPr>
          <w:p w14:paraId="571B36A1" w14:textId="77777777" w:rsidR="00AE3383" w:rsidRDefault="00AE3383" w:rsidP="00504501">
            <w:pPr>
              <w:pStyle w:val="Tabelleneintrag"/>
              <w:spacing w:before="0"/>
              <w:rPr>
                <w:color w:val="000000"/>
              </w:rPr>
            </w:pPr>
            <w:r>
              <w:t>rs7221056</w:t>
            </w:r>
          </w:p>
        </w:tc>
        <w:tc>
          <w:tcPr>
            <w:tcW w:w="1421" w:type="dxa"/>
            <w:vAlign w:val="center"/>
          </w:tcPr>
          <w:p w14:paraId="4A0BA178" w14:textId="2B0B62E9" w:rsidR="00AE3383" w:rsidRDefault="00AD5F12" w:rsidP="00504501">
            <w:pPr>
              <w:pStyle w:val="Tabelleneintrag"/>
              <w:spacing w:before="0"/>
              <w:jc w:val="center"/>
              <w:rPr>
                <w:color w:val="000000"/>
              </w:rPr>
            </w:pPr>
            <w:r w:rsidRPr="00AD5F12">
              <w:rPr>
                <w:i/>
                <w:color w:val="000000"/>
              </w:rPr>
              <w:t>TP53</w:t>
            </w:r>
          </w:p>
        </w:tc>
        <w:tc>
          <w:tcPr>
            <w:tcW w:w="0" w:type="auto"/>
            <w:vAlign w:val="center"/>
          </w:tcPr>
          <w:p w14:paraId="3B3E5069" w14:textId="77777777" w:rsidR="00AE3383" w:rsidRDefault="00AE3383" w:rsidP="00504501">
            <w:pPr>
              <w:pStyle w:val="Tabelleneintrag"/>
              <w:spacing w:before="0"/>
              <w:jc w:val="center"/>
              <w:rPr>
                <w:color w:val="000000"/>
              </w:rPr>
            </w:pPr>
            <w:r>
              <w:rPr>
                <w:color w:val="000000"/>
              </w:rPr>
              <w:t>0.33</w:t>
            </w:r>
          </w:p>
        </w:tc>
        <w:tc>
          <w:tcPr>
            <w:tcW w:w="0" w:type="auto"/>
            <w:vAlign w:val="center"/>
          </w:tcPr>
          <w:p w14:paraId="609FA17C" w14:textId="77777777" w:rsidR="00AE3383" w:rsidRDefault="00AE3383" w:rsidP="00504501">
            <w:pPr>
              <w:pStyle w:val="Tabelleneintrag"/>
              <w:spacing w:before="0"/>
              <w:jc w:val="center"/>
              <w:rPr>
                <w:color w:val="000000"/>
              </w:rPr>
            </w:pPr>
            <w:r>
              <w:rPr>
                <w:color w:val="000000"/>
              </w:rPr>
              <w:t>0.31-0.36</w:t>
            </w:r>
          </w:p>
        </w:tc>
        <w:tc>
          <w:tcPr>
            <w:tcW w:w="0" w:type="auto"/>
            <w:vAlign w:val="center"/>
          </w:tcPr>
          <w:p w14:paraId="67030DFA" w14:textId="77777777" w:rsidR="00AE3383" w:rsidRDefault="00AE3383" w:rsidP="00504501">
            <w:pPr>
              <w:pStyle w:val="Tabelleneintrag"/>
              <w:spacing w:before="0"/>
              <w:jc w:val="center"/>
              <w:rPr>
                <w:color w:val="000000"/>
              </w:rPr>
            </w:pPr>
            <w:r>
              <w:rPr>
                <w:color w:val="000000"/>
              </w:rPr>
              <w:t>1.05</w:t>
            </w:r>
          </w:p>
        </w:tc>
        <w:tc>
          <w:tcPr>
            <w:tcW w:w="0" w:type="auto"/>
            <w:vAlign w:val="center"/>
          </w:tcPr>
          <w:p w14:paraId="7B3C1A4A" w14:textId="77777777" w:rsidR="00AE3383" w:rsidRDefault="00AE3383" w:rsidP="00504501">
            <w:pPr>
              <w:pStyle w:val="Tabelleneintrag"/>
              <w:spacing w:before="0"/>
              <w:jc w:val="center"/>
              <w:rPr>
                <w:color w:val="000000"/>
              </w:rPr>
            </w:pPr>
            <w:r>
              <w:rPr>
                <w:color w:val="000000"/>
              </w:rPr>
              <w:t>0.87-1.24</w:t>
            </w:r>
          </w:p>
        </w:tc>
        <w:tc>
          <w:tcPr>
            <w:tcW w:w="0" w:type="auto"/>
            <w:vAlign w:val="center"/>
          </w:tcPr>
          <w:p w14:paraId="4BC98D5B" w14:textId="77777777" w:rsidR="00AE3383" w:rsidRDefault="00AE3383" w:rsidP="00504501">
            <w:pPr>
              <w:pStyle w:val="Tabelleneintrag"/>
              <w:spacing w:before="0"/>
              <w:jc w:val="center"/>
              <w:rPr>
                <w:color w:val="000000"/>
              </w:rPr>
            </w:pPr>
            <w:r>
              <w:rPr>
                <w:color w:val="000000"/>
              </w:rPr>
              <w:t>0.6576</w:t>
            </w:r>
          </w:p>
        </w:tc>
      </w:tr>
    </w:tbl>
    <w:p w14:paraId="645E00EA" w14:textId="77777777" w:rsidR="00AE3383" w:rsidRDefault="00AE3383" w:rsidP="00AE3383">
      <w:pPr>
        <w:pStyle w:val="Tabellenfu"/>
        <w:rPr>
          <w:rFonts w:asciiTheme="minorHAnsi" w:hAnsiTheme="minorHAnsi"/>
          <w:bCs/>
          <w:szCs w:val="18"/>
        </w:rPr>
      </w:pPr>
      <w:r>
        <w:rPr>
          <w:rFonts w:asciiTheme="minorHAnsi" w:hAnsiTheme="minorHAnsi"/>
          <w:bCs/>
          <w:szCs w:val="18"/>
          <w:vertAlign w:val="superscript"/>
        </w:rPr>
        <w:t xml:space="preserve">† </w:t>
      </w:r>
      <w:r>
        <w:rPr>
          <w:rFonts w:asciiTheme="minorHAnsi" w:hAnsiTheme="minorHAnsi"/>
          <w:bCs/>
          <w:szCs w:val="18"/>
        </w:rPr>
        <w:t>H</w:t>
      </w:r>
      <w:r>
        <w:rPr>
          <w:rFonts w:asciiTheme="minorHAnsi" w:hAnsiTheme="minorHAnsi"/>
          <w:bCs/>
          <w:szCs w:val="18"/>
          <w:vertAlign w:val="subscript"/>
        </w:rPr>
        <w:t>0</w:t>
      </w:r>
      <w:r>
        <w:rPr>
          <w:rFonts w:asciiTheme="minorHAnsi" w:hAnsiTheme="minorHAnsi"/>
          <w:bCs/>
          <w:szCs w:val="18"/>
        </w:rPr>
        <w:t>: RR=1</w:t>
      </w:r>
    </w:p>
    <w:p w14:paraId="3D597106" w14:textId="77777777" w:rsidR="002A5CF3" w:rsidRDefault="00A66EF6" w:rsidP="008B134C">
      <w:pPr>
        <w:pStyle w:val="berschrift2"/>
      </w:pPr>
      <w:bookmarkStart w:id="6" w:name="_Ref223680722"/>
      <w:r>
        <w:t xml:space="preserve">Details to: Translation of the </w:t>
      </w:r>
      <w:r>
        <w:rPr>
          <w:b/>
        </w:rPr>
        <w:t xml:space="preserve">genotype </w:t>
      </w:r>
      <w:r>
        <w:t>doses into genotype probabilities</w:t>
      </w:r>
      <w:bookmarkEnd w:id="6"/>
    </w:p>
    <w:p w14:paraId="757AA076" w14:textId="7435E570" w:rsidR="0019508A" w:rsidRDefault="008C4738" w:rsidP="0004575D">
      <w:r>
        <w:t xml:space="preserve">FLDSf is a highly flexible six-parametric function for isotonic transformation of a variable X of the value space [0-1] to a variable Y of the same value space [0-1] </w:t>
      </w:r>
      <w:r>
        <w:fldChar w:fldCharType="begin"/>
      </w:r>
      <w:r w:rsidR="00F53735">
        <w:instrText xml:space="preserve"> ADDIN ZOTERO_ITEM CSL_CITATION {"citationID":"jEXId1Fo","properties":{"unsorted":false,"formattedCitation":"(6)","plainCitation":"(6)","noteIndex":0},"citationItems":[{"id":13702,"uris":["http://zotero.org/users/806795/items/56IWTPN7","http://zotero.org/users/806795/items/3QFI4R9V"],"itemData":{"id":13702,"type":"article-journal","abstract":"The values of a measured, derived or estimated variable often differ from the “true,” “undistorted” values of a desired dimension. Output values of noncalibrated measuring instruments, misspecification of analysis models or too inflexible activation functions can lead to inappropriate decisions in all situations. Therefore, a highly flexible mathematical function (FLDS) for the isotonic transformation of a variable X of the value space (0-1) to a variable Y of the same value space (0-1) is presented here. With four or six parameters, almost all conceivable function curves can be represented. This allows overcoming restrictions of other functions, such as linearity or constant curvature. FLDS outperforms competitors such as spline functions or an adapted version of the Emax function in terms of the goodness of fit to the simulated data. The FLDS function can be used in a variety of ways.","container-title":"Journal of Probability and Statistics","DOI":"10.1155/jpas/6076741","ISSN":"1687-9538","issue":"1","language":"en","license":"Copyright © 2026 Albert Rosenberger. Journal of Probability and Statistics published by John Wiley &amp; Sons Ltd.","note":"_eprint: https://onlinelibrary.wiley.com/doi/pdf/10.1155/jpas/6076741","page":"6076741","source":"Wiley Online Library","title":"FLDS: A Flexible, Limited, Double-Sigmoid Transmission Function","title-short":"FLDS","URL":"https://onlinelibrary.wiley.com/doi/abs/10.1155/jpas/6076741","volume":"2026","author":[{"family":"Rosenberger","given":"Albert"}],"accessed":{"date-parts":[["2026",3,17]]},"issued":{"date-parts":[["2026"]]}}}],"schema":"https://github.com/citation-style-language/schema/raw/master/csl-citation.json"} </w:instrText>
      </w:r>
      <w:r>
        <w:fldChar w:fldCharType="separate"/>
      </w:r>
      <w:r w:rsidR="00F53735" w:rsidRPr="00F53735">
        <w:rPr>
          <w:rFonts w:ascii="Calibri" w:hAnsi="Calibri" w:cs="Calibri"/>
        </w:rPr>
        <w:t>(6)</w:t>
      </w:r>
      <w:r>
        <w:fldChar w:fldCharType="end"/>
      </w:r>
      <w:r w:rsidR="002615EC">
        <w:t>.</w:t>
      </w:r>
      <w:r>
        <w:t xml:space="preserve"> We applied it to translate observed genotype doses (range 0 to 100) to genotype probabilities (range 0 to 1). </w:t>
      </w:r>
      <w:r w:rsidR="00DA4419" w:rsidRPr="00DA4419">
        <w:rPr>
          <w:lang w:val="en-US"/>
        </w:rPr>
        <w:t xml:space="preserve">The parameters of the FLDSf transformation per marker and per NGS setting were estimated during </w:t>
      </w:r>
      <w:r w:rsidR="00DA4419">
        <w:rPr>
          <w:lang w:val="en-US"/>
        </w:rPr>
        <w:t>fitting</w:t>
      </w:r>
      <w:r w:rsidR="00DA4419" w:rsidRPr="00DA4419">
        <w:rPr>
          <w:lang w:val="en-US"/>
        </w:rPr>
        <w:t xml:space="preserve"> the G model by maximizing the probability (ML method</w:t>
      </w:r>
      <w:r>
        <w:rPr>
          <w:lang w:val="en-US"/>
        </w:rPr>
        <w:t>, with fixed MAF</w:t>
      </w:r>
      <w:r w:rsidR="00DA4419" w:rsidRPr="00DA4419">
        <w:rPr>
          <w:lang w:val="en-US"/>
        </w:rPr>
        <w:t>).</w:t>
      </w:r>
      <w:r w:rsidR="00DA4419">
        <w:rPr>
          <w:lang w:val="en-US"/>
        </w:rPr>
        <w:t xml:space="preserve"> The</w:t>
      </w:r>
      <w:r w:rsidR="00182F20">
        <w:t xml:space="preserve"> 87 </w:t>
      </w:r>
      <w:r w:rsidR="00DA4419" w:rsidRPr="00DA4419">
        <w:rPr>
          <w:lang w:val="en-US"/>
        </w:rPr>
        <w:t>FLDSf</w:t>
      </w:r>
      <w:r w:rsidR="00DA4419">
        <w:t xml:space="preserve"> parameters sets </w:t>
      </w:r>
      <w:r w:rsidR="00182F20">
        <w:t xml:space="preserve">(29 markers x 3 NGS-settings), </w:t>
      </w:r>
      <w:r w:rsidR="00DA4419">
        <w:t xml:space="preserve">grouped into </w:t>
      </w:r>
      <w:r w:rsidR="00182F20">
        <w:t xml:space="preserve">12 </w:t>
      </w:r>
      <w:r w:rsidR="00DA4419">
        <w:t>clusters with strong</w:t>
      </w:r>
      <w:r w:rsidR="00182F20">
        <w:t xml:space="preserve"> similarity</w:t>
      </w:r>
      <w:r w:rsidR="00DA4419">
        <w:t xml:space="preserve"> </w:t>
      </w:r>
      <w:r w:rsidR="00182F20">
        <w:t>(nearest centroid sorting via PROC FASTCLUS, SAS</w:t>
      </w:r>
      <w:r w:rsidR="00182F20" w:rsidRPr="00BC5452">
        <w:rPr>
          <w:vertAlign w:val="superscript"/>
        </w:rPr>
        <w:t>©</w:t>
      </w:r>
      <w:r w:rsidR="00182F20">
        <w:t>).</w:t>
      </w:r>
      <w:r w:rsidR="00DA4419">
        <w:t xml:space="preserve"> </w:t>
      </w:r>
      <w:r w:rsidRPr="00DA4419">
        <w:rPr>
          <w:lang w:val="en-US"/>
        </w:rPr>
        <w:t>FLDSf</w:t>
      </w:r>
      <w:r>
        <w:t xml:space="preserve"> parameter sets were created. </w:t>
      </w:r>
    </w:p>
    <w:p w14:paraId="7E5AAB42" w14:textId="246A660A" w:rsidR="0019508A" w:rsidRDefault="0019508A" w:rsidP="0019508A">
      <w:pPr>
        <w:rPr>
          <w:lang w:val="en-US"/>
        </w:rPr>
      </w:pPr>
      <w:r>
        <w:rPr>
          <w:lang w:val="en-US"/>
        </w:rPr>
        <w:t>It is worth to note, that there was n</w:t>
      </w:r>
      <w:r w:rsidRPr="008C4738">
        <w:rPr>
          <w:lang w:val="en-US"/>
        </w:rPr>
        <w:t xml:space="preserve">o marker and no NGS setting </w:t>
      </w:r>
      <w:r>
        <w:rPr>
          <w:lang w:val="en-US"/>
        </w:rPr>
        <w:t xml:space="preserve">for which </w:t>
      </w:r>
      <w:r w:rsidRPr="008C4738">
        <w:rPr>
          <w:lang w:val="en-US"/>
        </w:rPr>
        <w:t>one and the same cluster</w:t>
      </w:r>
      <w:r>
        <w:rPr>
          <w:lang w:val="en-US"/>
        </w:rPr>
        <w:t xml:space="preserve"> </w:t>
      </w:r>
      <w:r w:rsidRPr="008C4738">
        <w:rPr>
          <w:lang w:val="en-US"/>
        </w:rPr>
        <w:t>could be assigned.</w:t>
      </w:r>
      <w:r>
        <w:rPr>
          <w:lang w:val="en-US"/>
        </w:rPr>
        <w:t xml:space="preserve"> </w:t>
      </w:r>
      <w:r w:rsidRPr="0019508A">
        <w:rPr>
          <w:lang w:val="en-US"/>
        </w:rPr>
        <w:t xml:space="preserve">No pattern </w:t>
      </w:r>
      <w:r>
        <w:rPr>
          <w:lang w:val="en-US"/>
        </w:rPr>
        <w:t>whatsoever was</w:t>
      </w:r>
      <w:r w:rsidRPr="0019508A">
        <w:rPr>
          <w:lang w:val="en-US"/>
        </w:rPr>
        <w:t xml:space="preserve"> identified for which NGS setting or </w:t>
      </w:r>
      <w:r>
        <w:rPr>
          <w:lang w:val="en-US"/>
        </w:rPr>
        <w:t xml:space="preserve">which </w:t>
      </w:r>
      <w:r w:rsidRPr="0019508A">
        <w:rPr>
          <w:lang w:val="en-US"/>
        </w:rPr>
        <w:t>marker a particular FLDSf transformation was considered "optimal".</w:t>
      </w:r>
    </w:p>
    <w:p w14:paraId="4E0DCC08" w14:textId="7ACCCD37" w:rsidR="00D009F5" w:rsidRPr="00D009F5" w:rsidRDefault="00A66EF6" w:rsidP="00D009F5">
      <w:pPr>
        <w:rPr>
          <w:lang w:val="en-US"/>
        </w:rPr>
      </w:pPr>
      <w:r w:rsidRPr="00D3791A">
        <w:rPr>
          <w:lang w:val="en-US"/>
        </w:rPr>
        <w:t xml:space="preserve">The genotype </w:t>
      </w:r>
      <w:r w:rsidRPr="00D009F5">
        <w:rPr>
          <w:lang w:val="en-US"/>
        </w:rPr>
        <w:t xml:space="preserve">probability was </w:t>
      </w:r>
      <w:r w:rsidR="00DA4419" w:rsidRPr="00D009F5">
        <w:rPr>
          <w:lang w:val="en-US"/>
        </w:rPr>
        <w:t xml:space="preserve">then </w:t>
      </w:r>
      <w:r w:rsidRPr="00D009F5">
        <w:rPr>
          <w:lang w:val="en-US"/>
        </w:rPr>
        <w:t xml:space="preserve">determined from the observed genotype doses (range 0 to 100) according to </w:t>
      </w:r>
      <w:r w:rsidR="008C4738" w:rsidRPr="00D009F5">
        <w:rPr>
          <w:lang w:val="en-US"/>
        </w:rPr>
        <w:t xml:space="preserve">the related </w:t>
      </w:r>
      <w:r w:rsidR="0004575D" w:rsidRPr="00D009F5">
        <w:rPr>
          <w:lang w:val="en-US"/>
        </w:rPr>
        <w:t>12 FLDSf</w:t>
      </w:r>
      <w:r w:rsidR="006E1DAF" w:rsidRPr="00D009F5">
        <w:rPr>
          <w:lang w:val="en-US"/>
        </w:rPr>
        <w:t xml:space="preserve"> </w:t>
      </w:r>
      <w:r w:rsidR="0004575D" w:rsidRPr="00D009F5">
        <w:rPr>
          <w:lang w:val="en-US"/>
        </w:rPr>
        <w:t>transformation cluster</w:t>
      </w:r>
      <w:r w:rsidR="006E1DAF" w:rsidRPr="00D009F5">
        <w:rPr>
          <w:lang w:val="en-US"/>
        </w:rPr>
        <w:t>s</w:t>
      </w:r>
      <w:r w:rsidRPr="00D009F5">
        <w:rPr>
          <w:lang w:val="en-US"/>
        </w:rPr>
        <w:t>, depending on the marker and NGS setting (see</w:t>
      </w:r>
      <w:r w:rsidR="00D009F5">
        <w:rPr>
          <w:lang w:val="en-US"/>
        </w:rPr>
        <w:t xml:space="preserve"> </w:t>
      </w:r>
      <w:r w:rsidR="00D009F5">
        <w:rPr>
          <w:lang w:val="en-US"/>
        </w:rPr>
        <w:fldChar w:fldCharType="begin"/>
      </w:r>
      <w:r w:rsidR="00D009F5">
        <w:rPr>
          <w:lang w:val="en-US"/>
        </w:rPr>
        <w:instrText xml:space="preserve"> REF _Ref234932639 \h </w:instrText>
      </w:r>
      <w:r w:rsidR="00D009F5">
        <w:rPr>
          <w:lang w:val="en-US"/>
        </w:rPr>
      </w:r>
      <w:r w:rsidR="00D009F5">
        <w:rPr>
          <w:lang w:val="en-US"/>
        </w:rPr>
        <w:fldChar w:fldCharType="separate"/>
      </w:r>
      <w:r w:rsidR="00D3791A">
        <w:t xml:space="preserve">S-Figure </w:t>
      </w:r>
      <w:r w:rsidR="00D3791A">
        <w:rPr>
          <w:noProof/>
        </w:rPr>
        <w:t>1</w:t>
      </w:r>
      <w:r w:rsidR="00D009F5">
        <w:rPr>
          <w:lang w:val="en-US"/>
        </w:rPr>
        <w:fldChar w:fldCharType="end"/>
      </w:r>
      <w:r w:rsidR="00D009F5">
        <w:rPr>
          <w:lang w:val="en-US"/>
        </w:rPr>
        <w:t>).</w:t>
      </w:r>
    </w:p>
    <w:p w14:paraId="35993A14" w14:textId="0A5F6CA2" w:rsidR="0019508A" w:rsidRPr="0019508A" w:rsidRDefault="0019508A" w:rsidP="0004575D">
      <w:pPr>
        <w:rPr>
          <w:lang w:val="en-US"/>
        </w:rPr>
      </w:pPr>
      <w:bookmarkStart w:id="7" w:name="_Ref212025936"/>
    </w:p>
    <w:p w14:paraId="36405DA8" w14:textId="0F58EAB0" w:rsidR="0004575D" w:rsidRDefault="0004575D" w:rsidP="009953B5">
      <w:pPr>
        <w:pStyle w:val="Beschriftung"/>
        <w:jc w:val="center"/>
      </w:pPr>
      <w:bookmarkStart w:id="8" w:name="_Ref234932639"/>
      <w:bookmarkStart w:id="9" w:name="_Ref223616516"/>
      <w:r>
        <w:t xml:space="preserve">S-Figure </w:t>
      </w:r>
      <w:r>
        <w:fldChar w:fldCharType="begin"/>
      </w:r>
      <w:r>
        <w:instrText xml:space="preserve"> SEQ S-Figure \* ARABIC </w:instrText>
      </w:r>
      <w:r>
        <w:fldChar w:fldCharType="separate"/>
      </w:r>
      <w:r w:rsidR="00D3791A">
        <w:rPr>
          <w:noProof/>
        </w:rPr>
        <w:t>1</w:t>
      </w:r>
      <w:r>
        <w:fldChar w:fldCharType="end"/>
      </w:r>
      <w:bookmarkEnd w:id="8"/>
      <w:r>
        <w:tab/>
        <w:t>Twelve clusters of FLDSf transformations</w:t>
      </w:r>
    </w:p>
    <w:p w14:paraId="73487C5A" w14:textId="77777777" w:rsidR="00491B3C" w:rsidRDefault="0004575D" w:rsidP="009953B5">
      <w:pPr>
        <w:pStyle w:val="Flietext"/>
        <w:keepNext/>
        <w:jc w:val="center"/>
      </w:pPr>
      <w:r>
        <w:rPr>
          <w:noProof/>
          <w:lang w:eastAsia="en-GB"/>
        </w:rPr>
        <w:drawing>
          <wp:inline distT="0" distB="0" distL="0" distR="0" wp14:anchorId="43FF351E" wp14:editId="30A58E46">
            <wp:extent cx="3920949" cy="2448000"/>
            <wp:effectExtent l="0" t="0" r="3810" b="0"/>
            <wp:docPr id="9" name="Grafik 9" descr="Zeigt dier 12 verschieden abcduo-Transformationen" title="Abbildu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20949" cy="2448000"/>
                    </a:xfrm>
                    <a:prstGeom prst="rect">
                      <a:avLst/>
                    </a:prstGeom>
                    <a:noFill/>
                    <a:ln>
                      <a:noFill/>
                    </a:ln>
                  </pic:spPr>
                </pic:pic>
              </a:graphicData>
            </a:graphic>
          </wp:inline>
        </w:drawing>
      </w:r>
    </w:p>
    <w:p w14:paraId="5E55C83A" w14:textId="0ABBD8AC" w:rsidR="0004575D" w:rsidRPr="0007103B" w:rsidRDefault="00491B3C" w:rsidP="00D009F5">
      <w:pPr>
        <w:pStyle w:val="Tabellenfu"/>
        <w:rPr>
          <w:lang w:val="en-GB"/>
        </w:rPr>
      </w:pPr>
      <w:r w:rsidRPr="0007103B">
        <w:rPr>
          <w:lang w:val="en-GB"/>
        </w:rPr>
        <w:t>The numbering scheme of “clusters” is none-informative, as the assignment of markers/NGS-settings to clusters.</w:t>
      </w:r>
    </w:p>
    <w:p w14:paraId="6374018B" w14:textId="57180F0C" w:rsidR="00D009F5" w:rsidRDefault="00D009F5" w:rsidP="00491B3C">
      <w:pPr>
        <w:pStyle w:val="Flietext"/>
        <w:keepNext/>
        <w:jc w:val="center"/>
      </w:pPr>
    </w:p>
    <w:p w14:paraId="51062F60" w14:textId="77777777" w:rsidR="00D009F5" w:rsidRDefault="00D009F5" w:rsidP="00491B3C">
      <w:pPr>
        <w:pStyle w:val="Flietext"/>
        <w:keepNext/>
        <w:jc w:val="center"/>
      </w:pPr>
    </w:p>
    <w:p w14:paraId="1BEF3CE1" w14:textId="4AEE28C1" w:rsidR="0004575D" w:rsidRDefault="0004575D" w:rsidP="0004575D">
      <w:pPr>
        <w:pStyle w:val="Beschriftung"/>
        <w:jc w:val="center"/>
      </w:pPr>
      <w:r>
        <w:t xml:space="preserve">S-Table </w:t>
      </w:r>
      <w:r>
        <w:fldChar w:fldCharType="begin"/>
      </w:r>
      <w:r>
        <w:instrText xml:space="preserve"> SEQ S-Table \* ARABIC </w:instrText>
      </w:r>
      <w:r>
        <w:fldChar w:fldCharType="separate"/>
      </w:r>
      <w:r w:rsidR="00D3791A">
        <w:rPr>
          <w:noProof/>
        </w:rPr>
        <w:t>5</w:t>
      </w:r>
      <w:r>
        <w:fldChar w:fldCharType="end"/>
      </w:r>
      <w:r>
        <w:tab/>
      </w:r>
      <w:r w:rsidR="00491B3C">
        <w:t>Estimated p</w:t>
      </w:r>
      <w:r>
        <w:t>arameters of the twelve clusters of FLDSf transformations</w:t>
      </w:r>
    </w:p>
    <w:tbl>
      <w:tblPr>
        <w:tblStyle w:val="Listentabelle2Akzent3"/>
        <w:tblW w:w="0" w:type="auto"/>
        <w:jc w:val="center"/>
        <w:tblLook w:val="0420" w:firstRow="1" w:lastRow="0" w:firstColumn="0" w:lastColumn="0" w:noHBand="0" w:noVBand="1"/>
        <w:tblCaption w:val="Tabelle 5"/>
        <w:tblDescription w:val="abcduo-Transformations-Cluster)"/>
      </w:tblPr>
      <w:tblGrid>
        <w:gridCol w:w="677"/>
        <w:gridCol w:w="549"/>
        <w:gridCol w:w="500"/>
        <w:gridCol w:w="500"/>
        <w:gridCol w:w="500"/>
        <w:gridCol w:w="500"/>
        <w:gridCol w:w="500"/>
        <w:gridCol w:w="940"/>
        <w:gridCol w:w="939"/>
        <w:gridCol w:w="939"/>
        <w:gridCol w:w="662"/>
      </w:tblGrid>
      <w:tr w:rsidR="002A5CF3" w14:paraId="3D597110" w14:textId="77777777" w:rsidTr="002A5CF3">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D59710C" w14:textId="77777777" w:rsidR="002A5CF3" w:rsidRDefault="002A5CF3">
            <w:pPr>
              <w:pStyle w:val="Tabelleneintrag"/>
              <w:rPr>
                <w:i/>
              </w:rPr>
            </w:pPr>
            <w:bookmarkStart w:id="10" w:name="_Toc197437130"/>
            <w:bookmarkStart w:id="11" w:name="_Toc199774696"/>
            <w:bookmarkEnd w:id="7"/>
            <w:bookmarkEnd w:id="9"/>
          </w:p>
        </w:tc>
        <w:tc>
          <w:tcPr>
            <w:tcW w:w="0" w:type="auto"/>
            <w:gridSpan w:val="6"/>
            <w:vAlign w:val="center"/>
          </w:tcPr>
          <w:p w14:paraId="3D59710D" w14:textId="77777777" w:rsidR="002A5CF3" w:rsidRDefault="00A66EF6">
            <w:pPr>
              <w:pStyle w:val="Tabelleneintrag"/>
              <w:jc w:val="center"/>
              <w:rPr>
                <w:i/>
              </w:rPr>
            </w:pPr>
            <w:r>
              <w:rPr>
                <w:i/>
              </w:rPr>
              <w:t>Function parameter</w:t>
            </w:r>
          </w:p>
        </w:tc>
        <w:tc>
          <w:tcPr>
            <w:tcW w:w="0" w:type="auto"/>
            <w:gridSpan w:val="3"/>
            <w:vAlign w:val="center"/>
          </w:tcPr>
          <w:p w14:paraId="3D59710E" w14:textId="77777777" w:rsidR="002A5CF3" w:rsidRDefault="00A66EF6">
            <w:pPr>
              <w:pStyle w:val="Tabelleneintrag"/>
              <w:jc w:val="center"/>
              <w:rPr>
                <w:i/>
              </w:rPr>
            </w:pPr>
            <w:r>
              <w:rPr>
                <w:i/>
              </w:rPr>
              <w:t>Probability of a heterozygosity at dose:</w:t>
            </w:r>
          </w:p>
        </w:tc>
        <w:tc>
          <w:tcPr>
            <w:tcW w:w="0" w:type="auto"/>
          </w:tcPr>
          <w:p w14:paraId="3D59710F" w14:textId="77777777" w:rsidR="002A5CF3" w:rsidRDefault="002A5CF3">
            <w:pPr>
              <w:pStyle w:val="Tabelleneintrag"/>
              <w:rPr>
                <w:i/>
              </w:rPr>
            </w:pPr>
          </w:p>
        </w:tc>
      </w:tr>
      <w:tr w:rsidR="002A5CF3" w14:paraId="3D59711C" w14:textId="77777777" w:rsidTr="002A5CF3">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D597111" w14:textId="77777777" w:rsidR="002A5CF3" w:rsidRDefault="00A66EF6">
            <w:pPr>
              <w:pStyle w:val="Tabelleneintrag"/>
              <w:rPr>
                <w:i/>
              </w:rPr>
            </w:pPr>
            <w:bookmarkStart w:id="12" w:name="IDX31"/>
            <w:bookmarkEnd w:id="10"/>
            <w:bookmarkEnd w:id="11"/>
            <w:bookmarkEnd w:id="12"/>
            <w:r>
              <w:rPr>
                <w:i/>
              </w:rPr>
              <w:t>Cluster</w:t>
            </w:r>
          </w:p>
        </w:tc>
        <w:tc>
          <w:tcPr>
            <w:tcW w:w="0" w:type="auto"/>
            <w:vAlign w:val="center"/>
          </w:tcPr>
          <w:p w14:paraId="3D597112" w14:textId="77777777" w:rsidR="002A5CF3" w:rsidRDefault="00A66EF6">
            <w:pPr>
              <w:pStyle w:val="Tabelleneintrag"/>
              <w:jc w:val="right"/>
              <w:rPr>
                <w:i/>
              </w:rPr>
            </w:pPr>
            <w:r>
              <w:rPr>
                <w:i/>
              </w:rPr>
              <w:t>a</w:t>
            </w:r>
          </w:p>
        </w:tc>
        <w:tc>
          <w:tcPr>
            <w:tcW w:w="0" w:type="auto"/>
            <w:vAlign w:val="center"/>
          </w:tcPr>
          <w:p w14:paraId="3D597113" w14:textId="77777777" w:rsidR="002A5CF3" w:rsidRDefault="00A66EF6">
            <w:pPr>
              <w:pStyle w:val="Tabelleneintrag"/>
              <w:jc w:val="right"/>
              <w:rPr>
                <w:i/>
              </w:rPr>
            </w:pPr>
            <w:r>
              <w:rPr>
                <w:i/>
              </w:rPr>
              <w:t>b</w:t>
            </w:r>
          </w:p>
        </w:tc>
        <w:tc>
          <w:tcPr>
            <w:tcW w:w="0" w:type="auto"/>
            <w:vAlign w:val="center"/>
          </w:tcPr>
          <w:p w14:paraId="3D597114" w14:textId="77777777" w:rsidR="002A5CF3" w:rsidRDefault="00A66EF6">
            <w:pPr>
              <w:pStyle w:val="Tabelleneintrag"/>
              <w:jc w:val="right"/>
              <w:rPr>
                <w:i/>
              </w:rPr>
            </w:pPr>
            <w:r>
              <w:rPr>
                <w:i/>
              </w:rPr>
              <w:t>c</w:t>
            </w:r>
          </w:p>
        </w:tc>
        <w:tc>
          <w:tcPr>
            <w:tcW w:w="0" w:type="auto"/>
            <w:vAlign w:val="center"/>
          </w:tcPr>
          <w:p w14:paraId="3D597115" w14:textId="77777777" w:rsidR="002A5CF3" w:rsidRDefault="00A66EF6">
            <w:pPr>
              <w:pStyle w:val="Tabelleneintrag"/>
              <w:jc w:val="right"/>
              <w:rPr>
                <w:i/>
              </w:rPr>
            </w:pPr>
            <w:r>
              <w:rPr>
                <w:i/>
              </w:rPr>
              <w:t>d</w:t>
            </w:r>
          </w:p>
        </w:tc>
        <w:tc>
          <w:tcPr>
            <w:tcW w:w="0" w:type="auto"/>
            <w:vAlign w:val="center"/>
          </w:tcPr>
          <w:p w14:paraId="3D597116" w14:textId="77777777" w:rsidR="002A5CF3" w:rsidRDefault="00A66EF6">
            <w:pPr>
              <w:pStyle w:val="Tabelleneintrag"/>
              <w:jc w:val="right"/>
              <w:rPr>
                <w:i/>
              </w:rPr>
            </w:pPr>
            <w:r>
              <w:rPr>
                <w:i/>
              </w:rPr>
              <w:t>u</w:t>
            </w:r>
          </w:p>
        </w:tc>
        <w:tc>
          <w:tcPr>
            <w:tcW w:w="0" w:type="auto"/>
            <w:vAlign w:val="center"/>
          </w:tcPr>
          <w:p w14:paraId="3D597117" w14:textId="77777777" w:rsidR="002A5CF3" w:rsidRDefault="00A66EF6">
            <w:pPr>
              <w:pStyle w:val="Tabelleneintrag"/>
              <w:jc w:val="right"/>
              <w:rPr>
                <w:i/>
              </w:rPr>
            </w:pPr>
            <w:r>
              <w:rPr>
                <w:i/>
              </w:rPr>
              <w:t>o</w:t>
            </w:r>
          </w:p>
        </w:tc>
        <w:tc>
          <w:tcPr>
            <w:tcW w:w="0" w:type="auto"/>
            <w:vAlign w:val="center"/>
          </w:tcPr>
          <w:p w14:paraId="3D597118" w14:textId="77777777" w:rsidR="002A5CF3" w:rsidRDefault="00A66EF6">
            <w:pPr>
              <w:pStyle w:val="Tabelleneintrag"/>
              <w:jc w:val="right"/>
              <w:rPr>
                <w:i/>
              </w:rPr>
            </w:pPr>
            <w:r>
              <w:rPr>
                <w:i/>
              </w:rPr>
              <w:t>10 or 90</w:t>
            </w:r>
          </w:p>
        </w:tc>
        <w:tc>
          <w:tcPr>
            <w:tcW w:w="0" w:type="auto"/>
            <w:vAlign w:val="center"/>
          </w:tcPr>
          <w:p w14:paraId="3D597119" w14:textId="77777777" w:rsidR="002A5CF3" w:rsidRDefault="00A66EF6">
            <w:pPr>
              <w:pStyle w:val="Tabelleneintrag"/>
              <w:jc w:val="right"/>
              <w:rPr>
                <w:i/>
              </w:rPr>
            </w:pPr>
            <w:r>
              <w:rPr>
                <w:i/>
              </w:rPr>
              <w:t>25 or 75</w:t>
            </w:r>
          </w:p>
        </w:tc>
        <w:tc>
          <w:tcPr>
            <w:tcW w:w="0" w:type="auto"/>
            <w:vAlign w:val="center"/>
          </w:tcPr>
          <w:p w14:paraId="3D59711A" w14:textId="77777777" w:rsidR="002A5CF3" w:rsidRDefault="00A66EF6">
            <w:pPr>
              <w:pStyle w:val="Tabelleneintrag"/>
              <w:jc w:val="right"/>
              <w:rPr>
                <w:i/>
              </w:rPr>
            </w:pPr>
            <w:r>
              <w:rPr>
                <w:i/>
              </w:rPr>
              <w:t>40 or 60</w:t>
            </w:r>
          </w:p>
        </w:tc>
        <w:tc>
          <w:tcPr>
            <w:tcW w:w="0" w:type="auto"/>
            <w:vAlign w:val="center"/>
          </w:tcPr>
          <w:p w14:paraId="3D59711B" w14:textId="77777777" w:rsidR="002A5CF3" w:rsidRDefault="00A66EF6">
            <w:pPr>
              <w:pStyle w:val="Tabelleneintrag"/>
              <w:jc w:val="right"/>
              <w:rPr>
                <w:i/>
              </w:rPr>
            </w:pPr>
            <w:r>
              <w:rPr>
                <w:i/>
              </w:rPr>
              <w:t>F</w:t>
            </w:r>
          </w:p>
        </w:tc>
      </w:tr>
      <w:tr w:rsidR="002A5CF3" w14:paraId="3D597128" w14:textId="77777777" w:rsidTr="002A5CF3">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3D59711D" w14:textId="77777777" w:rsidR="002A5CF3" w:rsidRDefault="00A66EF6">
            <w:pPr>
              <w:pStyle w:val="Tabelleneintrag"/>
              <w:jc w:val="right"/>
            </w:pPr>
            <w:r>
              <w:t>3</w:t>
            </w:r>
          </w:p>
        </w:tc>
        <w:tc>
          <w:tcPr>
            <w:tcW w:w="0" w:type="auto"/>
            <w:vAlign w:val="center"/>
          </w:tcPr>
          <w:p w14:paraId="3D59711E" w14:textId="42D67D85" w:rsidR="002A5CF3" w:rsidRDefault="00A66EF6">
            <w:pPr>
              <w:pStyle w:val="Tabelleneintrag"/>
              <w:jc w:val="right"/>
            </w:pPr>
            <w:r>
              <w:t>-2</w:t>
            </w:r>
            <w:r w:rsidR="006D4F1E">
              <w:t>.</w:t>
            </w:r>
            <w:r>
              <w:t>00</w:t>
            </w:r>
          </w:p>
        </w:tc>
        <w:tc>
          <w:tcPr>
            <w:tcW w:w="0" w:type="auto"/>
            <w:vAlign w:val="center"/>
          </w:tcPr>
          <w:p w14:paraId="3D59711F" w14:textId="6BDDF762" w:rsidR="002A5CF3" w:rsidRDefault="00A66EF6">
            <w:pPr>
              <w:pStyle w:val="Tabelleneintrag"/>
              <w:jc w:val="right"/>
            </w:pPr>
            <w:r>
              <w:t>2</w:t>
            </w:r>
            <w:r w:rsidR="006D4F1E">
              <w:t>.</w:t>
            </w:r>
            <w:r>
              <w:t>50</w:t>
            </w:r>
          </w:p>
        </w:tc>
        <w:tc>
          <w:tcPr>
            <w:tcW w:w="0" w:type="auto"/>
            <w:vAlign w:val="center"/>
          </w:tcPr>
          <w:p w14:paraId="3D597120" w14:textId="64F98AA7" w:rsidR="002A5CF3" w:rsidRDefault="00A66EF6">
            <w:pPr>
              <w:pStyle w:val="Tabelleneintrag"/>
              <w:jc w:val="right"/>
            </w:pPr>
            <w:r>
              <w:t>1</w:t>
            </w:r>
            <w:r w:rsidR="006D4F1E">
              <w:t>.</w:t>
            </w:r>
            <w:r>
              <w:t>25</w:t>
            </w:r>
          </w:p>
        </w:tc>
        <w:tc>
          <w:tcPr>
            <w:tcW w:w="0" w:type="auto"/>
            <w:vAlign w:val="center"/>
          </w:tcPr>
          <w:p w14:paraId="3D597121" w14:textId="14EB6D9C" w:rsidR="002A5CF3" w:rsidRDefault="00A66EF6">
            <w:pPr>
              <w:pStyle w:val="Tabelleneintrag"/>
              <w:jc w:val="right"/>
            </w:pPr>
            <w:r>
              <w:t>1</w:t>
            </w:r>
            <w:r w:rsidR="006D4F1E">
              <w:t>.</w:t>
            </w:r>
            <w:r>
              <w:t>25</w:t>
            </w:r>
          </w:p>
        </w:tc>
        <w:tc>
          <w:tcPr>
            <w:tcW w:w="0" w:type="auto"/>
            <w:vAlign w:val="center"/>
          </w:tcPr>
          <w:p w14:paraId="3D597122" w14:textId="63C4A1F6" w:rsidR="002A5CF3" w:rsidRDefault="00A66EF6">
            <w:pPr>
              <w:pStyle w:val="Tabelleneintrag"/>
              <w:jc w:val="right"/>
            </w:pPr>
            <w:r>
              <w:t>0</w:t>
            </w:r>
            <w:r w:rsidR="006D4F1E">
              <w:t>.</w:t>
            </w:r>
            <w:r>
              <w:t>02</w:t>
            </w:r>
          </w:p>
        </w:tc>
        <w:tc>
          <w:tcPr>
            <w:tcW w:w="0" w:type="auto"/>
            <w:vAlign w:val="center"/>
          </w:tcPr>
          <w:p w14:paraId="3D597123" w14:textId="021C86EA" w:rsidR="002A5CF3" w:rsidRDefault="00A66EF6">
            <w:pPr>
              <w:pStyle w:val="Tabelleneintrag"/>
              <w:jc w:val="right"/>
            </w:pPr>
            <w:r>
              <w:t>0</w:t>
            </w:r>
            <w:r w:rsidR="006D4F1E">
              <w:t>.</w:t>
            </w:r>
            <w:r>
              <w:t>97</w:t>
            </w:r>
          </w:p>
        </w:tc>
        <w:tc>
          <w:tcPr>
            <w:tcW w:w="0" w:type="auto"/>
            <w:vAlign w:val="center"/>
          </w:tcPr>
          <w:p w14:paraId="3D597124" w14:textId="77777777" w:rsidR="002A5CF3" w:rsidRDefault="00A66EF6">
            <w:pPr>
              <w:pStyle w:val="Tabelleneintrag"/>
              <w:jc w:val="right"/>
            </w:pPr>
            <w:r>
              <w:t>1%</w:t>
            </w:r>
          </w:p>
        </w:tc>
        <w:tc>
          <w:tcPr>
            <w:tcW w:w="0" w:type="auto"/>
            <w:vAlign w:val="center"/>
          </w:tcPr>
          <w:p w14:paraId="3D597125" w14:textId="77777777" w:rsidR="002A5CF3" w:rsidRDefault="00A66EF6">
            <w:pPr>
              <w:pStyle w:val="Tabelleneintrag"/>
              <w:jc w:val="right"/>
            </w:pPr>
            <w:r>
              <w:t>15%</w:t>
            </w:r>
          </w:p>
        </w:tc>
        <w:tc>
          <w:tcPr>
            <w:tcW w:w="0" w:type="auto"/>
            <w:vAlign w:val="center"/>
          </w:tcPr>
          <w:p w14:paraId="3D597126" w14:textId="77777777" w:rsidR="002A5CF3" w:rsidRDefault="00A66EF6">
            <w:pPr>
              <w:pStyle w:val="Tabelleneintrag"/>
              <w:jc w:val="right"/>
            </w:pPr>
            <w:r>
              <w:t>96%</w:t>
            </w:r>
          </w:p>
        </w:tc>
        <w:tc>
          <w:tcPr>
            <w:tcW w:w="0" w:type="auto"/>
            <w:vAlign w:val="center"/>
          </w:tcPr>
          <w:p w14:paraId="3D597127" w14:textId="42D3BD02" w:rsidR="002A5CF3" w:rsidRDefault="00A66EF6">
            <w:pPr>
              <w:pStyle w:val="Tabelleneintrag"/>
              <w:jc w:val="right"/>
            </w:pPr>
            <w:r>
              <w:t>0</w:t>
            </w:r>
            <w:r w:rsidR="006D4F1E">
              <w:t>.</w:t>
            </w:r>
            <w:r>
              <w:t>0100</w:t>
            </w:r>
          </w:p>
        </w:tc>
      </w:tr>
      <w:tr w:rsidR="002A5CF3" w14:paraId="3D597134" w14:textId="77777777" w:rsidTr="002A5CF3">
        <w:trPr>
          <w:jc w:val="center"/>
        </w:trPr>
        <w:tc>
          <w:tcPr>
            <w:tcW w:w="0" w:type="auto"/>
            <w:vAlign w:val="center"/>
          </w:tcPr>
          <w:p w14:paraId="3D597129" w14:textId="77777777" w:rsidR="002A5CF3" w:rsidRDefault="00A66EF6">
            <w:pPr>
              <w:pStyle w:val="Tabelleneintrag"/>
              <w:jc w:val="right"/>
            </w:pPr>
            <w:r>
              <w:t>2</w:t>
            </w:r>
          </w:p>
        </w:tc>
        <w:tc>
          <w:tcPr>
            <w:tcW w:w="0" w:type="auto"/>
            <w:vAlign w:val="center"/>
          </w:tcPr>
          <w:p w14:paraId="3D59712A" w14:textId="2F250D0F" w:rsidR="002A5CF3" w:rsidRDefault="00A66EF6">
            <w:pPr>
              <w:pStyle w:val="Tabelleneintrag"/>
              <w:jc w:val="right"/>
            </w:pPr>
            <w:r>
              <w:t>0</w:t>
            </w:r>
            <w:r w:rsidR="006D4F1E">
              <w:t>.</w:t>
            </w:r>
            <w:r>
              <w:t>40</w:t>
            </w:r>
          </w:p>
        </w:tc>
        <w:tc>
          <w:tcPr>
            <w:tcW w:w="0" w:type="auto"/>
            <w:vAlign w:val="center"/>
          </w:tcPr>
          <w:p w14:paraId="3D59712B" w14:textId="3B625BF1" w:rsidR="002A5CF3" w:rsidRDefault="00A66EF6">
            <w:pPr>
              <w:pStyle w:val="Tabelleneintrag"/>
              <w:jc w:val="right"/>
            </w:pPr>
            <w:r>
              <w:t>2</w:t>
            </w:r>
            <w:r w:rsidR="006D4F1E">
              <w:t>.</w:t>
            </w:r>
            <w:r>
              <w:t>50</w:t>
            </w:r>
          </w:p>
        </w:tc>
        <w:tc>
          <w:tcPr>
            <w:tcW w:w="0" w:type="auto"/>
            <w:vAlign w:val="center"/>
          </w:tcPr>
          <w:p w14:paraId="3D59712C" w14:textId="5F4EE629" w:rsidR="002A5CF3" w:rsidRDefault="00A66EF6">
            <w:pPr>
              <w:pStyle w:val="Tabelleneintrag"/>
              <w:jc w:val="right"/>
            </w:pPr>
            <w:r>
              <w:t>1</w:t>
            </w:r>
            <w:r w:rsidR="006D4F1E">
              <w:t>.</w:t>
            </w:r>
            <w:r>
              <w:t>45</w:t>
            </w:r>
          </w:p>
        </w:tc>
        <w:tc>
          <w:tcPr>
            <w:tcW w:w="0" w:type="auto"/>
            <w:vAlign w:val="center"/>
          </w:tcPr>
          <w:p w14:paraId="3D59712D" w14:textId="718F5973" w:rsidR="002A5CF3" w:rsidRDefault="00A66EF6">
            <w:pPr>
              <w:pStyle w:val="Tabelleneintrag"/>
              <w:jc w:val="right"/>
            </w:pPr>
            <w:r>
              <w:t>1</w:t>
            </w:r>
            <w:r w:rsidR="006D4F1E">
              <w:t>.</w:t>
            </w:r>
            <w:r>
              <w:t>00</w:t>
            </w:r>
          </w:p>
        </w:tc>
        <w:tc>
          <w:tcPr>
            <w:tcW w:w="0" w:type="auto"/>
            <w:vAlign w:val="center"/>
          </w:tcPr>
          <w:p w14:paraId="3D59712E" w14:textId="54ADDBE6" w:rsidR="002A5CF3" w:rsidRDefault="00A66EF6">
            <w:pPr>
              <w:pStyle w:val="Tabelleneintrag"/>
              <w:jc w:val="right"/>
            </w:pPr>
            <w:r>
              <w:t>0</w:t>
            </w:r>
            <w:r w:rsidR="006D4F1E">
              <w:t>.</w:t>
            </w:r>
            <w:r>
              <w:t>02</w:t>
            </w:r>
          </w:p>
        </w:tc>
        <w:tc>
          <w:tcPr>
            <w:tcW w:w="0" w:type="auto"/>
            <w:vAlign w:val="center"/>
          </w:tcPr>
          <w:p w14:paraId="3D59712F" w14:textId="3ED864F9" w:rsidR="002A5CF3" w:rsidRDefault="00A66EF6">
            <w:pPr>
              <w:pStyle w:val="Tabelleneintrag"/>
              <w:jc w:val="right"/>
            </w:pPr>
            <w:r>
              <w:t>0</w:t>
            </w:r>
            <w:r w:rsidR="006D4F1E">
              <w:t>.</w:t>
            </w:r>
            <w:r>
              <w:t>96</w:t>
            </w:r>
          </w:p>
        </w:tc>
        <w:tc>
          <w:tcPr>
            <w:tcW w:w="0" w:type="auto"/>
            <w:vAlign w:val="center"/>
          </w:tcPr>
          <w:p w14:paraId="3D597130" w14:textId="77777777" w:rsidR="002A5CF3" w:rsidRDefault="00A66EF6">
            <w:pPr>
              <w:pStyle w:val="Tabelleneintrag"/>
              <w:jc w:val="right"/>
            </w:pPr>
            <w:r>
              <w:t>1%</w:t>
            </w:r>
          </w:p>
        </w:tc>
        <w:tc>
          <w:tcPr>
            <w:tcW w:w="0" w:type="auto"/>
            <w:vAlign w:val="center"/>
          </w:tcPr>
          <w:p w14:paraId="3D597131" w14:textId="77777777" w:rsidR="002A5CF3" w:rsidRDefault="00A66EF6">
            <w:pPr>
              <w:pStyle w:val="Tabelleneintrag"/>
              <w:jc w:val="right"/>
            </w:pPr>
            <w:r>
              <w:t>28%</w:t>
            </w:r>
          </w:p>
        </w:tc>
        <w:tc>
          <w:tcPr>
            <w:tcW w:w="0" w:type="auto"/>
            <w:vAlign w:val="center"/>
          </w:tcPr>
          <w:p w14:paraId="3D597132" w14:textId="77777777" w:rsidR="002A5CF3" w:rsidRDefault="00A66EF6">
            <w:pPr>
              <w:pStyle w:val="Tabelleneintrag"/>
              <w:jc w:val="right"/>
            </w:pPr>
            <w:r>
              <w:t>99%</w:t>
            </w:r>
          </w:p>
        </w:tc>
        <w:tc>
          <w:tcPr>
            <w:tcW w:w="0" w:type="auto"/>
            <w:vAlign w:val="center"/>
          </w:tcPr>
          <w:p w14:paraId="3D597133" w14:textId="2575CDB4" w:rsidR="002A5CF3" w:rsidRDefault="00A66EF6">
            <w:pPr>
              <w:pStyle w:val="Tabelleneintrag"/>
              <w:jc w:val="right"/>
            </w:pPr>
            <w:r>
              <w:t>0</w:t>
            </w:r>
            <w:r w:rsidR="006D4F1E">
              <w:t>.</w:t>
            </w:r>
            <w:r>
              <w:t>0333</w:t>
            </w:r>
          </w:p>
        </w:tc>
      </w:tr>
      <w:tr w:rsidR="002A5CF3" w14:paraId="3D597140" w14:textId="77777777" w:rsidTr="002A5CF3">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3D597135" w14:textId="77777777" w:rsidR="002A5CF3" w:rsidRDefault="00A66EF6">
            <w:pPr>
              <w:pStyle w:val="Tabelleneintrag"/>
              <w:jc w:val="right"/>
            </w:pPr>
            <w:r>
              <w:t>9</w:t>
            </w:r>
          </w:p>
        </w:tc>
        <w:tc>
          <w:tcPr>
            <w:tcW w:w="0" w:type="auto"/>
            <w:vAlign w:val="center"/>
          </w:tcPr>
          <w:p w14:paraId="3D597136" w14:textId="3509F860" w:rsidR="002A5CF3" w:rsidRDefault="00A66EF6">
            <w:pPr>
              <w:pStyle w:val="Tabelleneintrag"/>
              <w:jc w:val="right"/>
            </w:pPr>
            <w:r>
              <w:t>0</w:t>
            </w:r>
            <w:r w:rsidR="006D4F1E">
              <w:t>.</w:t>
            </w:r>
            <w:r>
              <w:t>00</w:t>
            </w:r>
          </w:p>
        </w:tc>
        <w:tc>
          <w:tcPr>
            <w:tcW w:w="0" w:type="auto"/>
            <w:vAlign w:val="center"/>
          </w:tcPr>
          <w:p w14:paraId="3D597137" w14:textId="07D8228B" w:rsidR="002A5CF3" w:rsidRDefault="00A66EF6">
            <w:pPr>
              <w:pStyle w:val="Tabelleneintrag"/>
              <w:jc w:val="right"/>
            </w:pPr>
            <w:r>
              <w:t>2</w:t>
            </w:r>
            <w:r w:rsidR="006D4F1E">
              <w:t>.</w:t>
            </w:r>
            <w:r>
              <w:t>50</w:t>
            </w:r>
          </w:p>
        </w:tc>
        <w:tc>
          <w:tcPr>
            <w:tcW w:w="0" w:type="auto"/>
            <w:vAlign w:val="center"/>
          </w:tcPr>
          <w:p w14:paraId="3D597138" w14:textId="09FFEA92" w:rsidR="002A5CF3" w:rsidRDefault="00A66EF6">
            <w:pPr>
              <w:pStyle w:val="Tabelleneintrag"/>
              <w:jc w:val="right"/>
            </w:pPr>
            <w:r>
              <w:t>1</w:t>
            </w:r>
            <w:r w:rsidR="006D4F1E">
              <w:t>.</w:t>
            </w:r>
            <w:r>
              <w:t>25</w:t>
            </w:r>
          </w:p>
        </w:tc>
        <w:tc>
          <w:tcPr>
            <w:tcW w:w="0" w:type="auto"/>
            <w:vAlign w:val="center"/>
          </w:tcPr>
          <w:p w14:paraId="3D597139" w14:textId="77D1FDB3" w:rsidR="002A5CF3" w:rsidRDefault="00A66EF6">
            <w:pPr>
              <w:pStyle w:val="Tabelleneintrag"/>
              <w:jc w:val="right"/>
            </w:pPr>
            <w:r>
              <w:t>1</w:t>
            </w:r>
            <w:r w:rsidR="006D4F1E">
              <w:t>.</w:t>
            </w:r>
            <w:r>
              <w:t>08</w:t>
            </w:r>
          </w:p>
        </w:tc>
        <w:tc>
          <w:tcPr>
            <w:tcW w:w="0" w:type="auto"/>
            <w:vAlign w:val="center"/>
          </w:tcPr>
          <w:p w14:paraId="3D59713A" w14:textId="40BE92CC" w:rsidR="002A5CF3" w:rsidRDefault="00A66EF6">
            <w:pPr>
              <w:pStyle w:val="Tabelleneintrag"/>
              <w:jc w:val="right"/>
            </w:pPr>
            <w:r>
              <w:t>0</w:t>
            </w:r>
            <w:r w:rsidR="006D4F1E">
              <w:t>.</w:t>
            </w:r>
            <w:r>
              <w:t>02</w:t>
            </w:r>
          </w:p>
        </w:tc>
        <w:tc>
          <w:tcPr>
            <w:tcW w:w="0" w:type="auto"/>
            <w:vAlign w:val="center"/>
          </w:tcPr>
          <w:p w14:paraId="3D59713B" w14:textId="630CC862" w:rsidR="002A5CF3" w:rsidRDefault="00A66EF6">
            <w:pPr>
              <w:pStyle w:val="Tabelleneintrag"/>
              <w:jc w:val="right"/>
            </w:pPr>
            <w:r>
              <w:t>0</w:t>
            </w:r>
            <w:r w:rsidR="006D4F1E">
              <w:t>.</w:t>
            </w:r>
            <w:r>
              <w:t>97</w:t>
            </w:r>
          </w:p>
        </w:tc>
        <w:tc>
          <w:tcPr>
            <w:tcW w:w="0" w:type="auto"/>
            <w:vAlign w:val="center"/>
          </w:tcPr>
          <w:p w14:paraId="3D59713C" w14:textId="77777777" w:rsidR="002A5CF3" w:rsidRDefault="00A66EF6">
            <w:pPr>
              <w:pStyle w:val="Tabelleneintrag"/>
              <w:jc w:val="right"/>
            </w:pPr>
            <w:r>
              <w:t>3%</w:t>
            </w:r>
          </w:p>
        </w:tc>
        <w:tc>
          <w:tcPr>
            <w:tcW w:w="0" w:type="auto"/>
            <w:vAlign w:val="center"/>
          </w:tcPr>
          <w:p w14:paraId="3D59713D" w14:textId="77777777" w:rsidR="002A5CF3" w:rsidRDefault="00A66EF6">
            <w:pPr>
              <w:pStyle w:val="Tabelleneintrag"/>
              <w:jc w:val="right"/>
            </w:pPr>
            <w:r>
              <w:t>42%</w:t>
            </w:r>
          </w:p>
        </w:tc>
        <w:tc>
          <w:tcPr>
            <w:tcW w:w="0" w:type="auto"/>
            <w:vAlign w:val="center"/>
          </w:tcPr>
          <w:p w14:paraId="3D59713E" w14:textId="77777777" w:rsidR="002A5CF3" w:rsidRDefault="00A66EF6">
            <w:pPr>
              <w:pStyle w:val="Tabelleneintrag"/>
              <w:jc w:val="right"/>
            </w:pPr>
            <w:r>
              <w:t>99%</w:t>
            </w:r>
          </w:p>
        </w:tc>
        <w:tc>
          <w:tcPr>
            <w:tcW w:w="0" w:type="auto"/>
            <w:vAlign w:val="center"/>
          </w:tcPr>
          <w:p w14:paraId="3D59713F" w14:textId="7C5E3195" w:rsidR="002A5CF3" w:rsidRDefault="00A66EF6">
            <w:pPr>
              <w:pStyle w:val="Tabelleneintrag"/>
              <w:jc w:val="right"/>
            </w:pPr>
            <w:r>
              <w:t>0</w:t>
            </w:r>
            <w:r w:rsidR="006D4F1E">
              <w:t>.</w:t>
            </w:r>
            <w:r>
              <w:t>0367</w:t>
            </w:r>
          </w:p>
        </w:tc>
      </w:tr>
      <w:tr w:rsidR="002A5CF3" w14:paraId="3D59714C" w14:textId="77777777" w:rsidTr="002A5CF3">
        <w:trPr>
          <w:jc w:val="center"/>
        </w:trPr>
        <w:tc>
          <w:tcPr>
            <w:tcW w:w="0" w:type="auto"/>
            <w:vAlign w:val="center"/>
          </w:tcPr>
          <w:p w14:paraId="3D597141" w14:textId="77777777" w:rsidR="002A5CF3" w:rsidRDefault="00A66EF6">
            <w:pPr>
              <w:pStyle w:val="Tabelleneintrag"/>
              <w:jc w:val="right"/>
            </w:pPr>
            <w:r>
              <w:t>4</w:t>
            </w:r>
          </w:p>
        </w:tc>
        <w:tc>
          <w:tcPr>
            <w:tcW w:w="0" w:type="auto"/>
            <w:vAlign w:val="center"/>
          </w:tcPr>
          <w:p w14:paraId="3D597142" w14:textId="74C20909" w:rsidR="002A5CF3" w:rsidRDefault="00A66EF6">
            <w:pPr>
              <w:pStyle w:val="Tabelleneintrag"/>
              <w:jc w:val="right"/>
            </w:pPr>
            <w:r>
              <w:t>0</w:t>
            </w:r>
            <w:r w:rsidR="006D4F1E">
              <w:t>.</w:t>
            </w:r>
            <w:r>
              <w:t>00</w:t>
            </w:r>
          </w:p>
        </w:tc>
        <w:tc>
          <w:tcPr>
            <w:tcW w:w="0" w:type="auto"/>
            <w:vAlign w:val="center"/>
          </w:tcPr>
          <w:p w14:paraId="3D597143" w14:textId="34A8F85B" w:rsidR="002A5CF3" w:rsidRDefault="00A66EF6">
            <w:pPr>
              <w:pStyle w:val="Tabelleneintrag"/>
              <w:jc w:val="right"/>
            </w:pPr>
            <w:r>
              <w:t>1</w:t>
            </w:r>
            <w:r w:rsidR="006D4F1E">
              <w:t>.</w:t>
            </w:r>
            <w:r>
              <w:t>00</w:t>
            </w:r>
          </w:p>
        </w:tc>
        <w:tc>
          <w:tcPr>
            <w:tcW w:w="0" w:type="auto"/>
            <w:vAlign w:val="center"/>
          </w:tcPr>
          <w:p w14:paraId="3D597144" w14:textId="02F321FB" w:rsidR="002A5CF3" w:rsidRDefault="00A66EF6">
            <w:pPr>
              <w:pStyle w:val="Tabelleneintrag"/>
              <w:jc w:val="right"/>
            </w:pPr>
            <w:r>
              <w:t>1</w:t>
            </w:r>
            <w:r w:rsidR="006D4F1E">
              <w:t>.</w:t>
            </w:r>
            <w:r>
              <w:t>21</w:t>
            </w:r>
          </w:p>
        </w:tc>
        <w:tc>
          <w:tcPr>
            <w:tcW w:w="0" w:type="auto"/>
            <w:vAlign w:val="center"/>
          </w:tcPr>
          <w:p w14:paraId="3D597145" w14:textId="618115BC" w:rsidR="002A5CF3" w:rsidRDefault="00A66EF6">
            <w:pPr>
              <w:pStyle w:val="Tabelleneintrag"/>
              <w:jc w:val="right"/>
            </w:pPr>
            <w:r>
              <w:t>1</w:t>
            </w:r>
            <w:r w:rsidR="006D4F1E">
              <w:t>.</w:t>
            </w:r>
            <w:r>
              <w:t>00</w:t>
            </w:r>
          </w:p>
        </w:tc>
        <w:tc>
          <w:tcPr>
            <w:tcW w:w="0" w:type="auto"/>
            <w:vAlign w:val="center"/>
          </w:tcPr>
          <w:p w14:paraId="3D597146" w14:textId="1721EB18" w:rsidR="002A5CF3" w:rsidRDefault="00A66EF6">
            <w:pPr>
              <w:pStyle w:val="Tabelleneintrag"/>
              <w:jc w:val="right"/>
            </w:pPr>
            <w:r>
              <w:t>0</w:t>
            </w:r>
            <w:r w:rsidR="006D4F1E">
              <w:t>.</w:t>
            </w:r>
            <w:r>
              <w:t>02</w:t>
            </w:r>
          </w:p>
        </w:tc>
        <w:tc>
          <w:tcPr>
            <w:tcW w:w="0" w:type="auto"/>
            <w:vAlign w:val="center"/>
          </w:tcPr>
          <w:p w14:paraId="3D597147" w14:textId="670350D5" w:rsidR="002A5CF3" w:rsidRDefault="00A66EF6">
            <w:pPr>
              <w:pStyle w:val="Tabelleneintrag"/>
              <w:jc w:val="right"/>
            </w:pPr>
            <w:r>
              <w:t>0</w:t>
            </w:r>
            <w:r w:rsidR="006D4F1E">
              <w:t>.</w:t>
            </w:r>
            <w:r>
              <w:t>98</w:t>
            </w:r>
          </w:p>
        </w:tc>
        <w:tc>
          <w:tcPr>
            <w:tcW w:w="0" w:type="auto"/>
            <w:vAlign w:val="center"/>
          </w:tcPr>
          <w:p w14:paraId="3D597148" w14:textId="77777777" w:rsidR="002A5CF3" w:rsidRDefault="00A66EF6">
            <w:pPr>
              <w:pStyle w:val="Tabelleneintrag"/>
              <w:jc w:val="right"/>
            </w:pPr>
            <w:r>
              <w:t>20%</w:t>
            </w:r>
          </w:p>
        </w:tc>
        <w:tc>
          <w:tcPr>
            <w:tcW w:w="0" w:type="auto"/>
            <w:vAlign w:val="center"/>
          </w:tcPr>
          <w:p w14:paraId="3D597149" w14:textId="77777777" w:rsidR="002A5CF3" w:rsidRDefault="00A66EF6">
            <w:pPr>
              <w:pStyle w:val="Tabelleneintrag"/>
              <w:jc w:val="right"/>
            </w:pPr>
            <w:r>
              <w:t>48%</w:t>
            </w:r>
          </w:p>
        </w:tc>
        <w:tc>
          <w:tcPr>
            <w:tcW w:w="0" w:type="auto"/>
            <w:vAlign w:val="center"/>
          </w:tcPr>
          <w:p w14:paraId="3D59714A" w14:textId="77777777" w:rsidR="002A5CF3" w:rsidRDefault="00A66EF6">
            <w:pPr>
              <w:pStyle w:val="Tabelleneintrag"/>
              <w:jc w:val="right"/>
            </w:pPr>
            <w:r>
              <w:t>87%</w:t>
            </w:r>
          </w:p>
        </w:tc>
        <w:tc>
          <w:tcPr>
            <w:tcW w:w="0" w:type="auto"/>
            <w:vAlign w:val="center"/>
          </w:tcPr>
          <w:p w14:paraId="3D59714B" w14:textId="23A2529F" w:rsidR="002A5CF3" w:rsidRDefault="00A66EF6">
            <w:pPr>
              <w:pStyle w:val="Tabelleneintrag"/>
              <w:jc w:val="right"/>
            </w:pPr>
            <w:r>
              <w:t>0</w:t>
            </w:r>
            <w:r w:rsidR="006D4F1E">
              <w:t>.</w:t>
            </w:r>
            <w:r>
              <w:t>0271</w:t>
            </w:r>
          </w:p>
        </w:tc>
      </w:tr>
      <w:tr w:rsidR="002A5CF3" w14:paraId="3D597158" w14:textId="77777777" w:rsidTr="002A5CF3">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3D59714D" w14:textId="77777777" w:rsidR="002A5CF3" w:rsidRDefault="00A66EF6">
            <w:pPr>
              <w:pStyle w:val="Tabelleneintrag"/>
              <w:jc w:val="right"/>
            </w:pPr>
            <w:r>
              <w:t>10</w:t>
            </w:r>
          </w:p>
        </w:tc>
        <w:tc>
          <w:tcPr>
            <w:tcW w:w="0" w:type="auto"/>
            <w:vAlign w:val="center"/>
          </w:tcPr>
          <w:p w14:paraId="3D59714E" w14:textId="644FCC96" w:rsidR="002A5CF3" w:rsidRDefault="00A66EF6">
            <w:pPr>
              <w:pStyle w:val="Tabelleneintrag"/>
              <w:jc w:val="right"/>
            </w:pPr>
            <w:r>
              <w:t>0</w:t>
            </w:r>
            <w:r w:rsidR="006D4F1E">
              <w:t>.</w:t>
            </w:r>
            <w:r>
              <w:t>00</w:t>
            </w:r>
          </w:p>
        </w:tc>
        <w:tc>
          <w:tcPr>
            <w:tcW w:w="0" w:type="auto"/>
            <w:vAlign w:val="center"/>
          </w:tcPr>
          <w:p w14:paraId="3D59714F" w14:textId="189B5CAC" w:rsidR="002A5CF3" w:rsidRDefault="00A66EF6">
            <w:pPr>
              <w:pStyle w:val="Tabelleneintrag"/>
              <w:jc w:val="right"/>
            </w:pPr>
            <w:r>
              <w:t>1</w:t>
            </w:r>
            <w:r w:rsidR="006D4F1E">
              <w:t>.</w:t>
            </w:r>
            <w:r>
              <w:t>00</w:t>
            </w:r>
          </w:p>
        </w:tc>
        <w:tc>
          <w:tcPr>
            <w:tcW w:w="0" w:type="auto"/>
            <w:vAlign w:val="center"/>
          </w:tcPr>
          <w:p w14:paraId="3D597150" w14:textId="5622EA62" w:rsidR="002A5CF3" w:rsidRDefault="00A66EF6">
            <w:pPr>
              <w:pStyle w:val="Tabelleneintrag"/>
              <w:jc w:val="right"/>
            </w:pPr>
            <w:r>
              <w:t>0</w:t>
            </w:r>
            <w:r w:rsidR="006D4F1E">
              <w:t>.</w:t>
            </w:r>
            <w:r>
              <w:t>93</w:t>
            </w:r>
          </w:p>
        </w:tc>
        <w:tc>
          <w:tcPr>
            <w:tcW w:w="0" w:type="auto"/>
            <w:vAlign w:val="center"/>
          </w:tcPr>
          <w:p w14:paraId="3D597151" w14:textId="0BF8D930" w:rsidR="002A5CF3" w:rsidRDefault="00A66EF6">
            <w:pPr>
              <w:pStyle w:val="Tabelleneintrag"/>
              <w:jc w:val="right"/>
            </w:pPr>
            <w:r>
              <w:t>1</w:t>
            </w:r>
            <w:r w:rsidR="006D4F1E">
              <w:t>.</w:t>
            </w:r>
            <w:r>
              <w:t>43</w:t>
            </w:r>
          </w:p>
        </w:tc>
        <w:tc>
          <w:tcPr>
            <w:tcW w:w="0" w:type="auto"/>
            <w:vAlign w:val="center"/>
          </w:tcPr>
          <w:p w14:paraId="3D597152" w14:textId="6AB6993B" w:rsidR="002A5CF3" w:rsidRDefault="00A66EF6">
            <w:pPr>
              <w:pStyle w:val="Tabelleneintrag"/>
              <w:jc w:val="right"/>
            </w:pPr>
            <w:r>
              <w:t>0</w:t>
            </w:r>
            <w:r w:rsidR="006D4F1E">
              <w:t>.</w:t>
            </w:r>
            <w:r>
              <w:t>02</w:t>
            </w:r>
          </w:p>
        </w:tc>
        <w:tc>
          <w:tcPr>
            <w:tcW w:w="0" w:type="auto"/>
            <w:vAlign w:val="center"/>
          </w:tcPr>
          <w:p w14:paraId="3D597153" w14:textId="6B29EABC" w:rsidR="002A5CF3" w:rsidRDefault="00A66EF6">
            <w:pPr>
              <w:pStyle w:val="Tabelleneintrag"/>
              <w:jc w:val="right"/>
            </w:pPr>
            <w:r>
              <w:t>0</w:t>
            </w:r>
            <w:r w:rsidR="006D4F1E">
              <w:t>.</w:t>
            </w:r>
            <w:r>
              <w:t>99</w:t>
            </w:r>
          </w:p>
        </w:tc>
        <w:tc>
          <w:tcPr>
            <w:tcW w:w="0" w:type="auto"/>
            <w:vAlign w:val="center"/>
          </w:tcPr>
          <w:p w14:paraId="3D597154" w14:textId="77777777" w:rsidR="002A5CF3" w:rsidRDefault="00A66EF6">
            <w:pPr>
              <w:pStyle w:val="Tabelleneintrag"/>
              <w:jc w:val="right"/>
            </w:pPr>
            <w:r>
              <w:t>41%</w:t>
            </w:r>
          </w:p>
        </w:tc>
        <w:tc>
          <w:tcPr>
            <w:tcW w:w="0" w:type="auto"/>
            <w:vAlign w:val="center"/>
          </w:tcPr>
          <w:p w14:paraId="3D597155" w14:textId="77777777" w:rsidR="002A5CF3" w:rsidRDefault="00A66EF6">
            <w:pPr>
              <w:pStyle w:val="Tabelleneintrag"/>
              <w:jc w:val="right"/>
            </w:pPr>
            <w:r>
              <w:t>66%</w:t>
            </w:r>
          </w:p>
        </w:tc>
        <w:tc>
          <w:tcPr>
            <w:tcW w:w="0" w:type="auto"/>
            <w:vAlign w:val="center"/>
          </w:tcPr>
          <w:p w14:paraId="3D597156" w14:textId="77777777" w:rsidR="002A5CF3" w:rsidRDefault="00A66EF6">
            <w:pPr>
              <w:pStyle w:val="Tabelleneintrag"/>
              <w:jc w:val="right"/>
            </w:pPr>
            <w:r>
              <w:t>92%</w:t>
            </w:r>
          </w:p>
        </w:tc>
        <w:tc>
          <w:tcPr>
            <w:tcW w:w="0" w:type="auto"/>
            <w:vAlign w:val="center"/>
          </w:tcPr>
          <w:p w14:paraId="3D597157" w14:textId="3FC0C7D6" w:rsidR="002A5CF3" w:rsidRDefault="00A66EF6">
            <w:pPr>
              <w:pStyle w:val="Tabelleneintrag"/>
              <w:jc w:val="right"/>
            </w:pPr>
            <w:r>
              <w:t>0</w:t>
            </w:r>
            <w:r w:rsidR="006D4F1E">
              <w:t>.</w:t>
            </w:r>
            <w:r>
              <w:t>0133</w:t>
            </w:r>
          </w:p>
        </w:tc>
      </w:tr>
      <w:tr w:rsidR="002A5CF3" w14:paraId="3D597164" w14:textId="77777777" w:rsidTr="002A5CF3">
        <w:trPr>
          <w:jc w:val="center"/>
        </w:trPr>
        <w:tc>
          <w:tcPr>
            <w:tcW w:w="0" w:type="auto"/>
            <w:vAlign w:val="center"/>
          </w:tcPr>
          <w:p w14:paraId="3D597159" w14:textId="77777777" w:rsidR="002A5CF3" w:rsidRDefault="00A66EF6">
            <w:pPr>
              <w:pStyle w:val="Tabelleneintrag"/>
              <w:jc w:val="right"/>
            </w:pPr>
            <w:r>
              <w:t>8</w:t>
            </w:r>
          </w:p>
        </w:tc>
        <w:tc>
          <w:tcPr>
            <w:tcW w:w="0" w:type="auto"/>
            <w:vAlign w:val="center"/>
          </w:tcPr>
          <w:p w14:paraId="3D59715A" w14:textId="7E58F269" w:rsidR="002A5CF3" w:rsidRDefault="00A66EF6">
            <w:pPr>
              <w:pStyle w:val="Tabelleneintrag"/>
              <w:jc w:val="right"/>
            </w:pPr>
            <w:r>
              <w:t>-0</w:t>
            </w:r>
            <w:r w:rsidR="006D4F1E">
              <w:t>.</w:t>
            </w:r>
            <w:r>
              <w:t>25</w:t>
            </w:r>
          </w:p>
        </w:tc>
        <w:tc>
          <w:tcPr>
            <w:tcW w:w="0" w:type="auto"/>
            <w:vAlign w:val="center"/>
          </w:tcPr>
          <w:p w14:paraId="3D59715B" w14:textId="25AD4D9A" w:rsidR="002A5CF3" w:rsidRDefault="00A66EF6">
            <w:pPr>
              <w:pStyle w:val="Tabelleneintrag"/>
              <w:jc w:val="right"/>
            </w:pPr>
            <w:r>
              <w:t>2</w:t>
            </w:r>
            <w:r w:rsidR="006D4F1E">
              <w:t>.</w:t>
            </w:r>
            <w:r>
              <w:t>50</w:t>
            </w:r>
          </w:p>
        </w:tc>
        <w:tc>
          <w:tcPr>
            <w:tcW w:w="0" w:type="auto"/>
            <w:vAlign w:val="center"/>
          </w:tcPr>
          <w:p w14:paraId="3D59715C" w14:textId="40996085" w:rsidR="002A5CF3" w:rsidRDefault="00A66EF6">
            <w:pPr>
              <w:pStyle w:val="Tabelleneintrag"/>
              <w:jc w:val="right"/>
            </w:pPr>
            <w:r>
              <w:t>0</w:t>
            </w:r>
            <w:r w:rsidR="006D4F1E">
              <w:t>.</w:t>
            </w:r>
            <w:r>
              <w:t>94</w:t>
            </w:r>
          </w:p>
        </w:tc>
        <w:tc>
          <w:tcPr>
            <w:tcW w:w="0" w:type="auto"/>
            <w:vAlign w:val="center"/>
          </w:tcPr>
          <w:p w14:paraId="3D59715D" w14:textId="660C4E51" w:rsidR="002A5CF3" w:rsidRDefault="00A66EF6">
            <w:pPr>
              <w:pStyle w:val="Tabelleneintrag"/>
              <w:jc w:val="right"/>
            </w:pPr>
            <w:r>
              <w:t>1</w:t>
            </w:r>
            <w:r w:rsidR="006D4F1E">
              <w:t>.</w:t>
            </w:r>
            <w:r>
              <w:t>06</w:t>
            </w:r>
          </w:p>
        </w:tc>
        <w:tc>
          <w:tcPr>
            <w:tcW w:w="0" w:type="auto"/>
            <w:vAlign w:val="center"/>
          </w:tcPr>
          <w:p w14:paraId="3D59715E" w14:textId="120631B6" w:rsidR="002A5CF3" w:rsidRDefault="00A66EF6">
            <w:pPr>
              <w:pStyle w:val="Tabelleneintrag"/>
              <w:jc w:val="right"/>
            </w:pPr>
            <w:r>
              <w:t>0</w:t>
            </w:r>
            <w:r w:rsidR="006D4F1E">
              <w:t>.</w:t>
            </w:r>
            <w:r>
              <w:t>03</w:t>
            </w:r>
          </w:p>
        </w:tc>
        <w:tc>
          <w:tcPr>
            <w:tcW w:w="0" w:type="auto"/>
            <w:vAlign w:val="center"/>
          </w:tcPr>
          <w:p w14:paraId="3D59715F" w14:textId="318E5C8A" w:rsidR="002A5CF3" w:rsidRDefault="00A66EF6">
            <w:pPr>
              <w:pStyle w:val="Tabelleneintrag"/>
              <w:jc w:val="right"/>
            </w:pPr>
            <w:r>
              <w:t>0</w:t>
            </w:r>
            <w:r w:rsidR="006D4F1E">
              <w:t>.</w:t>
            </w:r>
            <w:r>
              <w:t>97</w:t>
            </w:r>
          </w:p>
        </w:tc>
        <w:tc>
          <w:tcPr>
            <w:tcW w:w="0" w:type="auto"/>
            <w:vAlign w:val="center"/>
          </w:tcPr>
          <w:p w14:paraId="3D597160" w14:textId="77777777" w:rsidR="002A5CF3" w:rsidRDefault="00A66EF6">
            <w:pPr>
              <w:pStyle w:val="Tabelleneintrag"/>
              <w:jc w:val="right"/>
            </w:pPr>
            <w:r>
              <w:t>11%</w:t>
            </w:r>
          </w:p>
        </w:tc>
        <w:tc>
          <w:tcPr>
            <w:tcW w:w="0" w:type="auto"/>
            <w:vAlign w:val="center"/>
          </w:tcPr>
          <w:p w14:paraId="3D597161" w14:textId="77777777" w:rsidR="002A5CF3" w:rsidRDefault="00A66EF6">
            <w:pPr>
              <w:pStyle w:val="Tabelleneintrag"/>
              <w:jc w:val="right"/>
            </w:pPr>
            <w:r>
              <w:t>67%</w:t>
            </w:r>
          </w:p>
        </w:tc>
        <w:tc>
          <w:tcPr>
            <w:tcW w:w="0" w:type="auto"/>
            <w:vAlign w:val="center"/>
          </w:tcPr>
          <w:p w14:paraId="3D597162" w14:textId="77777777" w:rsidR="002A5CF3" w:rsidRDefault="00A66EF6">
            <w:pPr>
              <w:pStyle w:val="Tabelleneintrag"/>
              <w:jc w:val="right"/>
            </w:pPr>
            <w:r>
              <w:t>100%</w:t>
            </w:r>
          </w:p>
        </w:tc>
        <w:tc>
          <w:tcPr>
            <w:tcW w:w="0" w:type="auto"/>
            <w:vAlign w:val="center"/>
          </w:tcPr>
          <w:p w14:paraId="3D597163" w14:textId="129A4D0E" w:rsidR="002A5CF3" w:rsidRDefault="00A66EF6">
            <w:pPr>
              <w:pStyle w:val="Tabelleneintrag"/>
              <w:jc w:val="right"/>
            </w:pPr>
            <w:r>
              <w:t>0</w:t>
            </w:r>
            <w:r w:rsidR="006D4F1E">
              <w:t>.</w:t>
            </w:r>
            <w:r>
              <w:t>0375</w:t>
            </w:r>
          </w:p>
        </w:tc>
      </w:tr>
      <w:tr w:rsidR="002A5CF3" w14:paraId="3D597170" w14:textId="77777777" w:rsidTr="002A5CF3">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3D597165" w14:textId="77777777" w:rsidR="002A5CF3" w:rsidRDefault="00A66EF6">
            <w:pPr>
              <w:pStyle w:val="Tabelleneintrag"/>
              <w:jc w:val="right"/>
            </w:pPr>
            <w:r>
              <w:t>6</w:t>
            </w:r>
          </w:p>
        </w:tc>
        <w:tc>
          <w:tcPr>
            <w:tcW w:w="0" w:type="auto"/>
            <w:vAlign w:val="center"/>
          </w:tcPr>
          <w:p w14:paraId="3D597166" w14:textId="1E592DFE" w:rsidR="002A5CF3" w:rsidRDefault="00A66EF6">
            <w:pPr>
              <w:pStyle w:val="Tabelleneintrag"/>
              <w:jc w:val="right"/>
            </w:pPr>
            <w:r>
              <w:t>1</w:t>
            </w:r>
            <w:r w:rsidR="006D4F1E">
              <w:t>.</w:t>
            </w:r>
            <w:r>
              <w:t>46</w:t>
            </w:r>
          </w:p>
        </w:tc>
        <w:tc>
          <w:tcPr>
            <w:tcW w:w="0" w:type="auto"/>
            <w:vAlign w:val="center"/>
          </w:tcPr>
          <w:p w14:paraId="3D597167" w14:textId="426AE7B1" w:rsidR="002A5CF3" w:rsidRDefault="00A66EF6">
            <w:pPr>
              <w:pStyle w:val="Tabelleneintrag"/>
              <w:jc w:val="right"/>
            </w:pPr>
            <w:r>
              <w:t>1</w:t>
            </w:r>
            <w:r w:rsidR="006D4F1E">
              <w:t>.</w:t>
            </w:r>
            <w:r>
              <w:t>00</w:t>
            </w:r>
          </w:p>
        </w:tc>
        <w:tc>
          <w:tcPr>
            <w:tcW w:w="0" w:type="auto"/>
            <w:vAlign w:val="center"/>
          </w:tcPr>
          <w:p w14:paraId="3D597168" w14:textId="396B74A9" w:rsidR="002A5CF3" w:rsidRDefault="00A66EF6">
            <w:pPr>
              <w:pStyle w:val="Tabelleneintrag"/>
              <w:jc w:val="right"/>
            </w:pPr>
            <w:r>
              <w:t>1</w:t>
            </w:r>
            <w:r w:rsidR="006D4F1E">
              <w:t>.</w:t>
            </w:r>
            <w:r>
              <w:t>00</w:t>
            </w:r>
          </w:p>
        </w:tc>
        <w:tc>
          <w:tcPr>
            <w:tcW w:w="0" w:type="auto"/>
            <w:vAlign w:val="center"/>
          </w:tcPr>
          <w:p w14:paraId="3D597169" w14:textId="16B2F2D8" w:rsidR="002A5CF3" w:rsidRDefault="00A66EF6">
            <w:pPr>
              <w:pStyle w:val="Tabelleneintrag"/>
              <w:jc w:val="right"/>
            </w:pPr>
            <w:r>
              <w:t>0</w:t>
            </w:r>
            <w:r w:rsidR="006D4F1E">
              <w:t>.</w:t>
            </w:r>
            <w:r>
              <w:t>77</w:t>
            </w:r>
          </w:p>
        </w:tc>
        <w:tc>
          <w:tcPr>
            <w:tcW w:w="0" w:type="auto"/>
            <w:vAlign w:val="center"/>
          </w:tcPr>
          <w:p w14:paraId="3D59716A" w14:textId="2B8A7EB2" w:rsidR="002A5CF3" w:rsidRDefault="00A66EF6">
            <w:pPr>
              <w:pStyle w:val="Tabelleneintrag"/>
              <w:jc w:val="right"/>
            </w:pPr>
            <w:r>
              <w:t>0</w:t>
            </w:r>
            <w:r w:rsidR="006D4F1E">
              <w:t>.</w:t>
            </w:r>
            <w:r>
              <w:t>02</w:t>
            </w:r>
          </w:p>
        </w:tc>
        <w:tc>
          <w:tcPr>
            <w:tcW w:w="0" w:type="auto"/>
            <w:vAlign w:val="center"/>
          </w:tcPr>
          <w:p w14:paraId="3D59716B" w14:textId="445702BD" w:rsidR="002A5CF3" w:rsidRDefault="00A66EF6">
            <w:pPr>
              <w:pStyle w:val="Tabelleneintrag"/>
              <w:jc w:val="right"/>
            </w:pPr>
            <w:r>
              <w:t>0</w:t>
            </w:r>
            <w:r w:rsidR="006D4F1E">
              <w:t>.</w:t>
            </w:r>
            <w:r>
              <w:t>97</w:t>
            </w:r>
          </w:p>
        </w:tc>
        <w:tc>
          <w:tcPr>
            <w:tcW w:w="0" w:type="auto"/>
            <w:vAlign w:val="center"/>
          </w:tcPr>
          <w:p w14:paraId="3D59716C" w14:textId="77777777" w:rsidR="002A5CF3" w:rsidRDefault="00A66EF6">
            <w:pPr>
              <w:pStyle w:val="Tabelleneintrag"/>
              <w:jc w:val="right"/>
            </w:pPr>
            <w:r>
              <w:t>52%</w:t>
            </w:r>
          </w:p>
        </w:tc>
        <w:tc>
          <w:tcPr>
            <w:tcW w:w="0" w:type="auto"/>
            <w:vAlign w:val="center"/>
          </w:tcPr>
          <w:p w14:paraId="3D59716D" w14:textId="77777777" w:rsidR="002A5CF3" w:rsidRDefault="00A66EF6">
            <w:pPr>
              <w:pStyle w:val="Tabelleneintrag"/>
              <w:jc w:val="right"/>
            </w:pPr>
            <w:r>
              <w:t>79%</w:t>
            </w:r>
          </w:p>
        </w:tc>
        <w:tc>
          <w:tcPr>
            <w:tcW w:w="0" w:type="auto"/>
            <w:vAlign w:val="center"/>
          </w:tcPr>
          <w:p w14:paraId="3D59716E" w14:textId="77777777" w:rsidR="002A5CF3" w:rsidRDefault="00A66EF6">
            <w:pPr>
              <w:pStyle w:val="Tabelleneintrag"/>
              <w:jc w:val="right"/>
            </w:pPr>
            <w:r>
              <w:t>96%</w:t>
            </w:r>
          </w:p>
        </w:tc>
        <w:tc>
          <w:tcPr>
            <w:tcW w:w="0" w:type="auto"/>
            <w:vAlign w:val="center"/>
          </w:tcPr>
          <w:p w14:paraId="3D59716F" w14:textId="76E65F80" w:rsidR="002A5CF3" w:rsidRDefault="00A66EF6">
            <w:pPr>
              <w:pStyle w:val="Tabelleneintrag"/>
              <w:jc w:val="right"/>
            </w:pPr>
            <w:r>
              <w:t>0</w:t>
            </w:r>
            <w:r w:rsidR="006D4F1E">
              <w:t>.</w:t>
            </w:r>
            <w:r>
              <w:t>0309</w:t>
            </w:r>
          </w:p>
        </w:tc>
      </w:tr>
      <w:tr w:rsidR="002A5CF3" w14:paraId="3D59717C" w14:textId="77777777" w:rsidTr="002A5CF3">
        <w:trPr>
          <w:jc w:val="center"/>
        </w:trPr>
        <w:tc>
          <w:tcPr>
            <w:tcW w:w="0" w:type="auto"/>
            <w:vAlign w:val="center"/>
          </w:tcPr>
          <w:p w14:paraId="3D597171" w14:textId="77777777" w:rsidR="002A5CF3" w:rsidRDefault="00A66EF6">
            <w:pPr>
              <w:pStyle w:val="Tabelleneintrag"/>
              <w:jc w:val="right"/>
            </w:pPr>
            <w:r>
              <w:t>5</w:t>
            </w:r>
          </w:p>
        </w:tc>
        <w:tc>
          <w:tcPr>
            <w:tcW w:w="0" w:type="auto"/>
            <w:vAlign w:val="center"/>
          </w:tcPr>
          <w:p w14:paraId="3D597172" w14:textId="0923C102" w:rsidR="002A5CF3" w:rsidRDefault="00A66EF6">
            <w:pPr>
              <w:pStyle w:val="Tabelleneintrag"/>
              <w:jc w:val="right"/>
            </w:pPr>
            <w:r>
              <w:t>2</w:t>
            </w:r>
            <w:r w:rsidR="006D4F1E">
              <w:t>.</w:t>
            </w:r>
            <w:r>
              <w:t>25</w:t>
            </w:r>
          </w:p>
        </w:tc>
        <w:tc>
          <w:tcPr>
            <w:tcW w:w="0" w:type="auto"/>
            <w:vAlign w:val="center"/>
          </w:tcPr>
          <w:p w14:paraId="3D597173" w14:textId="6F099DCD" w:rsidR="002A5CF3" w:rsidRDefault="00A66EF6">
            <w:pPr>
              <w:pStyle w:val="Tabelleneintrag"/>
              <w:jc w:val="right"/>
            </w:pPr>
            <w:r>
              <w:t>2</w:t>
            </w:r>
            <w:r w:rsidR="006D4F1E">
              <w:t>.</w:t>
            </w:r>
            <w:r>
              <w:t>50</w:t>
            </w:r>
          </w:p>
        </w:tc>
        <w:tc>
          <w:tcPr>
            <w:tcW w:w="0" w:type="auto"/>
            <w:vAlign w:val="center"/>
          </w:tcPr>
          <w:p w14:paraId="3D597174" w14:textId="5F2D39DB" w:rsidR="002A5CF3" w:rsidRDefault="00A66EF6">
            <w:pPr>
              <w:pStyle w:val="Tabelleneintrag"/>
              <w:jc w:val="right"/>
            </w:pPr>
            <w:r>
              <w:t>1</w:t>
            </w:r>
            <w:r w:rsidR="006D4F1E">
              <w:t>.</w:t>
            </w:r>
            <w:r>
              <w:t>13</w:t>
            </w:r>
          </w:p>
        </w:tc>
        <w:tc>
          <w:tcPr>
            <w:tcW w:w="0" w:type="auto"/>
            <w:vAlign w:val="center"/>
          </w:tcPr>
          <w:p w14:paraId="3D597175" w14:textId="686F466C" w:rsidR="002A5CF3" w:rsidRDefault="00A66EF6">
            <w:pPr>
              <w:pStyle w:val="Tabelleneintrag"/>
              <w:jc w:val="right"/>
            </w:pPr>
            <w:r>
              <w:t>0</w:t>
            </w:r>
            <w:r w:rsidR="006D4F1E">
              <w:t>.</w:t>
            </w:r>
            <w:r>
              <w:t>75</w:t>
            </w:r>
          </w:p>
        </w:tc>
        <w:tc>
          <w:tcPr>
            <w:tcW w:w="0" w:type="auto"/>
            <w:vAlign w:val="center"/>
          </w:tcPr>
          <w:p w14:paraId="3D597176" w14:textId="24B2FD6E" w:rsidR="002A5CF3" w:rsidRDefault="00A66EF6">
            <w:pPr>
              <w:pStyle w:val="Tabelleneintrag"/>
              <w:jc w:val="right"/>
            </w:pPr>
            <w:r>
              <w:t>0</w:t>
            </w:r>
            <w:r w:rsidR="006D4F1E">
              <w:t>.</w:t>
            </w:r>
            <w:r>
              <w:t>05</w:t>
            </w:r>
          </w:p>
        </w:tc>
        <w:tc>
          <w:tcPr>
            <w:tcW w:w="0" w:type="auto"/>
            <w:vAlign w:val="center"/>
          </w:tcPr>
          <w:p w14:paraId="3D597177" w14:textId="034823C0" w:rsidR="002A5CF3" w:rsidRDefault="00A66EF6">
            <w:pPr>
              <w:pStyle w:val="Tabelleneintrag"/>
              <w:jc w:val="right"/>
            </w:pPr>
            <w:r>
              <w:t>0</w:t>
            </w:r>
            <w:r w:rsidR="006D4F1E">
              <w:t>.</w:t>
            </w:r>
            <w:r>
              <w:t>97</w:t>
            </w:r>
          </w:p>
        </w:tc>
        <w:tc>
          <w:tcPr>
            <w:tcW w:w="0" w:type="auto"/>
            <w:vAlign w:val="center"/>
          </w:tcPr>
          <w:p w14:paraId="3D597178" w14:textId="77777777" w:rsidR="002A5CF3" w:rsidRDefault="00A66EF6">
            <w:pPr>
              <w:pStyle w:val="Tabelleneintrag"/>
              <w:jc w:val="right"/>
            </w:pPr>
            <w:r>
              <w:t>9%</w:t>
            </w:r>
          </w:p>
        </w:tc>
        <w:tc>
          <w:tcPr>
            <w:tcW w:w="0" w:type="auto"/>
            <w:vAlign w:val="center"/>
          </w:tcPr>
          <w:p w14:paraId="3D597179" w14:textId="77777777" w:rsidR="002A5CF3" w:rsidRDefault="00A66EF6">
            <w:pPr>
              <w:pStyle w:val="Tabelleneintrag"/>
              <w:jc w:val="right"/>
            </w:pPr>
            <w:r>
              <w:t>81%</w:t>
            </w:r>
          </w:p>
        </w:tc>
        <w:tc>
          <w:tcPr>
            <w:tcW w:w="0" w:type="auto"/>
            <w:vAlign w:val="center"/>
          </w:tcPr>
          <w:p w14:paraId="3D59717A" w14:textId="77777777" w:rsidR="002A5CF3" w:rsidRDefault="00A66EF6">
            <w:pPr>
              <w:pStyle w:val="Tabelleneintrag"/>
              <w:jc w:val="right"/>
            </w:pPr>
            <w:r>
              <w:t>100%</w:t>
            </w:r>
          </w:p>
        </w:tc>
        <w:tc>
          <w:tcPr>
            <w:tcW w:w="0" w:type="auto"/>
            <w:vAlign w:val="center"/>
          </w:tcPr>
          <w:p w14:paraId="3D59717B" w14:textId="12B9B3B4" w:rsidR="002A5CF3" w:rsidRDefault="00A66EF6">
            <w:pPr>
              <w:pStyle w:val="Tabelleneintrag"/>
              <w:jc w:val="right"/>
            </w:pPr>
            <w:r>
              <w:t>0</w:t>
            </w:r>
            <w:r w:rsidR="006D4F1E">
              <w:t>.</w:t>
            </w:r>
            <w:r>
              <w:t>0375</w:t>
            </w:r>
          </w:p>
        </w:tc>
      </w:tr>
      <w:tr w:rsidR="002A5CF3" w14:paraId="3D597188" w14:textId="77777777" w:rsidTr="002A5CF3">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3D59717D" w14:textId="77777777" w:rsidR="002A5CF3" w:rsidRDefault="00A66EF6">
            <w:pPr>
              <w:pStyle w:val="Tabelleneintrag"/>
              <w:jc w:val="right"/>
            </w:pPr>
            <w:r>
              <w:t>1</w:t>
            </w:r>
          </w:p>
        </w:tc>
        <w:tc>
          <w:tcPr>
            <w:tcW w:w="0" w:type="auto"/>
            <w:vAlign w:val="center"/>
          </w:tcPr>
          <w:p w14:paraId="3D59717E" w14:textId="3511FE71" w:rsidR="002A5CF3" w:rsidRDefault="00A66EF6">
            <w:pPr>
              <w:pStyle w:val="Tabelleneintrag"/>
              <w:jc w:val="right"/>
            </w:pPr>
            <w:r>
              <w:t>1</w:t>
            </w:r>
            <w:r w:rsidR="006D4F1E">
              <w:t>.</w:t>
            </w:r>
            <w:r>
              <w:t>67</w:t>
            </w:r>
          </w:p>
        </w:tc>
        <w:tc>
          <w:tcPr>
            <w:tcW w:w="0" w:type="auto"/>
            <w:vAlign w:val="center"/>
          </w:tcPr>
          <w:p w14:paraId="3D59717F" w14:textId="5685106E" w:rsidR="002A5CF3" w:rsidRDefault="00A66EF6">
            <w:pPr>
              <w:pStyle w:val="Tabelleneintrag"/>
              <w:jc w:val="right"/>
            </w:pPr>
            <w:r>
              <w:t>2</w:t>
            </w:r>
            <w:r w:rsidR="006D4F1E">
              <w:t>.</w:t>
            </w:r>
            <w:r>
              <w:t>50</w:t>
            </w:r>
          </w:p>
        </w:tc>
        <w:tc>
          <w:tcPr>
            <w:tcW w:w="0" w:type="auto"/>
            <w:vAlign w:val="center"/>
          </w:tcPr>
          <w:p w14:paraId="3D597180" w14:textId="6C47A94C" w:rsidR="002A5CF3" w:rsidRDefault="00A66EF6">
            <w:pPr>
              <w:pStyle w:val="Tabelleneintrag"/>
              <w:jc w:val="right"/>
            </w:pPr>
            <w:r>
              <w:t>0</w:t>
            </w:r>
            <w:r w:rsidR="006D4F1E">
              <w:t>.</w:t>
            </w:r>
            <w:r>
              <w:t>92</w:t>
            </w:r>
          </w:p>
        </w:tc>
        <w:tc>
          <w:tcPr>
            <w:tcW w:w="0" w:type="auto"/>
            <w:vAlign w:val="center"/>
          </w:tcPr>
          <w:p w14:paraId="3D597181" w14:textId="0FF45CAA" w:rsidR="002A5CF3" w:rsidRDefault="00A66EF6">
            <w:pPr>
              <w:pStyle w:val="Tabelleneintrag"/>
              <w:jc w:val="right"/>
            </w:pPr>
            <w:r>
              <w:t>1</w:t>
            </w:r>
            <w:r w:rsidR="006D4F1E">
              <w:t>.</w:t>
            </w:r>
            <w:r>
              <w:t>00</w:t>
            </w:r>
          </w:p>
        </w:tc>
        <w:tc>
          <w:tcPr>
            <w:tcW w:w="0" w:type="auto"/>
            <w:vAlign w:val="center"/>
          </w:tcPr>
          <w:p w14:paraId="3D597182" w14:textId="3641FAC5" w:rsidR="002A5CF3" w:rsidRDefault="00A66EF6">
            <w:pPr>
              <w:pStyle w:val="Tabelleneintrag"/>
              <w:jc w:val="right"/>
            </w:pPr>
            <w:r>
              <w:t>0</w:t>
            </w:r>
            <w:r w:rsidR="006D4F1E">
              <w:t>.</w:t>
            </w:r>
            <w:r>
              <w:t>02</w:t>
            </w:r>
          </w:p>
        </w:tc>
        <w:tc>
          <w:tcPr>
            <w:tcW w:w="0" w:type="auto"/>
            <w:vAlign w:val="center"/>
          </w:tcPr>
          <w:p w14:paraId="3D597183" w14:textId="189598FB" w:rsidR="002A5CF3" w:rsidRDefault="00A66EF6">
            <w:pPr>
              <w:pStyle w:val="Tabelleneintrag"/>
              <w:jc w:val="right"/>
            </w:pPr>
            <w:r>
              <w:t>0</w:t>
            </w:r>
            <w:r w:rsidR="006D4F1E">
              <w:t>.</w:t>
            </w:r>
            <w:r>
              <w:t>97</w:t>
            </w:r>
          </w:p>
        </w:tc>
        <w:tc>
          <w:tcPr>
            <w:tcW w:w="0" w:type="auto"/>
            <w:vAlign w:val="center"/>
          </w:tcPr>
          <w:p w14:paraId="3D597184" w14:textId="77777777" w:rsidR="002A5CF3" w:rsidRDefault="00A66EF6">
            <w:pPr>
              <w:pStyle w:val="Tabelleneintrag"/>
              <w:jc w:val="right"/>
            </w:pPr>
            <w:r>
              <w:t>38%</w:t>
            </w:r>
          </w:p>
        </w:tc>
        <w:tc>
          <w:tcPr>
            <w:tcW w:w="0" w:type="auto"/>
            <w:vAlign w:val="center"/>
          </w:tcPr>
          <w:p w14:paraId="3D597185" w14:textId="77777777" w:rsidR="002A5CF3" w:rsidRDefault="00A66EF6">
            <w:pPr>
              <w:pStyle w:val="Tabelleneintrag"/>
              <w:jc w:val="right"/>
            </w:pPr>
            <w:r>
              <w:t>91%</w:t>
            </w:r>
          </w:p>
        </w:tc>
        <w:tc>
          <w:tcPr>
            <w:tcW w:w="0" w:type="auto"/>
            <w:vAlign w:val="center"/>
          </w:tcPr>
          <w:p w14:paraId="3D597186" w14:textId="77777777" w:rsidR="002A5CF3" w:rsidRDefault="00A66EF6">
            <w:pPr>
              <w:pStyle w:val="Tabelleneintrag"/>
              <w:jc w:val="right"/>
            </w:pPr>
            <w:r>
              <w:t>100%</w:t>
            </w:r>
          </w:p>
        </w:tc>
        <w:tc>
          <w:tcPr>
            <w:tcW w:w="0" w:type="auto"/>
            <w:vAlign w:val="center"/>
          </w:tcPr>
          <w:p w14:paraId="3D597187" w14:textId="1F467B89" w:rsidR="002A5CF3" w:rsidRDefault="00A66EF6">
            <w:pPr>
              <w:pStyle w:val="Tabelleneintrag"/>
              <w:jc w:val="right"/>
            </w:pPr>
            <w:r>
              <w:t>0</w:t>
            </w:r>
            <w:r w:rsidR="006D4F1E">
              <w:t>.</w:t>
            </w:r>
            <w:r>
              <w:t>0333</w:t>
            </w:r>
          </w:p>
        </w:tc>
      </w:tr>
      <w:tr w:rsidR="002A5CF3" w14:paraId="3D597194" w14:textId="77777777" w:rsidTr="002A5CF3">
        <w:trPr>
          <w:jc w:val="center"/>
        </w:trPr>
        <w:tc>
          <w:tcPr>
            <w:tcW w:w="0" w:type="auto"/>
            <w:vAlign w:val="center"/>
          </w:tcPr>
          <w:p w14:paraId="3D597189" w14:textId="77777777" w:rsidR="002A5CF3" w:rsidRDefault="00A66EF6">
            <w:pPr>
              <w:pStyle w:val="Tabelleneintrag"/>
              <w:jc w:val="right"/>
            </w:pPr>
            <w:r>
              <w:t>12</w:t>
            </w:r>
          </w:p>
        </w:tc>
        <w:tc>
          <w:tcPr>
            <w:tcW w:w="0" w:type="auto"/>
            <w:vAlign w:val="center"/>
          </w:tcPr>
          <w:p w14:paraId="3D59718A" w14:textId="45ECEC8F" w:rsidR="002A5CF3" w:rsidRDefault="00A66EF6">
            <w:pPr>
              <w:pStyle w:val="Tabelleneintrag"/>
              <w:jc w:val="right"/>
            </w:pPr>
            <w:r>
              <w:t>2</w:t>
            </w:r>
            <w:r w:rsidR="006D4F1E">
              <w:t>.</w:t>
            </w:r>
            <w:r>
              <w:t>00</w:t>
            </w:r>
          </w:p>
        </w:tc>
        <w:tc>
          <w:tcPr>
            <w:tcW w:w="0" w:type="auto"/>
            <w:vAlign w:val="center"/>
          </w:tcPr>
          <w:p w14:paraId="3D59718B" w14:textId="75278E7F" w:rsidR="002A5CF3" w:rsidRDefault="00A66EF6">
            <w:pPr>
              <w:pStyle w:val="Tabelleneintrag"/>
              <w:jc w:val="right"/>
            </w:pPr>
            <w:r>
              <w:t>1</w:t>
            </w:r>
            <w:r w:rsidR="006D4F1E">
              <w:t>.</w:t>
            </w:r>
            <w:r>
              <w:t>00</w:t>
            </w:r>
          </w:p>
        </w:tc>
        <w:tc>
          <w:tcPr>
            <w:tcW w:w="0" w:type="auto"/>
            <w:vAlign w:val="center"/>
          </w:tcPr>
          <w:p w14:paraId="3D59718C" w14:textId="57899018" w:rsidR="002A5CF3" w:rsidRDefault="00A66EF6">
            <w:pPr>
              <w:pStyle w:val="Tabelleneintrag"/>
              <w:jc w:val="right"/>
            </w:pPr>
            <w:r>
              <w:t>0</w:t>
            </w:r>
            <w:r w:rsidR="006D4F1E">
              <w:t>.</w:t>
            </w:r>
            <w:r>
              <w:t>60</w:t>
            </w:r>
          </w:p>
        </w:tc>
        <w:tc>
          <w:tcPr>
            <w:tcW w:w="0" w:type="auto"/>
            <w:vAlign w:val="center"/>
          </w:tcPr>
          <w:p w14:paraId="3D59718D" w14:textId="1DBDFE14" w:rsidR="002A5CF3" w:rsidRDefault="00A66EF6">
            <w:pPr>
              <w:pStyle w:val="Tabelleneintrag"/>
              <w:jc w:val="right"/>
            </w:pPr>
            <w:r>
              <w:t>0</w:t>
            </w:r>
            <w:r w:rsidR="006D4F1E">
              <w:t>.</w:t>
            </w:r>
            <w:r>
              <w:t>70</w:t>
            </w:r>
          </w:p>
        </w:tc>
        <w:tc>
          <w:tcPr>
            <w:tcW w:w="0" w:type="auto"/>
            <w:vAlign w:val="center"/>
          </w:tcPr>
          <w:p w14:paraId="3D59718E" w14:textId="65997B95" w:rsidR="002A5CF3" w:rsidRDefault="00A66EF6">
            <w:pPr>
              <w:pStyle w:val="Tabelleneintrag"/>
              <w:jc w:val="right"/>
            </w:pPr>
            <w:r>
              <w:t>0</w:t>
            </w:r>
            <w:r w:rsidR="006D4F1E">
              <w:t>.</w:t>
            </w:r>
            <w:r>
              <w:t>01</w:t>
            </w:r>
          </w:p>
        </w:tc>
        <w:tc>
          <w:tcPr>
            <w:tcW w:w="0" w:type="auto"/>
            <w:vAlign w:val="center"/>
          </w:tcPr>
          <w:p w14:paraId="3D59718F" w14:textId="0A6DC278" w:rsidR="002A5CF3" w:rsidRDefault="00A66EF6">
            <w:pPr>
              <w:pStyle w:val="Tabelleneintrag"/>
              <w:jc w:val="right"/>
            </w:pPr>
            <w:r>
              <w:t>0</w:t>
            </w:r>
            <w:r w:rsidR="006D4F1E">
              <w:t>.</w:t>
            </w:r>
            <w:r>
              <w:t>96</w:t>
            </w:r>
          </w:p>
        </w:tc>
        <w:tc>
          <w:tcPr>
            <w:tcW w:w="0" w:type="auto"/>
            <w:vAlign w:val="center"/>
          </w:tcPr>
          <w:p w14:paraId="3D597190" w14:textId="77777777" w:rsidR="002A5CF3" w:rsidRDefault="00A66EF6">
            <w:pPr>
              <w:pStyle w:val="Tabelleneintrag"/>
              <w:jc w:val="right"/>
            </w:pPr>
            <w:r>
              <w:t>79%</w:t>
            </w:r>
          </w:p>
        </w:tc>
        <w:tc>
          <w:tcPr>
            <w:tcW w:w="0" w:type="auto"/>
            <w:vAlign w:val="center"/>
          </w:tcPr>
          <w:p w14:paraId="3D597191" w14:textId="77777777" w:rsidR="002A5CF3" w:rsidRDefault="00A66EF6">
            <w:pPr>
              <w:pStyle w:val="Tabelleneintrag"/>
              <w:jc w:val="right"/>
            </w:pPr>
            <w:r>
              <w:t>92%</w:t>
            </w:r>
          </w:p>
        </w:tc>
        <w:tc>
          <w:tcPr>
            <w:tcW w:w="0" w:type="auto"/>
            <w:vAlign w:val="center"/>
          </w:tcPr>
          <w:p w14:paraId="3D597192" w14:textId="77777777" w:rsidR="002A5CF3" w:rsidRDefault="00A66EF6">
            <w:pPr>
              <w:pStyle w:val="Tabelleneintrag"/>
              <w:jc w:val="right"/>
            </w:pPr>
            <w:r>
              <w:t>99%</w:t>
            </w:r>
          </w:p>
        </w:tc>
        <w:tc>
          <w:tcPr>
            <w:tcW w:w="0" w:type="auto"/>
            <w:vAlign w:val="center"/>
          </w:tcPr>
          <w:p w14:paraId="3D597193" w14:textId="773224C1" w:rsidR="002A5CF3" w:rsidRDefault="00A66EF6">
            <w:pPr>
              <w:pStyle w:val="Tabelleneintrag"/>
              <w:jc w:val="right"/>
            </w:pPr>
            <w:r>
              <w:t>0</w:t>
            </w:r>
            <w:r w:rsidR="006D4F1E">
              <w:t>.</w:t>
            </w:r>
            <w:r>
              <w:t>0240</w:t>
            </w:r>
          </w:p>
        </w:tc>
      </w:tr>
      <w:tr w:rsidR="002A5CF3" w14:paraId="3D5971A0" w14:textId="77777777" w:rsidTr="002A5CF3">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3D597195" w14:textId="77777777" w:rsidR="002A5CF3" w:rsidRDefault="00A66EF6">
            <w:pPr>
              <w:pStyle w:val="Tabelleneintrag"/>
              <w:jc w:val="right"/>
            </w:pPr>
            <w:r>
              <w:t>7</w:t>
            </w:r>
          </w:p>
        </w:tc>
        <w:tc>
          <w:tcPr>
            <w:tcW w:w="0" w:type="auto"/>
            <w:vAlign w:val="center"/>
          </w:tcPr>
          <w:p w14:paraId="3D597196" w14:textId="288D5DC4" w:rsidR="002A5CF3" w:rsidRDefault="00A66EF6">
            <w:pPr>
              <w:pStyle w:val="Tabelleneintrag"/>
              <w:jc w:val="right"/>
            </w:pPr>
            <w:r>
              <w:t>2</w:t>
            </w:r>
            <w:r w:rsidR="006D4F1E">
              <w:t>.</w:t>
            </w:r>
            <w:r>
              <w:t>00</w:t>
            </w:r>
          </w:p>
        </w:tc>
        <w:tc>
          <w:tcPr>
            <w:tcW w:w="0" w:type="auto"/>
            <w:vAlign w:val="center"/>
          </w:tcPr>
          <w:p w14:paraId="3D597197" w14:textId="50D38799" w:rsidR="002A5CF3" w:rsidRDefault="00A66EF6">
            <w:pPr>
              <w:pStyle w:val="Tabelleneintrag"/>
              <w:jc w:val="right"/>
            </w:pPr>
            <w:r>
              <w:t>1</w:t>
            </w:r>
            <w:r w:rsidR="006D4F1E">
              <w:t>.</w:t>
            </w:r>
            <w:r>
              <w:t>60</w:t>
            </w:r>
          </w:p>
        </w:tc>
        <w:tc>
          <w:tcPr>
            <w:tcW w:w="0" w:type="auto"/>
            <w:vAlign w:val="center"/>
          </w:tcPr>
          <w:p w14:paraId="3D597198" w14:textId="1F273944" w:rsidR="002A5CF3" w:rsidRDefault="00A66EF6">
            <w:pPr>
              <w:pStyle w:val="Tabelleneintrag"/>
              <w:jc w:val="right"/>
            </w:pPr>
            <w:r>
              <w:t>1</w:t>
            </w:r>
            <w:r w:rsidR="006D4F1E">
              <w:t>.</w:t>
            </w:r>
            <w:r>
              <w:t>00</w:t>
            </w:r>
          </w:p>
        </w:tc>
        <w:tc>
          <w:tcPr>
            <w:tcW w:w="0" w:type="auto"/>
            <w:vAlign w:val="center"/>
          </w:tcPr>
          <w:p w14:paraId="3D597199" w14:textId="499BF134" w:rsidR="002A5CF3" w:rsidRDefault="00A66EF6">
            <w:pPr>
              <w:pStyle w:val="Tabelleneintrag"/>
              <w:jc w:val="right"/>
            </w:pPr>
            <w:r>
              <w:t>1</w:t>
            </w:r>
            <w:r w:rsidR="006D4F1E">
              <w:t>.</w:t>
            </w:r>
            <w:r>
              <w:t>00</w:t>
            </w:r>
          </w:p>
        </w:tc>
        <w:tc>
          <w:tcPr>
            <w:tcW w:w="0" w:type="auto"/>
            <w:vAlign w:val="center"/>
          </w:tcPr>
          <w:p w14:paraId="3D59719A" w14:textId="3C581060" w:rsidR="002A5CF3" w:rsidRDefault="00A66EF6">
            <w:pPr>
              <w:pStyle w:val="Tabelleneintrag"/>
              <w:jc w:val="right"/>
            </w:pPr>
            <w:r>
              <w:t>0</w:t>
            </w:r>
            <w:r w:rsidR="006D4F1E">
              <w:t>.</w:t>
            </w:r>
            <w:r>
              <w:t>01</w:t>
            </w:r>
          </w:p>
        </w:tc>
        <w:tc>
          <w:tcPr>
            <w:tcW w:w="0" w:type="auto"/>
            <w:vAlign w:val="center"/>
          </w:tcPr>
          <w:p w14:paraId="3D59719B" w14:textId="5290A9AC" w:rsidR="002A5CF3" w:rsidRDefault="00A66EF6">
            <w:pPr>
              <w:pStyle w:val="Tabelleneintrag"/>
              <w:jc w:val="right"/>
            </w:pPr>
            <w:r>
              <w:t>0</w:t>
            </w:r>
            <w:r w:rsidR="006D4F1E">
              <w:t>.</w:t>
            </w:r>
            <w:r>
              <w:t>97</w:t>
            </w:r>
          </w:p>
        </w:tc>
        <w:tc>
          <w:tcPr>
            <w:tcW w:w="0" w:type="auto"/>
            <w:vAlign w:val="center"/>
          </w:tcPr>
          <w:p w14:paraId="3D59719C" w14:textId="77777777" w:rsidR="002A5CF3" w:rsidRDefault="00A66EF6">
            <w:pPr>
              <w:pStyle w:val="Tabelleneintrag"/>
              <w:jc w:val="right"/>
            </w:pPr>
            <w:r>
              <w:t>73%</w:t>
            </w:r>
          </w:p>
        </w:tc>
        <w:tc>
          <w:tcPr>
            <w:tcW w:w="0" w:type="auto"/>
            <w:vAlign w:val="center"/>
          </w:tcPr>
          <w:p w14:paraId="3D59719D" w14:textId="77777777" w:rsidR="002A5CF3" w:rsidRDefault="00A66EF6">
            <w:pPr>
              <w:pStyle w:val="Tabelleneintrag"/>
              <w:jc w:val="right"/>
            </w:pPr>
            <w:r>
              <w:t>93%</w:t>
            </w:r>
          </w:p>
        </w:tc>
        <w:tc>
          <w:tcPr>
            <w:tcW w:w="0" w:type="auto"/>
            <w:vAlign w:val="center"/>
          </w:tcPr>
          <w:p w14:paraId="3D59719E" w14:textId="77777777" w:rsidR="002A5CF3" w:rsidRDefault="00A66EF6">
            <w:pPr>
              <w:pStyle w:val="Tabelleneintrag"/>
              <w:jc w:val="right"/>
            </w:pPr>
            <w:r>
              <w:t>99%</w:t>
            </w:r>
          </w:p>
        </w:tc>
        <w:tc>
          <w:tcPr>
            <w:tcW w:w="0" w:type="auto"/>
            <w:vAlign w:val="center"/>
          </w:tcPr>
          <w:p w14:paraId="3D59719F" w14:textId="6A88DAD7" w:rsidR="002A5CF3" w:rsidRDefault="00A66EF6">
            <w:pPr>
              <w:pStyle w:val="Tabelleneintrag"/>
              <w:jc w:val="right"/>
            </w:pPr>
            <w:r>
              <w:t>0</w:t>
            </w:r>
            <w:r w:rsidR="006D4F1E">
              <w:t>.</w:t>
            </w:r>
            <w:r>
              <w:t>0180</w:t>
            </w:r>
          </w:p>
        </w:tc>
      </w:tr>
      <w:tr w:rsidR="002A5CF3" w14:paraId="3D5971AC" w14:textId="77777777" w:rsidTr="002A5CF3">
        <w:trPr>
          <w:jc w:val="center"/>
        </w:trPr>
        <w:tc>
          <w:tcPr>
            <w:tcW w:w="0" w:type="auto"/>
            <w:vAlign w:val="center"/>
          </w:tcPr>
          <w:p w14:paraId="3D5971A1" w14:textId="77777777" w:rsidR="002A5CF3" w:rsidRDefault="00A66EF6">
            <w:pPr>
              <w:pStyle w:val="Tabelleneintrag"/>
              <w:jc w:val="right"/>
            </w:pPr>
            <w:r>
              <w:t>11</w:t>
            </w:r>
          </w:p>
        </w:tc>
        <w:tc>
          <w:tcPr>
            <w:tcW w:w="0" w:type="auto"/>
            <w:vAlign w:val="center"/>
          </w:tcPr>
          <w:p w14:paraId="3D5971A2" w14:textId="0335C1A7" w:rsidR="002A5CF3" w:rsidRDefault="00A66EF6">
            <w:pPr>
              <w:pStyle w:val="Tabelleneintrag"/>
              <w:jc w:val="right"/>
            </w:pPr>
            <w:r>
              <w:t>2</w:t>
            </w:r>
            <w:r w:rsidR="006D4F1E">
              <w:t>.</w:t>
            </w:r>
            <w:r>
              <w:t>00</w:t>
            </w:r>
          </w:p>
        </w:tc>
        <w:tc>
          <w:tcPr>
            <w:tcW w:w="0" w:type="auto"/>
            <w:vAlign w:val="center"/>
          </w:tcPr>
          <w:p w14:paraId="3D5971A3" w14:textId="46F1A2A6" w:rsidR="002A5CF3" w:rsidRDefault="00A66EF6">
            <w:pPr>
              <w:pStyle w:val="Tabelleneintrag"/>
              <w:jc w:val="right"/>
            </w:pPr>
            <w:r>
              <w:t>1</w:t>
            </w:r>
            <w:r w:rsidR="006D4F1E">
              <w:t>.</w:t>
            </w:r>
            <w:r>
              <w:t>00</w:t>
            </w:r>
          </w:p>
        </w:tc>
        <w:tc>
          <w:tcPr>
            <w:tcW w:w="0" w:type="auto"/>
            <w:vAlign w:val="center"/>
          </w:tcPr>
          <w:p w14:paraId="3D5971A4" w14:textId="064DD148" w:rsidR="002A5CF3" w:rsidRDefault="00A66EF6">
            <w:pPr>
              <w:pStyle w:val="Tabelleneintrag"/>
              <w:jc w:val="right"/>
            </w:pPr>
            <w:r>
              <w:t>0</w:t>
            </w:r>
            <w:r w:rsidR="006D4F1E">
              <w:t>.</w:t>
            </w:r>
            <w:r>
              <w:t>50</w:t>
            </w:r>
          </w:p>
        </w:tc>
        <w:tc>
          <w:tcPr>
            <w:tcW w:w="0" w:type="auto"/>
            <w:vAlign w:val="center"/>
          </w:tcPr>
          <w:p w14:paraId="3D5971A5" w14:textId="4705DEFA" w:rsidR="002A5CF3" w:rsidRDefault="00A66EF6">
            <w:pPr>
              <w:pStyle w:val="Tabelleneintrag"/>
              <w:jc w:val="right"/>
            </w:pPr>
            <w:r>
              <w:t>1</w:t>
            </w:r>
            <w:r w:rsidR="006D4F1E">
              <w:t>.</w:t>
            </w:r>
            <w:r>
              <w:t>00</w:t>
            </w:r>
          </w:p>
        </w:tc>
        <w:tc>
          <w:tcPr>
            <w:tcW w:w="0" w:type="auto"/>
            <w:vAlign w:val="center"/>
          </w:tcPr>
          <w:p w14:paraId="3D5971A6" w14:textId="2F6F7BD3" w:rsidR="002A5CF3" w:rsidRDefault="00A66EF6">
            <w:pPr>
              <w:pStyle w:val="Tabelleneintrag"/>
              <w:jc w:val="right"/>
            </w:pPr>
            <w:r>
              <w:t>0</w:t>
            </w:r>
            <w:r w:rsidR="006D4F1E">
              <w:t>.</w:t>
            </w:r>
            <w:r>
              <w:t>00</w:t>
            </w:r>
          </w:p>
        </w:tc>
        <w:tc>
          <w:tcPr>
            <w:tcW w:w="0" w:type="auto"/>
            <w:vAlign w:val="center"/>
          </w:tcPr>
          <w:p w14:paraId="3D5971A7" w14:textId="6545A041" w:rsidR="002A5CF3" w:rsidRDefault="00A66EF6">
            <w:pPr>
              <w:pStyle w:val="Tabelleneintrag"/>
              <w:jc w:val="right"/>
            </w:pPr>
            <w:r>
              <w:t>0</w:t>
            </w:r>
            <w:r w:rsidR="006D4F1E">
              <w:t>.</w:t>
            </w:r>
            <w:r>
              <w:t>96</w:t>
            </w:r>
          </w:p>
        </w:tc>
        <w:tc>
          <w:tcPr>
            <w:tcW w:w="0" w:type="auto"/>
            <w:vAlign w:val="center"/>
          </w:tcPr>
          <w:p w14:paraId="3D5971A8" w14:textId="77777777" w:rsidR="002A5CF3" w:rsidRDefault="00A66EF6">
            <w:pPr>
              <w:pStyle w:val="Tabelleneintrag"/>
              <w:jc w:val="right"/>
            </w:pPr>
            <w:r>
              <w:t>89%</w:t>
            </w:r>
          </w:p>
        </w:tc>
        <w:tc>
          <w:tcPr>
            <w:tcW w:w="0" w:type="auto"/>
            <w:vAlign w:val="center"/>
          </w:tcPr>
          <w:p w14:paraId="3D5971A9" w14:textId="77777777" w:rsidR="002A5CF3" w:rsidRDefault="00A66EF6">
            <w:pPr>
              <w:pStyle w:val="Tabelleneintrag"/>
              <w:jc w:val="right"/>
            </w:pPr>
            <w:r>
              <w:t>96%</w:t>
            </w:r>
          </w:p>
        </w:tc>
        <w:tc>
          <w:tcPr>
            <w:tcW w:w="0" w:type="auto"/>
            <w:vAlign w:val="center"/>
          </w:tcPr>
          <w:p w14:paraId="3D5971AA" w14:textId="77777777" w:rsidR="002A5CF3" w:rsidRDefault="00A66EF6">
            <w:pPr>
              <w:pStyle w:val="Tabelleneintrag"/>
              <w:jc w:val="right"/>
            </w:pPr>
            <w:r>
              <w:t>99%</w:t>
            </w:r>
          </w:p>
        </w:tc>
        <w:tc>
          <w:tcPr>
            <w:tcW w:w="0" w:type="auto"/>
            <w:vAlign w:val="center"/>
          </w:tcPr>
          <w:p w14:paraId="3D5971AB" w14:textId="1A5C0E3A" w:rsidR="002A5CF3" w:rsidRDefault="00A66EF6">
            <w:pPr>
              <w:pStyle w:val="Tabelleneintrag"/>
              <w:jc w:val="right"/>
            </w:pPr>
            <w:r>
              <w:t>0</w:t>
            </w:r>
            <w:r w:rsidR="006D4F1E">
              <w:t>.</w:t>
            </w:r>
            <w:r>
              <w:t>0240</w:t>
            </w:r>
          </w:p>
        </w:tc>
      </w:tr>
    </w:tbl>
    <w:p w14:paraId="3D5971AD" w14:textId="77777777" w:rsidR="002A5CF3" w:rsidRDefault="00A66EF6">
      <w:pPr>
        <w:pStyle w:val="Tabellenfu"/>
        <w:rPr>
          <w:rFonts w:ascii="Arial" w:hAnsi="Arial"/>
          <w:lang w:val="en-GB"/>
        </w:rPr>
      </w:pPr>
      <w:r>
        <w:rPr>
          <w:lang w:val="en-GB"/>
        </w:rPr>
        <w:t>sorted by dose; F estimated excess heterozygosity compared to HWE</w:t>
      </w:r>
    </w:p>
    <w:p w14:paraId="3D5972BB" w14:textId="77777777" w:rsidR="002A5CF3" w:rsidRDefault="00A66EF6">
      <w:pPr>
        <w:pStyle w:val="berschrift2"/>
      </w:pPr>
      <w:bookmarkStart w:id="13" w:name="_Toc199774641"/>
      <w:bookmarkEnd w:id="13"/>
      <w:r>
        <w:t>MCMC estimation</w:t>
      </w:r>
    </w:p>
    <w:p w14:paraId="3D5972BC" w14:textId="430C6B14" w:rsidR="002A5CF3" w:rsidRDefault="00A66EF6">
      <w:pPr>
        <w:pStyle w:val="Flietext"/>
        <w:keepNext/>
        <w:keepLines/>
      </w:pPr>
      <w:r>
        <w:t xml:space="preserve">The a posteriori distribution of a parameter is calculated using Bayesian methods (MCMC in this work). This reflects the probability of possible parameter values as a function of the observed data and a prior expectation (a priori distribution). Point estimates (here the mean value), interval estimates (here the 95% HDI) and significance measures (here based on the probability of direction) can be derived from the a posteriori distribution </w:t>
      </w:r>
      <w:r>
        <w:fldChar w:fldCharType="begin"/>
      </w:r>
      <w:r w:rsidR="00F53735">
        <w:instrText xml:space="preserve"> ADDIN ZOTERO_ITEM CSL_CITATION {"citationID":"BlTlPOXd","properties":{"formattedCitation":"(7)","plainCitation":"(7)","noteIndex":0},"citationItems":[{"id":11047,"uris":["http://zotero.org/users/806795/items/79XVTJVW"],"itemData":{"id":11047,"type":"article-journal","abstract":"Turmoil has engulfed psychological science. Causes and consequences of the reproducibility crisis are in dispute. With the hope of addressing some of its aspects, Bayesian methods are gaining increasing attention in psychological science. Some of their advantages, as opposed to the frequentist framework, are the ability to describe parameters in probabilistic terms and explicitly incorporate prior knowledge about them into the model. These issues are crucial in particular regarding the current debate about statistical significance. Bayesian methods are not necessarily the only remedy against incorrect interpretations or wrong conclusions, but there is an increasing agreement that they are one of the keys to avoid such fallacies. Nevertheless, its flexible nature is its power and weakness, for there is no agreement about what indices of “significance” should be computed or reported. This lack of a consensual index or guidelines, such as the frequentist p-value, further contributes to the unnecessary opacity that many non-familiar readers perceive in Bayesian statistics. Thus, this study describes and compares several Bayesian indices, provide intuitive visual representation of their “behavior” in relationship with common sources of variance such as sample size, magnitude of effects and also frequentist significance. The results contribute to the development of an intuitive understanding of the values that researchers report, allowing to draw sensible recommendations for Bayesian statistics description, critical for the standardization of scientific reporting.","container-title":"Frontiers in Psychology","ISSN":"1664-1078","source":"Frontiers","title":"Indices of Effect Existence and Significance in the Bayesian Framework","URL":"https://www.frontiersin.org/articles/10.3389/fpsyg.2019.02767","volume":"10","author":[{"family":"Makowski","given":"Dominique"},{"family":"Ben-Shachar","given":"Mattan S."},{"family":"Chen","given":"S. H. Annabel"},{"family":"Lüdecke","given":"Daniel"}],"accessed":{"date-parts":[["2022",11,1]]},"issued":{"date-parts":[["2019"]]}}}],"schema":"https://github.com/citation-style-language/schema/raw/master/csl-citation.json"} </w:instrText>
      </w:r>
      <w:r>
        <w:fldChar w:fldCharType="separate"/>
      </w:r>
      <w:r w:rsidR="00F53735" w:rsidRPr="00F53735">
        <w:rPr>
          <w:rFonts w:ascii="Calibri" w:hAnsi="Calibri" w:cs="Calibri"/>
        </w:rPr>
        <w:t>(7)</w:t>
      </w:r>
      <w:r>
        <w:fldChar w:fldCharType="end"/>
      </w:r>
      <w:r w:rsidR="00CE26BE">
        <w:t>.</w:t>
      </w:r>
    </w:p>
    <w:tbl>
      <w:tblPr>
        <w:tblStyle w:val="Listentabelle2Akzent3"/>
        <w:tblW w:w="0" w:type="auto"/>
        <w:tblBorders>
          <w:top w:val="none" w:sz="0" w:space="0" w:color="auto"/>
          <w:bottom w:val="none" w:sz="0" w:space="0" w:color="auto"/>
          <w:insideH w:val="none" w:sz="0" w:space="0" w:color="auto"/>
        </w:tblBorders>
        <w:tblLook w:val="0600" w:firstRow="0" w:lastRow="0" w:firstColumn="0" w:lastColumn="0" w:noHBand="1" w:noVBand="1"/>
        <w:tblCaption w:val="Tabelle"/>
        <w:tblDescription w:val="Bysche Signifikantzmaße"/>
      </w:tblPr>
      <w:tblGrid>
        <w:gridCol w:w="5076"/>
        <w:gridCol w:w="3996"/>
      </w:tblGrid>
      <w:tr w:rsidR="002A5CF3" w14:paraId="3D5972C0" w14:textId="77777777" w:rsidTr="002A5CF3">
        <w:tc>
          <w:tcPr>
            <w:tcW w:w="0" w:type="auto"/>
          </w:tcPr>
          <w:p w14:paraId="3D5972BD" w14:textId="77777777" w:rsidR="002A5CF3" w:rsidRDefault="00A66EF6">
            <w:pPr>
              <w:keepNext/>
              <w:keepLines/>
              <w:rPr>
                <w:b/>
              </w:rPr>
            </w:pPr>
            <w:r>
              <w:rPr>
                <w:b/>
              </w:rPr>
              <w:t>Highest Posterior Density Intervals (HDI)</w:t>
            </w:r>
          </w:p>
          <w:p w14:paraId="3D5972BE" w14:textId="77777777" w:rsidR="002A5CF3" w:rsidRDefault="00A66EF6">
            <w:pPr>
              <w:keepNext/>
              <w:keepLines/>
            </w:pPr>
            <w:r>
              <w:t>The 95% HDI is a region with an a posteriori probability of 95%. The minimum density of any point within this region is equal to or greater than the density of any point outside this region.</w:t>
            </w:r>
          </w:p>
        </w:tc>
        <w:tc>
          <w:tcPr>
            <w:tcW w:w="0" w:type="auto"/>
          </w:tcPr>
          <w:p w14:paraId="3D5972BF" w14:textId="77777777" w:rsidR="002A5CF3" w:rsidRDefault="00A66EF6">
            <w:pPr>
              <w:pStyle w:val="Tabelleneintrag"/>
            </w:pPr>
            <w:r>
              <w:rPr>
                <w:noProof/>
                <w:lang w:eastAsia="en-GB"/>
              </w:rPr>
              <w:drawing>
                <wp:inline distT="0" distB="0" distL="0" distR="0" wp14:anchorId="3D5972E6" wp14:editId="7CA77151">
                  <wp:extent cx="2400846" cy="1800000"/>
                  <wp:effectExtent l="0" t="0" r="0" b="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apost_HD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0846" cy="1800000"/>
                          </a:xfrm>
                          <a:prstGeom prst="rect">
                            <a:avLst/>
                          </a:prstGeom>
                        </pic:spPr>
                      </pic:pic>
                    </a:graphicData>
                  </a:graphic>
                </wp:inline>
              </w:drawing>
            </w:r>
          </w:p>
        </w:tc>
      </w:tr>
      <w:tr w:rsidR="002A5CF3" w14:paraId="3D5972C4" w14:textId="77777777" w:rsidTr="002A5CF3">
        <w:tc>
          <w:tcPr>
            <w:tcW w:w="0" w:type="auto"/>
          </w:tcPr>
          <w:p w14:paraId="3D5972C1" w14:textId="77777777" w:rsidR="002A5CF3" w:rsidRDefault="00A66EF6">
            <w:pPr>
              <w:keepNext/>
              <w:keepLines/>
              <w:rPr>
                <w:b/>
                <w:iCs/>
              </w:rPr>
            </w:pPr>
            <w:r>
              <w:rPr>
                <w:b/>
              </w:rPr>
              <w:t>Probability of Direction</w:t>
            </w:r>
            <w:r>
              <w:rPr>
                <w:b/>
                <w:iCs/>
              </w:rPr>
              <w:t xml:space="preserve"> (p</w:t>
            </w:r>
            <w:r w:rsidRPr="00182F20">
              <w:rPr>
                <w:b/>
                <w:iCs/>
                <w:vertAlign w:val="subscript"/>
              </w:rPr>
              <w:t>d</w:t>
            </w:r>
            <w:r>
              <w:rPr>
                <w:b/>
                <w:iCs/>
              </w:rPr>
              <w:t xml:space="preserve">) </w:t>
            </w:r>
          </w:p>
          <w:p w14:paraId="3D5972C2" w14:textId="4CBEE934" w:rsidR="002A5CF3" w:rsidRDefault="00A66EF6" w:rsidP="007869A1">
            <w:pPr>
              <w:keepNext/>
              <w:keepLines/>
              <w:rPr>
                <w:noProof/>
              </w:rPr>
            </w:pPr>
            <w:r>
              <w:t xml:space="preserve">The probability of </w:t>
            </w:r>
            <w:r w:rsidR="007869A1">
              <w:t>d</w:t>
            </w:r>
            <w:r>
              <w:t>irection</w:t>
            </w:r>
            <w:r>
              <w:rPr>
                <w:iCs/>
              </w:rPr>
              <w:t xml:space="preserve"> </w:t>
            </w:r>
            <w:r>
              <w:t>(</w:t>
            </w:r>
            <m:oMath>
              <m:sSub>
                <m:sSubPr>
                  <m:ctrlPr>
                    <w:rPr>
                      <w:rFonts w:ascii="Cambria Math" w:hAnsi="Cambria Math"/>
                      <w:i/>
                    </w:rPr>
                  </m:ctrlPr>
                </m:sSubPr>
                <m:e>
                  <m:r>
                    <w:rPr>
                      <w:rFonts w:ascii="Cambria Math" w:hAnsi="Cambria Math"/>
                    </w:rPr>
                    <m:t>p</m:t>
                  </m:r>
                </m:e>
                <m:sub>
                  <m:r>
                    <w:rPr>
                      <w:rFonts w:ascii="Cambria Math" w:hAnsi="Cambria Math"/>
                    </w:rPr>
                    <m:t>d</m:t>
                  </m:r>
                </m:sub>
              </m:sSub>
            </m:oMath>
            <w:r>
              <w:t>) can be defined as the probability that a parameter is smaller (or larger) than a value under the null hypothesis</w:t>
            </w:r>
            <w:r w:rsidR="007869A1">
              <w:t xml:space="preserve">, </w:t>
            </w:r>
            <w:r w:rsidR="007869A1" w:rsidRPr="007869A1">
              <w:t>whichever is the most probable</w:t>
            </w:r>
            <w:r w:rsidR="007869A1">
              <w:t xml:space="preserve">. </w:t>
            </w:r>
            <m:oMath>
              <m:r>
                <w:rPr>
                  <w:rFonts w:ascii="Cambria Math" w:hAnsi="Cambria Math"/>
                </w:rPr>
                <m:t xml:space="preserve">(1- </m:t>
              </m:r>
              <m:sSub>
                <m:sSubPr>
                  <m:ctrlPr>
                    <w:rPr>
                      <w:rFonts w:ascii="Cambria Math" w:hAnsi="Cambria Math"/>
                      <w:i/>
                    </w:rPr>
                  </m:ctrlPr>
                </m:sSubPr>
                <m:e>
                  <m:r>
                    <w:rPr>
                      <w:rFonts w:ascii="Cambria Math" w:hAnsi="Cambria Math"/>
                    </w:rPr>
                    <m:t>p</m:t>
                  </m:r>
                </m:e>
                <m:sub>
                  <m:r>
                    <w:rPr>
                      <w:rFonts w:ascii="Cambria Math" w:hAnsi="Cambria Math"/>
                    </w:rPr>
                    <m:t>d</m:t>
                  </m:r>
                </m:sub>
              </m:sSub>
              <m:r>
                <w:rPr>
                  <w:rFonts w:ascii="Cambria Math" w:hAnsi="Cambria Math"/>
                </w:rPr>
                <m:t>)</m:t>
              </m:r>
            </m:oMath>
            <w:r w:rsidR="007869A1">
              <w:t xml:space="preserve"> </w:t>
            </w:r>
            <w:r>
              <w:t>is therefore the equivalent of the one-sided p-value but measured using the a posteriori distribution.</w:t>
            </w:r>
          </w:p>
        </w:tc>
        <w:tc>
          <w:tcPr>
            <w:tcW w:w="0" w:type="auto"/>
          </w:tcPr>
          <w:p w14:paraId="3D5972C3" w14:textId="77777777" w:rsidR="002A5CF3" w:rsidRDefault="00A66EF6">
            <w:pPr>
              <w:pStyle w:val="Tabelleneintrag"/>
            </w:pPr>
            <w:r>
              <w:rPr>
                <w:noProof/>
                <w:lang w:eastAsia="en-GB"/>
              </w:rPr>
              <w:drawing>
                <wp:inline distT="0" distB="0" distL="0" distR="0" wp14:anchorId="3D5972E8" wp14:editId="4935ECFC">
                  <wp:extent cx="2400846" cy="1800000"/>
                  <wp:effectExtent l="0" t="0" r="0" b="0"/>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apost_pdirec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0846" cy="1800000"/>
                          </a:xfrm>
                          <a:prstGeom prst="rect">
                            <a:avLst/>
                          </a:prstGeom>
                        </pic:spPr>
                      </pic:pic>
                    </a:graphicData>
                  </a:graphic>
                </wp:inline>
              </w:drawing>
            </w:r>
          </w:p>
        </w:tc>
      </w:tr>
    </w:tbl>
    <w:p w14:paraId="3D5972C5" w14:textId="77777777" w:rsidR="002A5CF3" w:rsidRDefault="002A5CF3">
      <w:pPr>
        <w:pStyle w:val="Flietext"/>
        <w:rPr>
          <w:lang w:val="de-DE"/>
        </w:rPr>
      </w:pPr>
    </w:p>
    <w:p w14:paraId="3D5972C6" w14:textId="77777777" w:rsidR="002A5CF3" w:rsidRDefault="002A5CF3">
      <w:pPr>
        <w:pStyle w:val="Flietext"/>
        <w:rPr>
          <w:lang w:val="de-DE"/>
        </w:rPr>
      </w:pPr>
    </w:p>
    <w:p w14:paraId="3D5972C7" w14:textId="2B2BD2A5" w:rsidR="002A5CF3" w:rsidRDefault="005E2DEB">
      <w:pPr>
        <w:rPr>
          <w:rFonts w:eastAsia="Times New Roman" w:cs="Arial"/>
          <w:szCs w:val="19"/>
          <w:lang w:eastAsia="de-DE"/>
        </w:rPr>
      </w:pPr>
      <w:r>
        <w:t xml:space="preserve">A parameter was labelled as significant in this work if </w:t>
      </w:r>
      <w:r w:rsidR="00BA5F69" w:rsidRPr="00182F20">
        <w:rPr>
          <w:i/>
          <w:iCs/>
          <w:lang w:val="en-US"/>
        </w:rPr>
        <w:t>p</w:t>
      </w:r>
      <w:r w:rsidR="00BA5F69" w:rsidRPr="00182F20">
        <w:rPr>
          <w:vertAlign w:val="subscript"/>
          <w:lang w:val="en-US"/>
        </w:rPr>
        <w:t>two−sided</w:t>
      </w:r>
      <w:r w:rsidR="00BA5F69" w:rsidRPr="00182F20">
        <w:rPr>
          <w:lang w:val="en-US"/>
        </w:rPr>
        <w:t xml:space="preserve"> = 2×(1−</w:t>
      </w:r>
      <w:r w:rsidR="00BA5F69" w:rsidRPr="00182F20">
        <w:rPr>
          <w:i/>
          <w:iCs/>
          <w:lang w:val="en-US"/>
        </w:rPr>
        <w:t>p</w:t>
      </w:r>
      <w:r w:rsidR="00BA5F69" w:rsidRPr="00182F20">
        <w:rPr>
          <w:i/>
          <w:iCs/>
          <w:vertAlign w:val="subscript"/>
          <w:lang w:val="en-US"/>
        </w:rPr>
        <w:t>d</w:t>
      </w:r>
      <w:r w:rsidR="00BA5F69" w:rsidRPr="00182F20">
        <w:rPr>
          <w:lang w:val="en-US"/>
        </w:rPr>
        <w:t>) (</w:t>
      </w:r>
      <w:r w:rsidR="00BA5F69">
        <w:t>p</w:t>
      </w:r>
      <w:r w:rsidR="00BA5F69" w:rsidRPr="00182F20">
        <w:rPr>
          <w:vertAlign w:val="subscript"/>
        </w:rPr>
        <w:t>d</w:t>
      </w:r>
      <w:r w:rsidR="00BA5F69">
        <w:t xml:space="preserve">: </w:t>
      </w:r>
      <w:r>
        <w:t>“probability of direction”</w:t>
      </w:r>
      <w:r w:rsidR="00BA5F69">
        <w:t>)</w:t>
      </w:r>
      <w:r>
        <w:rPr>
          <w:b/>
          <w:iCs/>
        </w:rPr>
        <w:t xml:space="preserve"> </w:t>
      </w:r>
      <w:r w:rsidRPr="00196086">
        <w:rPr>
          <w:iCs/>
        </w:rPr>
        <w:t>was lower than 0.05</w:t>
      </w:r>
      <w:r w:rsidR="00A66EF6">
        <w:rPr>
          <w:rFonts w:eastAsia="Times New Roman" w:cs="Arial"/>
          <w:szCs w:val="19"/>
          <w:lang w:eastAsia="de-DE"/>
        </w:rPr>
        <w:t xml:space="preserve">. </w:t>
      </w:r>
      <w:r w:rsidR="00832849">
        <w:rPr>
          <w:rFonts w:eastAsia="Times New Roman" w:cs="Arial"/>
          <w:szCs w:val="19"/>
          <w:lang w:eastAsia="de-DE"/>
        </w:rPr>
        <w:t>This corresponds approximately to the p-value of a 2-sided test of frequentist statistics.</w:t>
      </w:r>
    </w:p>
    <w:p w14:paraId="4B3CBE29" w14:textId="21DDF22D" w:rsidR="00F53735" w:rsidRDefault="00F53735">
      <w:pPr>
        <w:rPr>
          <w:rFonts w:eastAsia="Times New Roman" w:cs="Arial"/>
          <w:szCs w:val="19"/>
          <w:lang w:eastAsia="de-DE"/>
        </w:rPr>
      </w:pPr>
    </w:p>
    <w:p w14:paraId="5AA07D17" w14:textId="78DE896F" w:rsidR="00F53735" w:rsidRDefault="00F53735">
      <w:pPr>
        <w:jc w:val="left"/>
        <w:rPr>
          <w:rFonts w:eastAsia="Times New Roman" w:cs="Arial"/>
          <w:szCs w:val="19"/>
          <w:lang w:eastAsia="de-DE"/>
        </w:rPr>
      </w:pPr>
      <w:r>
        <w:rPr>
          <w:rFonts w:eastAsia="Times New Roman" w:cs="Arial"/>
          <w:szCs w:val="19"/>
          <w:lang w:eastAsia="de-DE"/>
        </w:rPr>
        <w:br w:type="page"/>
      </w:r>
    </w:p>
    <w:p w14:paraId="0C4B4D9B" w14:textId="694F938D" w:rsidR="00F53735" w:rsidRDefault="00F53735" w:rsidP="00F53735">
      <w:pPr>
        <w:pStyle w:val="berschrift1"/>
        <w:rPr>
          <w:rFonts w:eastAsia="Times New Roman"/>
          <w:lang w:eastAsia="de-DE"/>
        </w:rPr>
      </w:pPr>
      <w:r>
        <w:rPr>
          <w:rFonts w:eastAsia="Times New Roman"/>
          <w:lang w:eastAsia="de-DE"/>
        </w:rPr>
        <w:t>References</w:t>
      </w:r>
    </w:p>
    <w:p w14:paraId="1C92DB79" w14:textId="77777777" w:rsidR="00F53735" w:rsidRDefault="00F53735" w:rsidP="00F53735">
      <w:pPr>
        <w:pStyle w:val="Literaturverzeichnis"/>
      </w:pPr>
      <w:r>
        <w:rPr>
          <w:rFonts w:eastAsiaTheme="minorEastAsia"/>
          <w:lang w:val="en-US"/>
        </w:rPr>
        <w:fldChar w:fldCharType="begin"/>
      </w:r>
      <w:r>
        <w:rPr>
          <w:rFonts w:eastAsiaTheme="minorEastAsia"/>
          <w:lang w:val="en-US"/>
        </w:rPr>
        <w:instrText xml:space="preserve"> ADDIN ZOTERO_BIBL {"uncited":[],"omitted":[],"custom":[]} CSL_BIBLIOGRAPHY </w:instrText>
      </w:r>
      <w:r>
        <w:rPr>
          <w:rFonts w:eastAsiaTheme="minorEastAsia"/>
          <w:lang w:val="en-US"/>
        </w:rPr>
        <w:fldChar w:fldCharType="separate"/>
      </w:r>
      <w:r>
        <w:t>1.</w:t>
      </w:r>
      <w:r>
        <w:tab/>
        <w:t>Buniello A, MacArthur JAL, Cerezo M, Harris LW, Hayhurst J, Malangone C, u. a. The NHGRI-EBI GWAS Catalog of published genome-wide association studies, targeted arrays and summary statistics 2019. Nucleic Acids Res. 8. Januar 2019;47(D1):D1005–12. doi:10.1093/nar/gky1120 PubMed PMID: 30445434; PubMed Central PMCID: PMC6323933.</w:t>
      </w:r>
    </w:p>
    <w:p w14:paraId="48FA7524" w14:textId="77777777" w:rsidR="00F53735" w:rsidRPr="00F53735" w:rsidRDefault="00F53735" w:rsidP="00F53735">
      <w:pPr>
        <w:pStyle w:val="Literaturverzeichnis"/>
        <w:rPr>
          <w:lang w:val="de-DE"/>
        </w:rPr>
      </w:pPr>
      <w:r>
        <w:t>2.</w:t>
      </w:r>
      <w:r>
        <w:tab/>
        <w:t xml:space="preserve">National Center for Biotechnology Information (NCBI)[Internet]. </w:t>
      </w:r>
      <w:r w:rsidRPr="00F53735">
        <w:rPr>
          <w:lang w:val="de-DE"/>
        </w:rPr>
        <w:t>Bethesda (MD). dbGene [Internet]. Verfügbar unter: https://www.ncbi.nlm.nih.gov/gene</w:t>
      </w:r>
    </w:p>
    <w:p w14:paraId="4B6CCB28" w14:textId="77777777" w:rsidR="00F53735" w:rsidRPr="00F53735" w:rsidRDefault="00F53735" w:rsidP="00F53735">
      <w:pPr>
        <w:pStyle w:val="Literaturverzeichnis"/>
        <w:rPr>
          <w:lang w:val="de-DE"/>
        </w:rPr>
      </w:pPr>
      <w:r>
        <w:t>3.</w:t>
      </w:r>
      <w:r>
        <w:tab/>
        <w:t xml:space="preserve">The Human Protein Atlas [Internet]. </w:t>
      </w:r>
      <w:r w:rsidRPr="00F53735">
        <w:rPr>
          <w:lang w:val="de-DE"/>
        </w:rPr>
        <w:t>[zitiert 5. Februar 2021]. Verfügbar unter: https://www.proteinatlas.org/</w:t>
      </w:r>
    </w:p>
    <w:p w14:paraId="27BA98A5" w14:textId="77777777" w:rsidR="00F53735" w:rsidRDefault="00F53735" w:rsidP="00F53735">
      <w:pPr>
        <w:pStyle w:val="Literaturverzeichnis"/>
      </w:pPr>
      <w:r>
        <w:t>4.</w:t>
      </w:r>
      <w:r>
        <w:tab/>
        <w:t>Cunningham F, Amode MR, Barrell D, Beal K, Billis K, Brent S, u. a. Ensembl 2015. Nucleic acids research. Januar 2015;43(Database issue):D662-9. Located at: 25352552. doi:10.1093/nar/gku1010</w:t>
      </w:r>
    </w:p>
    <w:p w14:paraId="3C7EC6FC" w14:textId="77777777" w:rsidR="00F53735" w:rsidRDefault="00F53735" w:rsidP="00F53735">
      <w:pPr>
        <w:pStyle w:val="Literaturverzeichnis"/>
      </w:pPr>
      <w:r w:rsidRPr="00F53735">
        <w:rPr>
          <w:lang w:val="it-IT"/>
        </w:rPr>
        <w:t>5.</w:t>
      </w:r>
      <w:r w:rsidRPr="00F53735">
        <w:rPr>
          <w:lang w:val="it-IT"/>
        </w:rPr>
        <w:tab/>
        <w:t xml:space="preserve">Cavalli-Sforza LL, Bodmer WF. </w:t>
      </w:r>
      <w:r>
        <w:t>The Genetics of Human Populations. Mineola, New York: Dover Publications; 1999.</w:t>
      </w:r>
    </w:p>
    <w:p w14:paraId="66A4919A" w14:textId="77777777" w:rsidR="00F53735" w:rsidRDefault="00F53735" w:rsidP="00F53735">
      <w:pPr>
        <w:pStyle w:val="Literaturverzeichnis"/>
      </w:pPr>
      <w:r>
        <w:t>6.</w:t>
      </w:r>
      <w:r>
        <w:tab/>
        <w:t>Rosenberger A. FLDS: A Flexible, Limited, Double-Sigmoid Transmission Function. Journal of Probability and Statistics. 2026;2026(1):6076741. doi:10.1155/jpas/6076741</w:t>
      </w:r>
    </w:p>
    <w:p w14:paraId="5272BBE7" w14:textId="77777777" w:rsidR="00F53735" w:rsidRPr="00F53735" w:rsidRDefault="00F53735" w:rsidP="00F53735">
      <w:pPr>
        <w:pStyle w:val="Literaturverzeichnis"/>
        <w:rPr>
          <w:lang w:val="de-DE"/>
        </w:rPr>
      </w:pPr>
      <w:r>
        <w:t>7.</w:t>
      </w:r>
      <w:r>
        <w:tab/>
        <w:t xml:space="preserve">Makowski D, Ben-Shachar MS, Chen SHA, Lüdecke D. Indices of Effect Existence and Significance in the Bayesian Framework. </w:t>
      </w:r>
      <w:r w:rsidRPr="00F53735">
        <w:rPr>
          <w:lang w:val="de-DE"/>
        </w:rPr>
        <w:t>Frontiers in Psychology [Internet]. 2019 [zitiert 1. November 2022];10. Verfügbar unter: https://www.frontiersin.org/articles/10.3389/fpsyg.2019.02767</w:t>
      </w:r>
    </w:p>
    <w:p w14:paraId="35C5CFDE" w14:textId="6449CD8E" w:rsidR="00F53735" w:rsidRDefault="00F53735" w:rsidP="00F53735">
      <w:r>
        <w:rPr>
          <w:rFonts w:eastAsiaTheme="minorEastAsia"/>
          <w:lang w:val="en-US"/>
        </w:rPr>
        <w:fldChar w:fldCharType="end"/>
      </w:r>
    </w:p>
    <w:sectPr w:rsidR="00F53735" w:rsidSect="00513BB4">
      <w:footerReference w:type="default" r:id="rId19"/>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1B4AF" w14:textId="77777777" w:rsidR="002E7D22" w:rsidRDefault="002E7D22">
      <w:pPr>
        <w:spacing w:after="0" w:line="240" w:lineRule="auto"/>
      </w:pPr>
      <w:r>
        <w:separator/>
      </w:r>
    </w:p>
  </w:endnote>
  <w:endnote w:type="continuationSeparator" w:id="0">
    <w:p w14:paraId="6CA855C6" w14:textId="77777777" w:rsidR="002E7D22" w:rsidRDefault="002E7D22">
      <w:pPr>
        <w:spacing w:after="0" w:line="240" w:lineRule="auto"/>
      </w:pPr>
      <w:r>
        <w:continuationSeparator/>
      </w:r>
    </w:p>
  </w:endnote>
  <w:endnote w:type="continuationNotice" w:id="1">
    <w:p w14:paraId="4DF5667B" w14:textId="77777777" w:rsidR="002E7D22" w:rsidRDefault="002E7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40500687"/>
      <w:docPartObj>
        <w:docPartGallery w:val="Page Numbers (Bottom of Page)"/>
        <w:docPartUnique/>
      </w:docPartObj>
    </w:sdtPr>
    <w:sdtEndPr/>
    <w:sdtContent>
      <w:p w14:paraId="3D597315" w14:textId="3AA7EB9E" w:rsidR="00351981" w:rsidRDefault="00351981">
        <w:pPr>
          <w:pStyle w:val="Fuzeile"/>
          <w:jc w:val="center"/>
        </w:pPr>
        <w:r>
          <w:fldChar w:fldCharType="begin"/>
        </w:r>
        <w:r>
          <w:instrText>PAGE   \* MERGEFORMAT</w:instrText>
        </w:r>
        <w:r>
          <w:fldChar w:fldCharType="separate"/>
        </w:r>
        <w:r w:rsidR="002E7D22" w:rsidRPr="002E7D22">
          <w:rPr>
            <w:noProof/>
            <w:lang w:val="de-DE"/>
          </w:rPr>
          <w:t>1</w:t>
        </w:r>
        <w:r>
          <w:fldChar w:fldCharType="end"/>
        </w:r>
      </w:p>
    </w:sdtContent>
  </w:sdt>
  <w:p w14:paraId="3D597316" w14:textId="77777777" w:rsidR="00351981" w:rsidRDefault="003519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F5BE8" w14:textId="77777777" w:rsidR="002E7D22" w:rsidRDefault="002E7D22">
      <w:pPr>
        <w:spacing w:after="0" w:line="240" w:lineRule="auto"/>
      </w:pPr>
      <w:r>
        <w:separator/>
      </w:r>
    </w:p>
  </w:footnote>
  <w:footnote w:type="continuationSeparator" w:id="0">
    <w:p w14:paraId="774130E4" w14:textId="77777777" w:rsidR="002E7D22" w:rsidRDefault="002E7D22">
      <w:pPr>
        <w:spacing w:after="0" w:line="240" w:lineRule="auto"/>
      </w:pPr>
      <w:r>
        <w:continuationSeparator/>
      </w:r>
    </w:p>
  </w:footnote>
  <w:footnote w:type="continuationNotice" w:id="1">
    <w:p w14:paraId="0F621CE0" w14:textId="77777777" w:rsidR="002E7D22" w:rsidRDefault="002E7D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5BC473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FB7EC6"/>
    <w:multiLevelType w:val="multilevel"/>
    <w:tmpl w:val="7124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F5732"/>
    <w:multiLevelType w:val="multilevel"/>
    <w:tmpl w:val="9CFAB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70B94"/>
    <w:multiLevelType w:val="hybridMultilevel"/>
    <w:tmpl w:val="406857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5A0A5A"/>
    <w:multiLevelType w:val="multilevel"/>
    <w:tmpl w:val="A4561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7184F"/>
    <w:multiLevelType w:val="hybridMultilevel"/>
    <w:tmpl w:val="A7B4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D10B2B"/>
    <w:multiLevelType w:val="multilevel"/>
    <w:tmpl w:val="5834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F53E8D"/>
    <w:multiLevelType w:val="hybridMultilevel"/>
    <w:tmpl w:val="F064C4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8E18AB"/>
    <w:multiLevelType w:val="hybridMultilevel"/>
    <w:tmpl w:val="0196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2A7AEA"/>
    <w:multiLevelType w:val="hybridMultilevel"/>
    <w:tmpl w:val="7B085C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803E8"/>
    <w:multiLevelType w:val="multilevel"/>
    <w:tmpl w:val="02F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07C5E"/>
    <w:multiLevelType w:val="multilevel"/>
    <w:tmpl w:val="E934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E15B7"/>
    <w:multiLevelType w:val="hybridMultilevel"/>
    <w:tmpl w:val="A3DE2A98"/>
    <w:lvl w:ilvl="0" w:tplc="AA842102">
      <w:numFmt w:val="bullet"/>
      <w:lvlText w:val="•"/>
      <w:lvlJc w:val="left"/>
      <w:pPr>
        <w:ind w:left="1068" w:hanging="708"/>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3E6B7B"/>
    <w:multiLevelType w:val="multilevel"/>
    <w:tmpl w:val="1CBA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2"/>
  </w:num>
  <w:num w:numId="4">
    <w:abstractNumId w:val="9"/>
  </w:num>
  <w:num w:numId="5">
    <w:abstractNumId w:val="1"/>
  </w:num>
  <w:num w:numId="6">
    <w:abstractNumId w:val="10"/>
  </w:num>
  <w:num w:numId="7">
    <w:abstractNumId w:val="13"/>
  </w:num>
  <w:num w:numId="8">
    <w:abstractNumId w:val="8"/>
  </w:num>
  <w:num w:numId="9">
    <w:abstractNumId w:val="5"/>
  </w:num>
  <w:num w:numId="10">
    <w:abstractNumId w:val="12"/>
  </w:num>
  <w:num w:numId="11">
    <w:abstractNumId w:val="0"/>
  </w:num>
  <w:num w:numId="12">
    <w:abstractNumId w:val="6"/>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ctiveWritingStyle w:appName="MSWord" w:lang="it-IT"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activeWritingStyle w:appName="MSWord" w:lang="it-IT" w:vendorID="64" w:dllVersion="131078" w:nlCheck="1" w:checkStyle="0"/>
  <w:defaultTabStop w:val="708"/>
  <w:autoHyphenation/>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CF3"/>
    <w:rsid w:val="00001B2D"/>
    <w:rsid w:val="00002D9F"/>
    <w:rsid w:val="000032D5"/>
    <w:rsid w:val="000102A1"/>
    <w:rsid w:val="00015C53"/>
    <w:rsid w:val="000305FA"/>
    <w:rsid w:val="000328BC"/>
    <w:rsid w:val="00034380"/>
    <w:rsid w:val="000413DE"/>
    <w:rsid w:val="00042DD7"/>
    <w:rsid w:val="0004575D"/>
    <w:rsid w:val="0005265E"/>
    <w:rsid w:val="00052BD5"/>
    <w:rsid w:val="0005359D"/>
    <w:rsid w:val="00063187"/>
    <w:rsid w:val="000673E2"/>
    <w:rsid w:val="00067945"/>
    <w:rsid w:val="0007103B"/>
    <w:rsid w:val="000718B1"/>
    <w:rsid w:val="00073F83"/>
    <w:rsid w:val="00075637"/>
    <w:rsid w:val="00076754"/>
    <w:rsid w:val="00081C88"/>
    <w:rsid w:val="00087CFF"/>
    <w:rsid w:val="000922D7"/>
    <w:rsid w:val="00094250"/>
    <w:rsid w:val="000A2FDC"/>
    <w:rsid w:val="000A3A9D"/>
    <w:rsid w:val="000A6969"/>
    <w:rsid w:val="000A7828"/>
    <w:rsid w:val="000B02A3"/>
    <w:rsid w:val="000C4E2D"/>
    <w:rsid w:val="000C5F5D"/>
    <w:rsid w:val="000C7BA5"/>
    <w:rsid w:val="000D0BEE"/>
    <w:rsid w:val="000D11CE"/>
    <w:rsid w:val="000D1A8B"/>
    <w:rsid w:val="000D61B0"/>
    <w:rsid w:val="000E3F1C"/>
    <w:rsid w:val="000E5ADB"/>
    <w:rsid w:val="000E5E18"/>
    <w:rsid w:val="000F0A7F"/>
    <w:rsid w:val="000F0F66"/>
    <w:rsid w:val="000F118E"/>
    <w:rsid w:val="000F30A0"/>
    <w:rsid w:val="00104654"/>
    <w:rsid w:val="00105A36"/>
    <w:rsid w:val="00106A28"/>
    <w:rsid w:val="00112A63"/>
    <w:rsid w:val="001143DD"/>
    <w:rsid w:val="00115EF1"/>
    <w:rsid w:val="00121C1E"/>
    <w:rsid w:val="0013306A"/>
    <w:rsid w:val="00141368"/>
    <w:rsid w:val="001427AF"/>
    <w:rsid w:val="001448A4"/>
    <w:rsid w:val="00152138"/>
    <w:rsid w:val="00153854"/>
    <w:rsid w:val="00154BE2"/>
    <w:rsid w:val="001626B8"/>
    <w:rsid w:val="00164B47"/>
    <w:rsid w:val="00166242"/>
    <w:rsid w:val="0016683B"/>
    <w:rsid w:val="00166BFC"/>
    <w:rsid w:val="00170F37"/>
    <w:rsid w:val="0017560E"/>
    <w:rsid w:val="00182371"/>
    <w:rsid w:val="001825CB"/>
    <w:rsid w:val="00182F20"/>
    <w:rsid w:val="0018338F"/>
    <w:rsid w:val="0019417F"/>
    <w:rsid w:val="0019508A"/>
    <w:rsid w:val="001A1752"/>
    <w:rsid w:val="001A2B90"/>
    <w:rsid w:val="001A30F2"/>
    <w:rsid w:val="001A7302"/>
    <w:rsid w:val="001B362D"/>
    <w:rsid w:val="001C37AF"/>
    <w:rsid w:val="001D1B4B"/>
    <w:rsid w:val="001D3FE0"/>
    <w:rsid w:val="001D4501"/>
    <w:rsid w:val="001E7782"/>
    <w:rsid w:val="001F2781"/>
    <w:rsid w:val="001F68CA"/>
    <w:rsid w:val="001F69B2"/>
    <w:rsid w:val="001F70ED"/>
    <w:rsid w:val="001F7800"/>
    <w:rsid w:val="002001C0"/>
    <w:rsid w:val="0021262E"/>
    <w:rsid w:val="00212A65"/>
    <w:rsid w:val="00221FDA"/>
    <w:rsid w:val="00224676"/>
    <w:rsid w:val="00226D3E"/>
    <w:rsid w:val="002310AD"/>
    <w:rsid w:val="00254A24"/>
    <w:rsid w:val="002566A4"/>
    <w:rsid w:val="002600EB"/>
    <w:rsid w:val="002601F6"/>
    <w:rsid w:val="002615EC"/>
    <w:rsid w:val="00261EC1"/>
    <w:rsid w:val="00262F31"/>
    <w:rsid w:val="00264C79"/>
    <w:rsid w:val="002730A3"/>
    <w:rsid w:val="0027565B"/>
    <w:rsid w:val="002775E6"/>
    <w:rsid w:val="00281B89"/>
    <w:rsid w:val="00292399"/>
    <w:rsid w:val="00296D51"/>
    <w:rsid w:val="00297E2C"/>
    <w:rsid w:val="002A0B9A"/>
    <w:rsid w:val="002A557D"/>
    <w:rsid w:val="002A5A08"/>
    <w:rsid w:val="002A5CF3"/>
    <w:rsid w:val="002A6DD4"/>
    <w:rsid w:val="002A7789"/>
    <w:rsid w:val="002B1DF6"/>
    <w:rsid w:val="002B41E9"/>
    <w:rsid w:val="002B5F79"/>
    <w:rsid w:val="002B6285"/>
    <w:rsid w:val="002B7FEE"/>
    <w:rsid w:val="002C1A0C"/>
    <w:rsid w:val="002C1F9B"/>
    <w:rsid w:val="002E084D"/>
    <w:rsid w:val="002E6482"/>
    <w:rsid w:val="002E66A1"/>
    <w:rsid w:val="002E7D22"/>
    <w:rsid w:val="002F45C7"/>
    <w:rsid w:val="002F5F00"/>
    <w:rsid w:val="00310F67"/>
    <w:rsid w:val="00311AEB"/>
    <w:rsid w:val="003139FE"/>
    <w:rsid w:val="00317DCC"/>
    <w:rsid w:val="00321184"/>
    <w:rsid w:val="003224C0"/>
    <w:rsid w:val="00322A0C"/>
    <w:rsid w:val="00323117"/>
    <w:rsid w:val="00326836"/>
    <w:rsid w:val="00326E6E"/>
    <w:rsid w:val="00342F2E"/>
    <w:rsid w:val="0034692B"/>
    <w:rsid w:val="00351981"/>
    <w:rsid w:val="003552DE"/>
    <w:rsid w:val="0035635F"/>
    <w:rsid w:val="0035648B"/>
    <w:rsid w:val="00357C9A"/>
    <w:rsid w:val="00371295"/>
    <w:rsid w:val="003865D6"/>
    <w:rsid w:val="003904C4"/>
    <w:rsid w:val="003912A2"/>
    <w:rsid w:val="003925A0"/>
    <w:rsid w:val="00394D97"/>
    <w:rsid w:val="003A5A52"/>
    <w:rsid w:val="003A7451"/>
    <w:rsid w:val="003B069C"/>
    <w:rsid w:val="003C5C91"/>
    <w:rsid w:val="003D1F43"/>
    <w:rsid w:val="003D403F"/>
    <w:rsid w:val="003E36D8"/>
    <w:rsid w:val="003E7C47"/>
    <w:rsid w:val="003F09E7"/>
    <w:rsid w:val="003F186D"/>
    <w:rsid w:val="003F6510"/>
    <w:rsid w:val="004000C6"/>
    <w:rsid w:val="00400458"/>
    <w:rsid w:val="00401CAC"/>
    <w:rsid w:val="004021A8"/>
    <w:rsid w:val="004037C3"/>
    <w:rsid w:val="00431EE7"/>
    <w:rsid w:val="00435D45"/>
    <w:rsid w:val="0044142C"/>
    <w:rsid w:val="00442534"/>
    <w:rsid w:val="00450C87"/>
    <w:rsid w:val="00455B14"/>
    <w:rsid w:val="00457134"/>
    <w:rsid w:val="00463C18"/>
    <w:rsid w:val="00464F66"/>
    <w:rsid w:val="00474C72"/>
    <w:rsid w:val="00485CE2"/>
    <w:rsid w:val="00491B3C"/>
    <w:rsid w:val="0049269E"/>
    <w:rsid w:val="00497ED3"/>
    <w:rsid w:val="004A0DE8"/>
    <w:rsid w:val="004A1488"/>
    <w:rsid w:val="004A27CA"/>
    <w:rsid w:val="004A2A3D"/>
    <w:rsid w:val="004A37C1"/>
    <w:rsid w:val="004B2C58"/>
    <w:rsid w:val="004C1B97"/>
    <w:rsid w:val="004C26D6"/>
    <w:rsid w:val="004D119C"/>
    <w:rsid w:val="004D1A26"/>
    <w:rsid w:val="004D36F3"/>
    <w:rsid w:val="004E1A7A"/>
    <w:rsid w:val="004E30EE"/>
    <w:rsid w:val="004F03FB"/>
    <w:rsid w:val="004F4941"/>
    <w:rsid w:val="00500BB1"/>
    <w:rsid w:val="00504501"/>
    <w:rsid w:val="005047C8"/>
    <w:rsid w:val="005053B2"/>
    <w:rsid w:val="00513BB4"/>
    <w:rsid w:val="005218F9"/>
    <w:rsid w:val="00521A7D"/>
    <w:rsid w:val="00526B01"/>
    <w:rsid w:val="00533278"/>
    <w:rsid w:val="0053560D"/>
    <w:rsid w:val="00536B41"/>
    <w:rsid w:val="005418A3"/>
    <w:rsid w:val="00541978"/>
    <w:rsid w:val="00541AB1"/>
    <w:rsid w:val="00547A29"/>
    <w:rsid w:val="0055369B"/>
    <w:rsid w:val="00554103"/>
    <w:rsid w:val="00556E09"/>
    <w:rsid w:val="00556F6B"/>
    <w:rsid w:val="005628B9"/>
    <w:rsid w:val="00564FD0"/>
    <w:rsid w:val="00567947"/>
    <w:rsid w:val="005679A0"/>
    <w:rsid w:val="00571705"/>
    <w:rsid w:val="00571B14"/>
    <w:rsid w:val="00575284"/>
    <w:rsid w:val="00581128"/>
    <w:rsid w:val="0058612E"/>
    <w:rsid w:val="00590CB8"/>
    <w:rsid w:val="00590CD8"/>
    <w:rsid w:val="00596010"/>
    <w:rsid w:val="005A0551"/>
    <w:rsid w:val="005A5DE3"/>
    <w:rsid w:val="005A646E"/>
    <w:rsid w:val="005A7E8F"/>
    <w:rsid w:val="005B3279"/>
    <w:rsid w:val="005B79FF"/>
    <w:rsid w:val="005C509A"/>
    <w:rsid w:val="005E2DEB"/>
    <w:rsid w:val="005E73BB"/>
    <w:rsid w:val="005F1A45"/>
    <w:rsid w:val="005F21F4"/>
    <w:rsid w:val="005F3E2A"/>
    <w:rsid w:val="005F7553"/>
    <w:rsid w:val="005F7ADC"/>
    <w:rsid w:val="00601D63"/>
    <w:rsid w:val="006022ED"/>
    <w:rsid w:val="0061031F"/>
    <w:rsid w:val="006157D0"/>
    <w:rsid w:val="0061624B"/>
    <w:rsid w:val="00621973"/>
    <w:rsid w:val="006302FA"/>
    <w:rsid w:val="00631610"/>
    <w:rsid w:val="006317A1"/>
    <w:rsid w:val="00641EC2"/>
    <w:rsid w:val="00642A10"/>
    <w:rsid w:val="006431A3"/>
    <w:rsid w:val="00652268"/>
    <w:rsid w:val="00655A26"/>
    <w:rsid w:val="00656531"/>
    <w:rsid w:val="0065682D"/>
    <w:rsid w:val="0065685D"/>
    <w:rsid w:val="00661620"/>
    <w:rsid w:val="006630AF"/>
    <w:rsid w:val="00663F2E"/>
    <w:rsid w:val="00665B22"/>
    <w:rsid w:val="00666C9D"/>
    <w:rsid w:val="00675309"/>
    <w:rsid w:val="00682B09"/>
    <w:rsid w:val="00682FA3"/>
    <w:rsid w:val="00690577"/>
    <w:rsid w:val="00693F80"/>
    <w:rsid w:val="00695A5F"/>
    <w:rsid w:val="006977F1"/>
    <w:rsid w:val="006A40F7"/>
    <w:rsid w:val="006B0508"/>
    <w:rsid w:val="006B19CE"/>
    <w:rsid w:val="006B4E99"/>
    <w:rsid w:val="006B5E5F"/>
    <w:rsid w:val="006C1B49"/>
    <w:rsid w:val="006C764C"/>
    <w:rsid w:val="006D442C"/>
    <w:rsid w:val="006D4F1E"/>
    <w:rsid w:val="006E1994"/>
    <w:rsid w:val="006E1DAF"/>
    <w:rsid w:val="006E4E86"/>
    <w:rsid w:val="006E5FD0"/>
    <w:rsid w:val="006F06A9"/>
    <w:rsid w:val="006F3BAE"/>
    <w:rsid w:val="006F5681"/>
    <w:rsid w:val="00714C29"/>
    <w:rsid w:val="0071614B"/>
    <w:rsid w:val="00717926"/>
    <w:rsid w:val="007214DA"/>
    <w:rsid w:val="007250ED"/>
    <w:rsid w:val="00726F3F"/>
    <w:rsid w:val="0073185B"/>
    <w:rsid w:val="007328E1"/>
    <w:rsid w:val="00741CE2"/>
    <w:rsid w:val="0074268E"/>
    <w:rsid w:val="007429F8"/>
    <w:rsid w:val="00745607"/>
    <w:rsid w:val="007539FF"/>
    <w:rsid w:val="0075412A"/>
    <w:rsid w:val="00755505"/>
    <w:rsid w:val="00755C38"/>
    <w:rsid w:val="00756E66"/>
    <w:rsid w:val="00765AEB"/>
    <w:rsid w:val="007660CC"/>
    <w:rsid w:val="00767551"/>
    <w:rsid w:val="00770ABD"/>
    <w:rsid w:val="00772ECB"/>
    <w:rsid w:val="007810AC"/>
    <w:rsid w:val="00784B8F"/>
    <w:rsid w:val="007869A1"/>
    <w:rsid w:val="007929DE"/>
    <w:rsid w:val="007A5FAC"/>
    <w:rsid w:val="007A6918"/>
    <w:rsid w:val="007B07DB"/>
    <w:rsid w:val="007C3940"/>
    <w:rsid w:val="007D2C01"/>
    <w:rsid w:val="007D4508"/>
    <w:rsid w:val="007D5A0B"/>
    <w:rsid w:val="007E5784"/>
    <w:rsid w:val="007F2F7F"/>
    <w:rsid w:val="008016DC"/>
    <w:rsid w:val="00803554"/>
    <w:rsid w:val="00806CEF"/>
    <w:rsid w:val="00810D03"/>
    <w:rsid w:val="00813414"/>
    <w:rsid w:val="00814D06"/>
    <w:rsid w:val="00816642"/>
    <w:rsid w:val="00820032"/>
    <w:rsid w:val="00821CFD"/>
    <w:rsid w:val="0082303B"/>
    <w:rsid w:val="008307A4"/>
    <w:rsid w:val="008311D5"/>
    <w:rsid w:val="008313AB"/>
    <w:rsid w:val="00832849"/>
    <w:rsid w:val="00841459"/>
    <w:rsid w:val="00842315"/>
    <w:rsid w:val="008516C3"/>
    <w:rsid w:val="00852F7C"/>
    <w:rsid w:val="00856241"/>
    <w:rsid w:val="00856E2C"/>
    <w:rsid w:val="008608D8"/>
    <w:rsid w:val="00861C0F"/>
    <w:rsid w:val="008732E0"/>
    <w:rsid w:val="0088009F"/>
    <w:rsid w:val="0089247C"/>
    <w:rsid w:val="008936B1"/>
    <w:rsid w:val="008A13A8"/>
    <w:rsid w:val="008A31CA"/>
    <w:rsid w:val="008A71B0"/>
    <w:rsid w:val="008B134C"/>
    <w:rsid w:val="008C4738"/>
    <w:rsid w:val="008D167B"/>
    <w:rsid w:val="008D69EF"/>
    <w:rsid w:val="008E6CBB"/>
    <w:rsid w:val="008E7B9F"/>
    <w:rsid w:val="008F3F49"/>
    <w:rsid w:val="008F4418"/>
    <w:rsid w:val="008F4971"/>
    <w:rsid w:val="008F64B2"/>
    <w:rsid w:val="00900259"/>
    <w:rsid w:val="00903D18"/>
    <w:rsid w:val="00904567"/>
    <w:rsid w:val="00907436"/>
    <w:rsid w:val="00915457"/>
    <w:rsid w:val="0092309F"/>
    <w:rsid w:val="009409DA"/>
    <w:rsid w:val="00941330"/>
    <w:rsid w:val="009418C9"/>
    <w:rsid w:val="00942741"/>
    <w:rsid w:val="00943778"/>
    <w:rsid w:val="00945FE6"/>
    <w:rsid w:val="009461B4"/>
    <w:rsid w:val="00947715"/>
    <w:rsid w:val="0095064C"/>
    <w:rsid w:val="00951207"/>
    <w:rsid w:val="00952F49"/>
    <w:rsid w:val="009613AB"/>
    <w:rsid w:val="00966F1C"/>
    <w:rsid w:val="00971A97"/>
    <w:rsid w:val="00971B4E"/>
    <w:rsid w:val="009760BD"/>
    <w:rsid w:val="00982B10"/>
    <w:rsid w:val="00985B19"/>
    <w:rsid w:val="009953B5"/>
    <w:rsid w:val="0099568A"/>
    <w:rsid w:val="009A07A7"/>
    <w:rsid w:val="009A18A8"/>
    <w:rsid w:val="009A2829"/>
    <w:rsid w:val="009A289C"/>
    <w:rsid w:val="009A5A95"/>
    <w:rsid w:val="009A6998"/>
    <w:rsid w:val="009A786F"/>
    <w:rsid w:val="009A79AB"/>
    <w:rsid w:val="009C0358"/>
    <w:rsid w:val="009C0704"/>
    <w:rsid w:val="009C22B3"/>
    <w:rsid w:val="009C359B"/>
    <w:rsid w:val="009D5DE5"/>
    <w:rsid w:val="009E22B7"/>
    <w:rsid w:val="009E4723"/>
    <w:rsid w:val="009E6FB1"/>
    <w:rsid w:val="009F2DE9"/>
    <w:rsid w:val="009F3227"/>
    <w:rsid w:val="009F35FF"/>
    <w:rsid w:val="009F625E"/>
    <w:rsid w:val="00A12D9E"/>
    <w:rsid w:val="00A13703"/>
    <w:rsid w:val="00A142AC"/>
    <w:rsid w:val="00A17C92"/>
    <w:rsid w:val="00A20A65"/>
    <w:rsid w:val="00A22C45"/>
    <w:rsid w:val="00A24256"/>
    <w:rsid w:val="00A37482"/>
    <w:rsid w:val="00A41E4D"/>
    <w:rsid w:val="00A4657A"/>
    <w:rsid w:val="00A47437"/>
    <w:rsid w:val="00A5096D"/>
    <w:rsid w:val="00A51BA5"/>
    <w:rsid w:val="00A5420E"/>
    <w:rsid w:val="00A561CC"/>
    <w:rsid w:val="00A5634E"/>
    <w:rsid w:val="00A6380B"/>
    <w:rsid w:val="00A642E5"/>
    <w:rsid w:val="00A64FE5"/>
    <w:rsid w:val="00A66EF6"/>
    <w:rsid w:val="00A70D20"/>
    <w:rsid w:val="00A9628B"/>
    <w:rsid w:val="00A9672C"/>
    <w:rsid w:val="00AA1E99"/>
    <w:rsid w:val="00AA53DE"/>
    <w:rsid w:val="00AA6AA4"/>
    <w:rsid w:val="00AB1FC5"/>
    <w:rsid w:val="00AB2869"/>
    <w:rsid w:val="00AB46EE"/>
    <w:rsid w:val="00AB7963"/>
    <w:rsid w:val="00AC63B2"/>
    <w:rsid w:val="00AC6ABD"/>
    <w:rsid w:val="00AD5F12"/>
    <w:rsid w:val="00AE19CE"/>
    <w:rsid w:val="00AE21D9"/>
    <w:rsid w:val="00AE3383"/>
    <w:rsid w:val="00AF2084"/>
    <w:rsid w:val="00AF595A"/>
    <w:rsid w:val="00B0255E"/>
    <w:rsid w:val="00B030E3"/>
    <w:rsid w:val="00B06D5D"/>
    <w:rsid w:val="00B13BD2"/>
    <w:rsid w:val="00B13D39"/>
    <w:rsid w:val="00B17D98"/>
    <w:rsid w:val="00B21395"/>
    <w:rsid w:val="00B21C40"/>
    <w:rsid w:val="00B26499"/>
    <w:rsid w:val="00B26F60"/>
    <w:rsid w:val="00B3165A"/>
    <w:rsid w:val="00B33157"/>
    <w:rsid w:val="00B339D1"/>
    <w:rsid w:val="00B34642"/>
    <w:rsid w:val="00B34F5F"/>
    <w:rsid w:val="00B42855"/>
    <w:rsid w:val="00B46C80"/>
    <w:rsid w:val="00B52592"/>
    <w:rsid w:val="00B55486"/>
    <w:rsid w:val="00B57541"/>
    <w:rsid w:val="00B61FD5"/>
    <w:rsid w:val="00B63BC1"/>
    <w:rsid w:val="00B658F1"/>
    <w:rsid w:val="00B73A5A"/>
    <w:rsid w:val="00B776D8"/>
    <w:rsid w:val="00B80E50"/>
    <w:rsid w:val="00B87881"/>
    <w:rsid w:val="00B902BE"/>
    <w:rsid w:val="00BA0149"/>
    <w:rsid w:val="00BA2847"/>
    <w:rsid w:val="00BA2F46"/>
    <w:rsid w:val="00BA4BFB"/>
    <w:rsid w:val="00BA5F69"/>
    <w:rsid w:val="00BA65A1"/>
    <w:rsid w:val="00BB08AD"/>
    <w:rsid w:val="00BB36AB"/>
    <w:rsid w:val="00BB50C7"/>
    <w:rsid w:val="00BB6E81"/>
    <w:rsid w:val="00BB7C68"/>
    <w:rsid w:val="00BC5452"/>
    <w:rsid w:val="00BD2756"/>
    <w:rsid w:val="00BD4F3C"/>
    <w:rsid w:val="00BE1A8C"/>
    <w:rsid w:val="00BF5DAF"/>
    <w:rsid w:val="00C00C5D"/>
    <w:rsid w:val="00C13AE2"/>
    <w:rsid w:val="00C1647B"/>
    <w:rsid w:val="00C2039F"/>
    <w:rsid w:val="00C21E01"/>
    <w:rsid w:val="00C275DF"/>
    <w:rsid w:val="00C34CB9"/>
    <w:rsid w:val="00C43128"/>
    <w:rsid w:val="00C45D7A"/>
    <w:rsid w:val="00C559A1"/>
    <w:rsid w:val="00C55D5F"/>
    <w:rsid w:val="00C57545"/>
    <w:rsid w:val="00C663B6"/>
    <w:rsid w:val="00C66597"/>
    <w:rsid w:val="00C803C9"/>
    <w:rsid w:val="00C90C87"/>
    <w:rsid w:val="00C925DB"/>
    <w:rsid w:val="00C93BBC"/>
    <w:rsid w:val="00CA6B91"/>
    <w:rsid w:val="00CA724C"/>
    <w:rsid w:val="00CB458B"/>
    <w:rsid w:val="00CC017C"/>
    <w:rsid w:val="00CC1373"/>
    <w:rsid w:val="00CC577C"/>
    <w:rsid w:val="00CD05CC"/>
    <w:rsid w:val="00CD32E6"/>
    <w:rsid w:val="00CD6CE1"/>
    <w:rsid w:val="00CD7B4E"/>
    <w:rsid w:val="00CE26BE"/>
    <w:rsid w:val="00CE587E"/>
    <w:rsid w:val="00D009F5"/>
    <w:rsid w:val="00D07A4E"/>
    <w:rsid w:val="00D10367"/>
    <w:rsid w:val="00D2177F"/>
    <w:rsid w:val="00D25BA6"/>
    <w:rsid w:val="00D26664"/>
    <w:rsid w:val="00D30E91"/>
    <w:rsid w:val="00D31207"/>
    <w:rsid w:val="00D34B1F"/>
    <w:rsid w:val="00D3577C"/>
    <w:rsid w:val="00D35A34"/>
    <w:rsid w:val="00D3791A"/>
    <w:rsid w:val="00D41CA7"/>
    <w:rsid w:val="00D52C86"/>
    <w:rsid w:val="00D6191E"/>
    <w:rsid w:val="00D67D8A"/>
    <w:rsid w:val="00D72633"/>
    <w:rsid w:val="00D73736"/>
    <w:rsid w:val="00D8221D"/>
    <w:rsid w:val="00D8708D"/>
    <w:rsid w:val="00D9608A"/>
    <w:rsid w:val="00DA0A0C"/>
    <w:rsid w:val="00DA4419"/>
    <w:rsid w:val="00DA5B9A"/>
    <w:rsid w:val="00DA6312"/>
    <w:rsid w:val="00DB0D28"/>
    <w:rsid w:val="00DB4DAC"/>
    <w:rsid w:val="00DC315D"/>
    <w:rsid w:val="00DC4904"/>
    <w:rsid w:val="00DD736C"/>
    <w:rsid w:val="00DD74F3"/>
    <w:rsid w:val="00DE78E1"/>
    <w:rsid w:val="00DF0290"/>
    <w:rsid w:val="00DF3DEB"/>
    <w:rsid w:val="00E047F0"/>
    <w:rsid w:val="00E0492C"/>
    <w:rsid w:val="00E06487"/>
    <w:rsid w:val="00E07980"/>
    <w:rsid w:val="00E11D9F"/>
    <w:rsid w:val="00E11F09"/>
    <w:rsid w:val="00E22D08"/>
    <w:rsid w:val="00E26756"/>
    <w:rsid w:val="00E306D6"/>
    <w:rsid w:val="00E311ED"/>
    <w:rsid w:val="00E345AA"/>
    <w:rsid w:val="00E349B8"/>
    <w:rsid w:val="00E43587"/>
    <w:rsid w:val="00E43A57"/>
    <w:rsid w:val="00E72E0A"/>
    <w:rsid w:val="00E74018"/>
    <w:rsid w:val="00E76C6B"/>
    <w:rsid w:val="00E80C70"/>
    <w:rsid w:val="00E817E6"/>
    <w:rsid w:val="00E8338C"/>
    <w:rsid w:val="00E8344E"/>
    <w:rsid w:val="00E85BEE"/>
    <w:rsid w:val="00E86B2E"/>
    <w:rsid w:val="00E87CBE"/>
    <w:rsid w:val="00E9439E"/>
    <w:rsid w:val="00E9485C"/>
    <w:rsid w:val="00EA0845"/>
    <w:rsid w:val="00EA20E0"/>
    <w:rsid w:val="00EB4D07"/>
    <w:rsid w:val="00EB582F"/>
    <w:rsid w:val="00EB5D5A"/>
    <w:rsid w:val="00EC1B9D"/>
    <w:rsid w:val="00EC35CE"/>
    <w:rsid w:val="00EC54B9"/>
    <w:rsid w:val="00EC64BB"/>
    <w:rsid w:val="00ED18C7"/>
    <w:rsid w:val="00ED59C8"/>
    <w:rsid w:val="00EE59C8"/>
    <w:rsid w:val="00EF0334"/>
    <w:rsid w:val="00F04B94"/>
    <w:rsid w:val="00F05DFE"/>
    <w:rsid w:val="00F06146"/>
    <w:rsid w:val="00F12140"/>
    <w:rsid w:val="00F17836"/>
    <w:rsid w:val="00F17B90"/>
    <w:rsid w:val="00F17C8A"/>
    <w:rsid w:val="00F27B84"/>
    <w:rsid w:val="00F34859"/>
    <w:rsid w:val="00F36B65"/>
    <w:rsid w:val="00F37547"/>
    <w:rsid w:val="00F4014F"/>
    <w:rsid w:val="00F422A9"/>
    <w:rsid w:val="00F45C2C"/>
    <w:rsid w:val="00F50F63"/>
    <w:rsid w:val="00F53735"/>
    <w:rsid w:val="00F54C01"/>
    <w:rsid w:val="00F577DB"/>
    <w:rsid w:val="00F627D5"/>
    <w:rsid w:val="00F67C39"/>
    <w:rsid w:val="00F72D09"/>
    <w:rsid w:val="00F73109"/>
    <w:rsid w:val="00F746DC"/>
    <w:rsid w:val="00F83A0E"/>
    <w:rsid w:val="00F924F5"/>
    <w:rsid w:val="00F93512"/>
    <w:rsid w:val="00F940AF"/>
    <w:rsid w:val="00F945C9"/>
    <w:rsid w:val="00FB66D9"/>
    <w:rsid w:val="00FC1660"/>
    <w:rsid w:val="00FD0369"/>
    <w:rsid w:val="00FD516C"/>
    <w:rsid w:val="00FE0318"/>
    <w:rsid w:val="00FE0EC0"/>
    <w:rsid w:val="00FE6E66"/>
    <w:rsid w:val="00FF566F"/>
    <w:rsid w:val="18FED937"/>
    <w:rsid w:val="5A9AC2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96C76"/>
  <w15:chartTrackingRefBased/>
  <w15:docId w15:val="{3D7B3BC4-58B3-48F6-A331-3079FB1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jc w:val="both"/>
    </w:pPr>
    <w:rPr>
      <w:lang w:val="en-GB"/>
    </w:r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5">
    <w:name w:val="Plain Table 5"/>
    <w:aliases w:val="Tabelle Manusrkipt"/>
    <w:basedOn w:val="NormaleTabelle"/>
    <w:uiPriority w:val="45"/>
    <w:pPr>
      <w:spacing w:after="0" w:line="240" w:lineRule="auto"/>
    </w:pPr>
    <w:rPr>
      <w:rFonts w:eastAsiaTheme="minorEastAsia"/>
      <w:lang w:eastAsia="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
    <w:name w:val="List Table 7 Colorful"/>
    <w:aliases w:val="Eigene Tabelle"/>
    <w:basedOn w:val="NormaleTabelle"/>
    <w:uiPriority w:val="52"/>
    <w:pPr>
      <w:spacing w:after="0" w:line="240" w:lineRule="auto"/>
      <w:contextualSpacing/>
      <w:jc w:val="center"/>
    </w:pPr>
    <w:rPr>
      <w:rFonts w:ascii="Calibri" w:eastAsiaTheme="minorEastAsia" w:hAnsi="Calibri"/>
      <w:color w:val="000000" w:themeColor="text1"/>
      <w:sz w:val="18"/>
      <w:lang w:eastAsia="de-DE"/>
    </w:rPr>
    <w:tblPr>
      <w:tblStyleRowBandSize w:val="1"/>
      <w:tblStyleColBandSize w:val="1"/>
    </w:tblPr>
    <w:tcPr>
      <w:vAlign w:val="center"/>
    </w:tcPr>
    <w:tblStylePr w:type="firstRow">
      <w:pPr>
        <w:jc w:val="center"/>
      </w:pPr>
      <w:rPr>
        <w:rFonts w:ascii="Calibri" w:eastAsiaTheme="majorEastAsia" w:hAnsi="Calibri" w:cstheme="majorBidi"/>
        <w:b/>
        <w:i w:val="0"/>
        <w:iCs/>
        <w:sz w:val="18"/>
      </w:rPr>
      <w:tblPr/>
      <w:tcPr>
        <w:tcBorders>
          <w:bottom w:val="single" w:sz="4" w:space="0" w:color="000000" w:themeColor="text1"/>
        </w:tcBorders>
        <w:shd w:val="clear" w:color="auto" w:fill="FFFFFF" w:themeFill="background1"/>
        <w:vAlign w:val="center"/>
      </w:tcPr>
    </w:tblStylePr>
    <w:tblStylePr w:type="lastRow">
      <w:rPr>
        <w:rFonts w:asciiTheme="majorHAnsi" w:eastAsiaTheme="majorEastAsia" w:hAnsiTheme="majorHAnsi" w:cstheme="majorBidi"/>
        <w:i/>
        <w:iCs/>
        <w:sz w:val="18"/>
      </w:rPr>
      <w:tblPr/>
      <w:tcPr>
        <w:tcBorders>
          <w:top w:val="single" w:sz="4" w:space="0" w:color="000000" w:themeColor="text1"/>
        </w:tcBorders>
        <w:shd w:val="clear" w:color="auto" w:fill="FFFFFF" w:themeFill="background1"/>
      </w:tcPr>
    </w:tblStylePr>
    <w:tblStylePr w:type="firstCol">
      <w:pPr>
        <w:jc w:val="left"/>
      </w:pPr>
      <w:rPr>
        <w:rFonts w:ascii="Calibri" w:eastAsiaTheme="majorEastAsia" w:hAnsi="Calibri" w:cstheme="majorBidi"/>
        <w:b/>
        <w:i w:val="0"/>
        <w:iCs/>
        <w:sz w:val="18"/>
      </w:rPr>
      <w:tblPr/>
      <w:tcPr>
        <w:tcBorders>
          <w:right w:val="single" w:sz="4" w:space="0" w:color="000000" w:themeColor="text1"/>
        </w:tcBorders>
        <w:shd w:val="clear" w:color="auto" w:fill="FFFFFF" w:themeFill="background1"/>
      </w:tcPr>
    </w:tblStylePr>
    <w:tblStylePr w:type="lastCol">
      <w:rPr>
        <w:rFonts w:ascii="Calibri" w:eastAsiaTheme="majorEastAsia" w:hAnsi="Calibri" w:cstheme="majorBidi"/>
        <w:i/>
        <w:iCs/>
        <w:sz w:val="18"/>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igeneTabelle">
    <w:name w:val="eigene Tabelle"/>
    <w:basedOn w:val="NormaleTabelle"/>
    <w:uiPriority w:val="99"/>
    <w:pPr>
      <w:keepNext/>
      <w:keepLines/>
      <w:spacing w:after="0" w:line="240" w:lineRule="auto"/>
      <w:jc w:val="center"/>
    </w:pPr>
    <w:rPr>
      <w:rFonts w:eastAsiaTheme="minorEastAsia"/>
      <w:sz w:val="18"/>
      <w:lang w:eastAsia="de-DE"/>
    </w:rPr>
    <w:tblPr>
      <w:tblStyleRowBandSize w:val="1"/>
      <w:tblBorders>
        <w:bottom w:val="single" w:sz="4" w:space="0" w:color="auto"/>
      </w:tblBorders>
    </w:tblPr>
    <w:tcPr>
      <w:vAlign w:val="center"/>
    </w:tcPr>
    <w:tblStylePr w:type="firstRow">
      <w:rPr>
        <w:i/>
      </w:rPr>
      <w:tblPr/>
      <w:tcPr>
        <w:tcBorders>
          <w:bottom w:val="nil"/>
        </w:tcBorders>
      </w:tcPr>
    </w:tblStylePr>
    <w:tblStylePr w:type="lastRow">
      <w:rPr>
        <w:i/>
      </w:rPr>
      <w:tblPr/>
      <w:tcPr>
        <w:tcBorders>
          <w:top w:val="nil"/>
        </w:tcBorders>
      </w:tcPr>
    </w:tblStylePr>
    <w:tblStylePr w:type="firstCol">
      <w:pPr>
        <w:jc w:val="left"/>
      </w:pPr>
      <w:rPr>
        <w:i/>
      </w:rPr>
    </w:tblStylePr>
    <w:tblStylePr w:type="band1Horz">
      <w:tblPr/>
      <w:tcPr>
        <w:shd w:val="clear" w:color="auto" w:fill="F2F2F2" w:themeFill="background1" w:themeFillShade="F2"/>
      </w:tcPr>
    </w:tblStyle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pPr>
      <w:ind w:left="720"/>
      <w:contextualSpacing/>
    </w:pPr>
  </w:style>
  <w:style w:type="paragraph" w:customStyle="1" w:styleId="Flietext">
    <w:name w:val="Fließtext"/>
    <w:basedOn w:val="Standard"/>
    <w:qFormat/>
    <w:pPr>
      <w:spacing w:before="100" w:after="100" w:line="280" w:lineRule="atLeast"/>
      <w:jc w:val="left"/>
    </w:pPr>
    <w:rPr>
      <w:rFonts w:eastAsia="Times New Roman" w:cs="Arial"/>
      <w:szCs w:val="19"/>
      <w:lang w:eastAsia="de-DE"/>
    </w:rPr>
  </w:style>
  <w:style w:type="character" w:customStyle="1" w:styleId="tlid-translation">
    <w:name w:val="tlid-translation"/>
    <w:basedOn w:val="Absatz-Standardschriftart"/>
  </w:style>
  <w:style w:type="paragraph" w:styleId="Literaturverzeichnis">
    <w:name w:val="Bibliography"/>
    <w:basedOn w:val="Standard"/>
    <w:next w:val="Standard"/>
    <w:uiPriority w:val="37"/>
    <w:unhideWhenUsed/>
    <w:pPr>
      <w:tabs>
        <w:tab w:val="left" w:pos="384"/>
      </w:tabs>
      <w:spacing w:after="240" w:line="240" w:lineRule="auto"/>
      <w:ind w:left="384" w:hanging="384"/>
    </w:pPr>
  </w:style>
  <w:style w:type="paragraph" w:styleId="Titel">
    <w:name w:val="Title"/>
    <w:basedOn w:val="Standard"/>
    <w:next w:val="Standard"/>
    <w:link w:val="TitelZchn"/>
    <w:uiPriority w:val="10"/>
    <w:qFormat/>
    <w:pPr>
      <w:spacing w:after="0" w:line="240" w:lineRule="auto"/>
      <w:contextualSpacing/>
    </w:pPr>
    <w:rPr>
      <w:rFonts w:ascii="Calibri" w:eastAsiaTheme="majorEastAsia" w:hAnsi="Calibri" w:cstheme="majorBidi"/>
      <w:i/>
      <w:spacing w:val="-10"/>
      <w:kern w:val="28"/>
      <w:sz w:val="40"/>
      <w:szCs w:val="56"/>
    </w:rPr>
  </w:style>
  <w:style w:type="character" w:customStyle="1" w:styleId="TitelZchn">
    <w:name w:val="Titel Zchn"/>
    <w:basedOn w:val="Absatz-Standardschriftart"/>
    <w:link w:val="Titel"/>
    <w:uiPriority w:val="10"/>
    <w:rPr>
      <w:rFonts w:ascii="Calibri" w:eastAsiaTheme="majorEastAsia" w:hAnsi="Calibri" w:cstheme="majorBidi"/>
      <w:i/>
      <w:spacing w:val="-10"/>
      <w:kern w:val="28"/>
      <w:sz w:val="40"/>
      <w:szCs w:val="56"/>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Pr>
      <w:color w:val="0000FF"/>
      <w:u w:val="single"/>
    </w:rPr>
  </w:style>
  <w:style w:type="paragraph" w:styleId="StandardWeb">
    <w:name w:val="Normal (Web)"/>
    <w:basedOn w:val="Standard"/>
    <w:uiPriority w:val="99"/>
    <w:unhideWhenUse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z-Formularbeginn">
    <w:name w:val="HTML Top of Form"/>
    <w:basedOn w:val="Standard"/>
    <w:next w:val="Standard"/>
    <w:link w:val="z-FormularbeginnZchn"/>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FormularbeginnZchn">
    <w:name w:val="z-Formularbeginn Zchn"/>
    <w:basedOn w:val="Absatz-Standardschriftart"/>
    <w:link w:val="z-Formularbeginn"/>
    <w:uiPriority w:val="99"/>
    <w:semiHidden/>
    <w:rPr>
      <w:rFonts w:ascii="Arial" w:eastAsia="Times New Roman" w:hAnsi="Arial" w:cs="Arial"/>
      <w:vanish/>
      <w:sz w:val="16"/>
      <w:szCs w:val="16"/>
      <w:lang w:val="en-GB" w:eastAsia="en-GB"/>
    </w:rPr>
  </w:style>
  <w:style w:type="paragraph" w:styleId="z-Formularende">
    <w:name w:val="HTML Bottom of Form"/>
    <w:basedOn w:val="Standard"/>
    <w:next w:val="Standard"/>
    <w:link w:val="z-FormularendeZchn"/>
    <w:hidden/>
    <w:uiPriority w:val="99"/>
    <w:semiHidden/>
    <w:unhideWhenUsed/>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FormularendeZchn">
    <w:name w:val="z-Formularende Zchn"/>
    <w:basedOn w:val="Absatz-Standardschriftart"/>
    <w:link w:val="z-Formularende"/>
    <w:uiPriority w:val="99"/>
    <w:semiHidden/>
    <w:rPr>
      <w:rFonts w:ascii="Arial" w:eastAsia="Times New Roman" w:hAnsi="Arial" w:cs="Arial"/>
      <w:vanish/>
      <w:sz w:val="16"/>
      <w:szCs w:val="16"/>
      <w:lang w:val="en-GB" w:eastAsia="en-GB"/>
    </w:rPr>
  </w:style>
  <w:style w:type="character" w:customStyle="1" w:styleId="pe-1">
    <w:name w:val="pe-1"/>
    <w:basedOn w:val="Absatz-Standardschriftart"/>
  </w:style>
  <w:style w:type="table" w:styleId="EinfacheTabelle2">
    <w:name w:val="Plain Table 2"/>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character" w:styleId="Fett">
    <w:name w:val="Strong"/>
    <w:basedOn w:val="Absatz-Standardschriftart"/>
    <w:uiPriority w:val="22"/>
    <w:qFormat/>
    <w:rPr>
      <w:b/>
      <w:bCs/>
    </w:rPr>
  </w:style>
  <w:style w:type="table" w:styleId="Listentabelle1hell">
    <w:name w:val="List Table 1 Light"/>
    <w:basedOn w:val="NormaleTabelle"/>
    <w:uiPriority w:val="46"/>
    <w:pPr>
      <w:spacing w:after="0" w:line="240" w:lineRule="auto"/>
    </w:pPr>
    <w:tblPr>
      <w:tblStyleRowBandSize w:val="1"/>
      <w:tblStyleColBandSize w:val="1"/>
    </w:tblPr>
    <w:tblStylePr w:type="firstRow">
      <w:rPr>
        <w:b/>
        <w:bCs/>
        <w:i/>
      </w:rPr>
      <w:tblPr/>
      <w:tcPr>
        <w:tcBorders>
          <w:bottom w:val="single" w:sz="4" w:space="0" w:color="666666" w:themeColor="text1" w:themeTint="99"/>
        </w:tcBorders>
      </w:tcPr>
    </w:tblStylePr>
    <w:tblStylePr w:type="lastRow">
      <w:rPr>
        <w:b/>
        <w:bCs/>
        <w:i/>
      </w:rPr>
      <w:tblPr/>
      <w:tcPr>
        <w:tcBorders>
          <w:top w:val="single" w:sz="4" w:space="0" w:color="666666" w:themeColor="text1" w:themeTint="99"/>
        </w:tcBorders>
      </w:tcPr>
    </w:tblStylePr>
    <w:tblStylePr w:type="firstCol">
      <w:rPr>
        <w:b/>
        <w:bCs/>
        <w:i/>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Tabellenberschrift">
    <w:name w:val="Tabellenüberschrift"/>
    <w:basedOn w:val="Standard"/>
    <w:qFormat/>
    <w:pPr>
      <w:keepNext/>
      <w:spacing w:before="200" w:after="200" w:line="280" w:lineRule="atLeast"/>
      <w:jc w:val="left"/>
    </w:pPr>
    <w:rPr>
      <w:rFonts w:eastAsia="Times New Roman" w:cs="Times New Roman"/>
      <w:b/>
      <w:bCs/>
      <w:szCs w:val="18"/>
      <w:lang w:val="de-DE" w:eastAsia="de-DE"/>
    </w:rPr>
  </w:style>
  <w:style w:type="paragraph" w:styleId="Aufzhlungszeichen">
    <w:name w:val="List Bullet"/>
    <w:basedOn w:val="Standard"/>
    <w:qFormat/>
    <w:pPr>
      <w:numPr>
        <w:numId w:val="11"/>
      </w:numPr>
      <w:spacing w:before="60" w:after="60" w:line="280" w:lineRule="atLeast"/>
      <w:ind w:left="357" w:hanging="357"/>
      <w:jc w:val="left"/>
    </w:pPr>
    <w:rPr>
      <w:rFonts w:eastAsia="Times New Roman" w:cs="Times New Roman"/>
      <w:szCs w:val="20"/>
      <w:lang w:val="de-DE" w:eastAsia="de-DE"/>
    </w:rPr>
  </w:style>
  <w:style w:type="character" w:styleId="Funotenzeichen">
    <w:name w:val="footnote reference"/>
    <w:basedOn w:val="Absatz-Standardschriftart"/>
    <w:uiPriority w:val="99"/>
    <w:rPr>
      <w:rFonts w:ascii="Arial" w:eastAsia="Calibri" w:hAnsi="Arial" w:cs="Arial"/>
      <w:sz w:val="20"/>
      <w:vertAlign w:val="superscript"/>
      <w:lang w:val="de-DE" w:eastAsia="en-US" w:bidi="ar-SA"/>
    </w:rPr>
  </w:style>
  <w:style w:type="paragraph" w:styleId="Funotentext">
    <w:name w:val="footnote text"/>
    <w:basedOn w:val="Flietext"/>
    <w:link w:val="FunotentextZchn"/>
    <w:qFormat/>
    <w:pPr>
      <w:spacing w:before="0" w:line="240" w:lineRule="auto"/>
    </w:pPr>
    <w:rPr>
      <w:rFonts w:eastAsia="Calibri"/>
      <w:sz w:val="16"/>
      <w:szCs w:val="20"/>
      <w:lang w:val="de-DE" w:eastAsia="en-US"/>
    </w:rPr>
  </w:style>
  <w:style w:type="character" w:customStyle="1" w:styleId="FunotentextZchn">
    <w:name w:val="Fußnotentext Zchn"/>
    <w:basedOn w:val="Absatz-Standardschriftart"/>
    <w:link w:val="Funotentext"/>
    <w:rPr>
      <w:rFonts w:eastAsia="Calibri" w:cs="Arial"/>
      <w:sz w:val="16"/>
      <w:szCs w:val="20"/>
    </w:rPr>
  </w:style>
  <w:style w:type="character" w:styleId="Hervorhebung">
    <w:name w:val="Emphasis"/>
    <w:basedOn w:val="Absatz-Standardschriftart"/>
    <w:uiPriority w:val="20"/>
    <w:qFormat/>
    <w:rPr>
      <w:i/>
      <w:iCs/>
    </w:rPr>
  </w:style>
  <w:style w:type="character" w:customStyle="1" w:styleId="hgkelc">
    <w:name w:val="hgkelc"/>
    <w:basedOn w:val="Absatz-Standardschriftart"/>
  </w:style>
  <w:style w:type="paragraph" w:customStyle="1" w:styleId="Tabellenfu">
    <w:name w:val="Tabellenfuß"/>
    <w:basedOn w:val="Standard"/>
    <w:link w:val="TabellenfuZchn"/>
    <w:qFormat/>
    <w:pPr>
      <w:keepLines/>
      <w:autoSpaceDE w:val="0"/>
      <w:autoSpaceDN w:val="0"/>
      <w:adjustRightInd w:val="0"/>
      <w:spacing w:before="100" w:after="240" w:line="240" w:lineRule="auto"/>
      <w:contextualSpacing/>
      <w:jc w:val="center"/>
    </w:pPr>
    <w:rPr>
      <w:rFonts w:ascii="Calibri" w:eastAsia="Calibri" w:hAnsi="Calibri" w:cs="Arial"/>
      <w:color w:val="000000"/>
      <w:sz w:val="16"/>
      <w:szCs w:val="19"/>
      <w:lang w:val="de-DE"/>
    </w:rPr>
  </w:style>
  <w:style w:type="character" w:customStyle="1" w:styleId="TabellenfuZchn">
    <w:name w:val="Tabellenfuß Zchn"/>
    <w:basedOn w:val="Absatz-Standardschriftart"/>
    <w:link w:val="Tabellenfu"/>
    <w:rPr>
      <w:rFonts w:ascii="Calibri" w:eastAsia="Calibri" w:hAnsi="Calibri" w:cs="Arial"/>
      <w:color w:val="000000"/>
      <w:sz w:val="16"/>
      <w:szCs w:val="19"/>
    </w:rPr>
  </w:style>
  <w:style w:type="paragraph" w:customStyle="1" w:styleId="Tabelleneintrag">
    <w:name w:val="Tabelleneintrag"/>
    <w:basedOn w:val="Standard"/>
    <w:link w:val="TabelleneintragZchn"/>
    <w:qFormat/>
    <w:pPr>
      <w:keepNext/>
      <w:keepLines/>
      <w:autoSpaceDE w:val="0"/>
      <w:autoSpaceDN w:val="0"/>
      <w:spacing w:before="100" w:after="0" w:line="240" w:lineRule="auto"/>
      <w:contextualSpacing/>
      <w:jc w:val="left"/>
    </w:pPr>
    <w:rPr>
      <w:rFonts w:ascii="Calibri" w:eastAsiaTheme="minorEastAsia" w:hAnsi="Calibri" w:cs="Times New Roman"/>
      <w:bCs/>
      <w:sz w:val="16"/>
      <w:szCs w:val="20"/>
      <w:lang w:eastAsia="de-DE"/>
    </w:rPr>
  </w:style>
  <w:style w:type="character" w:customStyle="1" w:styleId="TabelleneintragZchn">
    <w:name w:val="Tabelleneintrag Zchn"/>
    <w:basedOn w:val="Absatz-Standardschriftart"/>
    <w:link w:val="Tabelleneintrag"/>
    <w:rPr>
      <w:rFonts w:ascii="Calibri" w:eastAsiaTheme="minorEastAsia" w:hAnsi="Calibri" w:cs="Times New Roman"/>
      <w:bCs/>
      <w:sz w:val="16"/>
      <w:szCs w:val="20"/>
      <w:lang w:val="en-GB" w:eastAsia="de-DE"/>
    </w:rPr>
  </w:style>
  <w:style w:type="table" w:customStyle="1" w:styleId="Tabellenraster1">
    <w:name w:val="Tabellenraster1"/>
    <w:basedOn w:val="NormaleTabelle"/>
    <w:next w:val="Tabellenraster"/>
    <w:uiPriority w:val="39"/>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cbld">
    <w:name w:val="dc_bld"/>
    <w:basedOn w:val="Absatz-Standardschriftart"/>
  </w:style>
  <w:style w:type="character" w:customStyle="1" w:styleId="wtbs9">
    <w:name w:val="wtbs9"/>
    <w:basedOn w:val="Absatz-Standardschriftart"/>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lang w:val="en-GB"/>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lang w:val="en-GB"/>
    </w:rPr>
  </w:style>
  <w:style w:type="table" w:styleId="EinfacheTabelle3">
    <w:name w:val="Plain Table 3"/>
    <w:basedOn w:val="NormaleTabelle"/>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entabelle2Akzent3">
    <w:name w:val="List Table 2 Accent 3"/>
    <w:basedOn w:val="NormaleTabelle"/>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eschriftung">
    <w:name w:val="caption"/>
    <w:basedOn w:val="Standard"/>
    <w:next w:val="Standard"/>
    <w:uiPriority w:val="35"/>
    <w:unhideWhenUsed/>
    <w:qFormat/>
    <w:pPr>
      <w:keepNext/>
      <w:keepLines/>
      <w:spacing w:after="200" w:line="240" w:lineRule="auto"/>
    </w:pPr>
    <w:rPr>
      <w:i/>
      <w:iCs/>
      <w:color w:val="44546A" w:themeColor="text2"/>
      <w:sz w:val="18"/>
      <w:szCs w:val="18"/>
    </w:rPr>
  </w:style>
  <w:style w:type="paragraph" w:customStyle="1" w:styleId="Spaltenberschrift">
    <w:name w:val="Spaltenüberschrift"/>
    <w:basedOn w:val="Standard"/>
    <w:link w:val="SpaltenberschriftZchn"/>
    <w:qFormat/>
    <w:pPr>
      <w:spacing w:before="200" w:after="200" w:line="280" w:lineRule="atLeast"/>
      <w:jc w:val="left"/>
    </w:pPr>
    <w:rPr>
      <w:rFonts w:eastAsia="Times New Roman" w:cs="Times New Roman"/>
      <w:b/>
      <w:bCs/>
      <w:szCs w:val="20"/>
      <w:lang w:val="de-DE" w:eastAsia="de-DE"/>
    </w:rPr>
  </w:style>
  <w:style w:type="character" w:customStyle="1" w:styleId="SpaltenberschriftZchn">
    <w:name w:val="Spaltenüberschrift Zchn"/>
    <w:basedOn w:val="Absatz-Standardschriftart"/>
    <w:link w:val="Spaltenberschrift"/>
    <w:rPr>
      <w:rFonts w:eastAsia="Times New Roman" w:cs="Times New Roman"/>
      <w:b/>
      <w:bCs/>
      <w:szCs w:val="20"/>
      <w:lang w:eastAsia="de-DE"/>
    </w:rPr>
  </w:style>
  <w:style w:type="paragraph" w:customStyle="1" w:styleId="Abbildungsunterschrift">
    <w:name w:val="Abbildungsunterschrift"/>
    <w:basedOn w:val="Standard"/>
    <w:autoRedefine/>
    <w:qFormat/>
    <w:pPr>
      <w:tabs>
        <w:tab w:val="left" w:pos="1701"/>
      </w:tabs>
      <w:spacing w:before="100" w:after="200" w:line="240" w:lineRule="auto"/>
      <w:jc w:val="center"/>
      <w:textboxTightWrap w:val="firstAndLastLine"/>
    </w:pPr>
    <w:rPr>
      <w:rFonts w:eastAsia="Times New Roman" w:cs="Times New Roman"/>
      <w:bCs/>
      <w:i/>
      <w:sz w:val="20"/>
      <w:szCs w:val="18"/>
      <w:lang w:val="de-DE"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lang w:val="en-GB"/>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lang w:val="en-GB"/>
    </w:rPr>
  </w:style>
  <w:style w:type="paragraph" w:customStyle="1" w:styleId="Zwischenberschrift">
    <w:name w:val="Zwischenüberschrift"/>
    <w:basedOn w:val="Standard"/>
    <w:next w:val="Standard"/>
    <w:qFormat/>
    <w:pPr>
      <w:keepNext/>
      <w:keepLines/>
      <w:spacing w:before="100" w:after="100" w:line="280" w:lineRule="atLeast"/>
      <w:jc w:val="left"/>
    </w:pPr>
    <w:rPr>
      <w:rFonts w:eastAsia="Times New Roman" w:cs="Times New Roman"/>
      <w:b/>
      <w:szCs w:val="20"/>
      <w:u w:val="single"/>
      <w:lang w:val="de-DE"/>
    </w:rPr>
  </w:style>
  <w:style w:type="character" w:styleId="IntensiverVerweis">
    <w:name w:val="Intense Reference"/>
    <w:basedOn w:val="Absatz-Standardschriftart"/>
    <w:uiPriority w:val="32"/>
    <w:qFormat/>
    <w:rPr>
      <w:b/>
      <w:bCs/>
      <w:caps w:val="0"/>
      <w:smallCaps w:val="0"/>
      <w:color w:val="2E74B5" w:themeColor="accent1" w:themeShade="BF"/>
      <w:spacing w:val="5"/>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t286pc">
    <w:name w:val="t286pc"/>
    <w:basedOn w:val="Absatz-Standardschriftart"/>
    <w:rsid w:val="002A557D"/>
  </w:style>
  <w:style w:type="paragraph" w:customStyle="1" w:styleId="Default">
    <w:name w:val="Default"/>
    <w:rsid w:val="00F17836"/>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8A13A8"/>
    <w:pPr>
      <w:spacing w:after="0" w:line="240" w:lineRule="auto"/>
    </w:pPr>
    <w:rPr>
      <w:lang w:val="en-GB"/>
    </w:rPr>
  </w:style>
  <w:style w:type="character" w:customStyle="1" w:styleId="NichtaufgelsteErwhnung2">
    <w:name w:val="Nicht aufgelöste Erwähnung2"/>
    <w:basedOn w:val="Absatz-Standardschriftart"/>
    <w:uiPriority w:val="99"/>
    <w:semiHidden/>
    <w:unhideWhenUsed/>
    <w:rsid w:val="00EE59C8"/>
    <w:rPr>
      <w:color w:val="605E5C"/>
      <w:shd w:val="clear" w:color="auto" w:fill="E1DFDD"/>
    </w:rPr>
  </w:style>
  <w:style w:type="character" w:customStyle="1" w:styleId="vkekvd">
    <w:name w:val="vkekvd"/>
    <w:basedOn w:val="Absatz-Standardschriftart"/>
    <w:rsid w:val="00556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5037">
      <w:bodyDiv w:val="1"/>
      <w:marLeft w:val="0"/>
      <w:marRight w:val="0"/>
      <w:marTop w:val="0"/>
      <w:marBottom w:val="0"/>
      <w:divBdr>
        <w:top w:val="none" w:sz="0" w:space="0" w:color="auto"/>
        <w:left w:val="none" w:sz="0" w:space="0" w:color="auto"/>
        <w:bottom w:val="none" w:sz="0" w:space="0" w:color="auto"/>
        <w:right w:val="none" w:sz="0" w:space="0" w:color="auto"/>
      </w:divBdr>
    </w:div>
    <w:div w:id="97412529">
      <w:bodyDiv w:val="1"/>
      <w:marLeft w:val="0"/>
      <w:marRight w:val="0"/>
      <w:marTop w:val="0"/>
      <w:marBottom w:val="0"/>
      <w:divBdr>
        <w:top w:val="none" w:sz="0" w:space="0" w:color="auto"/>
        <w:left w:val="none" w:sz="0" w:space="0" w:color="auto"/>
        <w:bottom w:val="none" w:sz="0" w:space="0" w:color="auto"/>
        <w:right w:val="none" w:sz="0" w:space="0" w:color="auto"/>
      </w:divBdr>
    </w:div>
    <w:div w:id="130023979">
      <w:bodyDiv w:val="1"/>
      <w:marLeft w:val="0"/>
      <w:marRight w:val="0"/>
      <w:marTop w:val="0"/>
      <w:marBottom w:val="0"/>
      <w:divBdr>
        <w:top w:val="none" w:sz="0" w:space="0" w:color="auto"/>
        <w:left w:val="none" w:sz="0" w:space="0" w:color="auto"/>
        <w:bottom w:val="none" w:sz="0" w:space="0" w:color="auto"/>
        <w:right w:val="none" w:sz="0" w:space="0" w:color="auto"/>
      </w:divBdr>
    </w:div>
    <w:div w:id="238056183">
      <w:bodyDiv w:val="1"/>
      <w:marLeft w:val="0"/>
      <w:marRight w:val="0"/>
      <w:marTop w:val="0"/>
      <w:marBottom w:val="0"/>
      <w:divBdr>
        <w:top w:val="none" w:sz="0" w:space="0" w:color="auto"/>
        <w:left w:val="none" w:sz="0" w:space="0" w:color="auto"/>
        <w:bottom w:val="none" w:sz="0" w:space="0" w:color="auto"/>
        <w:right w:val="none" w:sz="0" w:space="0" w:color="auto"/>
      </w:divBdr>
      <w:divsChild>
        <w:div w:id="338312293">
          <w:marLeft w:val="0"/>
          <w:marRight w:val="0"/>
          <w:marTop w:val="0"/>
          <w:marBottom w:val="0"/>
          <w:divBdr>
            <w:top w:val="none" w:sz="0" w:space="0" w:color="auto"/>
            <w:left w:val="none" w:sz="0" w:space="0" w:color="auto"/>
            <w:bottom w:val="none" w:sz="0" w:space="0" w:color="auto"/>
            <w:right w:val="none" w:sz="0" w:space="0" w:color="auto"/>
          </w:divBdr>
          <w:divsChild>
            <w:div w:id="357896454">
              <w:marLeft w:val="0"/>
              <w:marRight w:val="0"/>
              <w:marTop w:val="0"/>
              <w:marBottom w:val="0"/>
              <w:divBdr>
                <w:top w:val="none" w:sz="0" w:space="0" w:color="auto"/>
                <w:left w:val="none" w:sz="0" w:space="0" w:color="auto"/>
                <w:bottom w:val="none" w:sz="0" w:space="0" w:color="auto"/>
                <w:right w:val="none" w:sz="0" w:space="0" w:color="auto"/>
              </w:divBdr>
              <w:divsChild>
                <w:div w:id="223031647">
                  <w:marLeft w:val="0"/>
                  <w:marRight w:val="0"/>
                  <w:marTop w:val="0"/>
                  <w:marBottom w:val="0"/>
                  <w:divBdr>
                    <w:top w:val="none" w:sz="0" w:space="0" w:color="auto"/>
                    <w:left w:val="none" w:sz="0" w:space="0" w:color="auto"/>
                    <w:bottom w:val="none" w:sz="0" w:space="0" w:color="auto"/>
                    <w:right w:val="none" w:sz="0" w:space="0" w:color="auto"/>
                  </w:divBdr>
                  <w:divsChild>
                    <w:div w:id="445075850">
                      <w:marLeft w:val="0"/>
                      <w:marRight w:val="0"/>
                      <w:marTop w:val="0"/>
                      <w:marBottom w:val="0"/>
                      <w:divBdr>
                        <w:top w:val="none" w:sz="0" w:space="0" w:color="auto"/>
                        <w:left w:val="none" w:sz="0" w:space="0" w:color="auto"/>
                        <w:bottom w:val="none" w:sz="0" w:space="0" w:color="auto"/>
                        <w:right w:val="none" w:sz="0" w:space="0" w:color="auto"/>
                      </w:divBdr>
                    </w:div>
                    <w:div w:id="1054429610">
                      <w:marLeft w:val="0"/>
                      <w:marRight w:val="0"/>
                      <w:marTop w:val="0"/>
                      <w:marBottom w:val="0"/>
                      <w:divBdr>
                        <w:top w:val="none" w:sz="0" w:space="0" w:color="auto"/>
                        <w:left w:val="none" w:sz="0" w:space="0" w:color="auto"/>
                        <w:bottom w:val="none" w:sz="0" w:space="0" w:color="auto"/>
                        <w:right w:val="none" w:sz="0" w:space="0" w:color="auto"/>
                      </w:divBdr>
                    </w:div>
                    <w:div w:id="1275164284">
                      <w:marLeft w:val="0"/>
                      <w:marRight w:val="0"/>
                      <w:marTop w:val="0"/>
                      <w:marBottom w:val="0"/>
                      <w:divBdr>
                        <w:top w:val="none" w:sz="0" w:space="0" w:color="auto"/>
                        <w:left w:val="none" w:sz="0" w:space="0" w:color="auto"/>
                        <w:bottom w:val="none" w:sz="0" w:space="0" w:color="auto"/>
                        <w:right w:val="none" w:sz="0" w:space="0" w:color="auto"/>
                      </w:divBdr>
                    </w:div>
                    <w:div w:id="2104101927">
                      <w:marLeft w:val="0"/>
                      <w:marRight w:val="0"/>
                      <w:marTop w:val="0"/>
                      <w:marBottom w:val="0"/>
                      <w:divBdr>
                        <w:top w:val="none" w:sz="0" w:space="0" w:color="auto"/>
                        <w:left w:val="none" w:sz="0" w:space="0" w:color="auto"/>
                        <w:bottom w:val="none" w:sz="0" w:space="0" w:color="auto"/>
                        <w:right w:val="none" w:sz="0" w:space="0" w:color="auto"/>
                      </w:divBdr>
                    </w:div>
                  </w:divsChild>
                </w:div>
                <w:div w:id="731659085">
                  <w:marLeft w:val="0"/>
                  <w:marRight w:val="0"/>
                  <w:marTop w:val="0"/>
                  <w:marBottom w:val="0"/>
                  <w:divBdr>
                    <w:top w:val="none" w:sz="0" w:space="0" w:color="auto"/>
                    <w:left w:val="none" w:sz="0" w:space="0" w:color="auto"/>
                    <w:bottom w:val="none" w:sz="0" w:space="0" w:color="auto"/>
                    <w:right w:val="none" w:sz="0" w:space="0" w:color="auto"/>
                  </w:divBdr>
                  <w:divsChild>
                    <w:div w:id="1436091350">
                      <w:marLeft w:val="0"/>
                      <w:marRight w:val="0"/>
                      <w:marTop w:val="0"/>
                      <w:marBottom w:val="0"/>
                      <w:divBdr>
                        <w:top w:val="none" w:sz="0" w:space="0" w:color="auto"/>
                        <w:left w:val="none" w:sz="0" w:space="0" w:color="auto"/>
                        <w:bottom w:val="none" w:sz="0" w:space="0" w:color="auto"/>
                        <w:right w:val="none" w:sz="0" w:space="0" w:color="auto"/>
                      </w:divBdr>
                      <w:divsChild>
                        <w:div w:id="1868130600">
                          <w:marLeft w:val="0"/>
                          <w:marRight w:val="0"/>
                          <w:marTop w:val="0"/>
                          <w:marBottom w:val="0"/>
                          <w:divBdr>
                            <w:top w:val="none" w:sz="0" w:space="0" w:color="auto"/>
                            <w:left w:val="none" w:sz="0" w:space="0" w:color="auto"/>
                            <w:bottom w:val="none" w:sz="0" w:space="0" w:color="auto"/>
                            <w:right w:val="none" w:sz="0" w:space="0" w:color="auto"/>
                          </w:divBdr>
                          <w:divsChild>
                            <w:div w:id="1127815042">
                              <w:marLeft w:val="0"/>
                              <w:marRight w:val="0"/>
                              <w:marTop w:val="0"/>
                              <w:marBottom w:val="0"/>
                              <w:divBdr>
                                <w:top w:val="none" w:sz="0" w:space="0" w:color="auto"/>
                                <w:left w:val="none" w:sz="0" w:space="0" w:color="auto"/>
                                <w:bottom w:val="none" w:sz="0" w:space="0" w:color="auto"/>
                                <w:right w:val="none" w:sz="0" w:space="0" w:color="auto"/>
                              </w:divBdr>
                            </w:div>
                            <w:div w:id="1382361873">
                              <w:marLeft w:val="0"/>
                              <w:marRight w:val="0"/>
                              <w:marTop w:val="0"/>
                              <w:marBottom w:val="0"/>
                              <w:divBdr>
                                <w:top w:val="none" w:sz="0" w:space="0" w:color="auto"/>
                                <w:left w:val="none" w:sz="0" w:space="0" w:color="auto"/>
                                <w:bottom w:val="none" w:sz="0" w:space="0" w:color="auto"/>
                                <w:right w:val="none" w:sz="0" w:space="0" w:color="auto"/>
                              </w:divBdr>
                            </w:div>
                          </w:divsChild>
                        </w:div>
                        <w:div w:id="2074161895">
                          <w:marLeft w:val="0"/>
                          <w:marRight w:val="0"/>
                          <w:marTop w:val="0"/>
                          <w:marBottom w:val="0"/>
                          <w:divBdr>
                            <w:top w:val="none" w:sz="0" w:space="0" w:color="auto"/>
                            <w:left w:val="none" w:sz="0" w:space="0" w:color="auto"/>
                            <w:bottom w:val="none" w:sz="0" w:space="0" w:color="auto"/>
                            <w:right w:val="none" w:sz="0" w:space="0" w:color="auto"/>
                          </w:divBdr>
                          <w:divsChild>
                            <w:div w:id="2051878365">
                              <w:marLeft w:val="0"/>
                              <w:marRight w:val="0"/>
                              <w:marTop w:val="0"/>
                              <w:marBottom w:val="0"/>
                              <w:divBdr>
                                <w:top w:val="none" w:sz="0" w:space="0" w:color="auto"/>
                                <w:left w:val="none" w:sz="0" w:space="0" w:color="auto"/>
                                <w:bottom w:val="none" w:sz="0" w:space="0" w:color="auto"/>
                                <w:right w:val="none" w:sz="0" w:space="0" w:color="auto"/>
                              </w:divBdr>
                              <w:divsChild>
                                <w:div w:id="2756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031751">
          <w:marLeft w:val="0"/>
          <w:marRight w:val="0"/>
          <w:marTop w:val="0"/>
          <w:marBottom w:val="0"/>
          <w:divBdr>
            <w:top w:val="none" w:sz="0" w:space="0" w:color="auto"/>
            <w:left w:val="none" w:sz="0" w:space="0" w:color="auto"/>
            <w:bottom w:val="none" w:sz="0" w:space="0" w:color="auto"/>
            <w:right w:val="none" w:sz="0" w:space="0" w:color="auto"/>
          </w:divBdr>
          <w:divsChild>
            <w:div w:id="350842348">
              <w:marLeft w:val="0"/>
              <w:marRight w:val="0"/>
              <w:marTop w:val="0"/>
              <w:marBottom w:val="0"/>
              <w:divBdr>
                <w:top w:val="none" w:sz="0" w:space="0" w:color="auto"/>
                <w:left w:val="none" w:sz="0" w:space="0" w:color="auto"/>
                <w:bottom w:val="none" w:sz="0" w:space="0" w:color="auto"/>
                <w:right w:val="none" w:sz="0" w:space="0" w:color="auto"/>
              </w:divBdr>
              <w:divsChild>
                <w:div w:id="2130974362">
                  <w:marLeft w:val="0"/>
                  <w:marRight w:val="0"/>
                  <w:marTop w:val="0"/>
                  <w:marBottom w:val="0"/>
                  <w:divBdr>
                    <w:top w:val="none" w:sz="0" w:space="0" w:color="auto"/>
                    <w:left w:val="none" w:sz="0" w:space="0" w:color="auto"/>
                    <w:bottom w:val="none" w:sz="0" w:space="0" w:color="auto"/>
                    <w:right w:val="none" w:sz="0" w:space="0" w:color="auto"/>
                  </w:divBdr>
                  <w:divsChild>
                    <w:div w:id="27343279">
                      <w:marLeft w:val="0"/>
                      <w:marRight w:val="0"/>
                      <w:marTop w:val="0"/>
                      <w:marBottom w:val="0"/>
                      <w:divBdr>
                        <w:top w:val="none" w:sz="0" w:space="0" w:color="auto"/>
                        <w:left w:val="none" w:sz="0" w:space="0" w:color="auto"/>
                        <w:bottom w:val="none" w:sz="0" w:space="0" w:color="auto"/>
                        <w:right w:val="none" w:sz="0" w:space="0" w:color="auto"/>
                      </w:divBdr>
                      <w:divsChild>
                        <w:div w:id="233396240">
                          <w:marLeft w:val="0"/>
                          <w:marRight w:val="0"/>
                          <w:marTop w:val="0"/>
                          <w:marBottom w:val="0"/>
                          <w:divBdr>
                            <w:top w:val="none" w:sz="0" w:space="0" w:color="auto"/>
                            <w:left w:val="none" w:sz="0" w:space="0" w:color="auto"/>
                            <w:bottom w:val="none" w:sz="0" w:space="0" w:color="auto"/>
                            <w:right w:val="none" w:sz="0" w:space="0" w:color="auto"/>
                          </w:divBdr>
                          <w:divsChild>
                            <w:div w:id="1494101646">
                              <w:marLeft w:val="0"/>
                              <w:marRight w:val="0"/>
                              <w:marTop w:val="0"/>
                              <w:marBottom w:val="0"/>
                              <w:divBdr>
                                <w:top w:val="none" w:sz="0" w:space="0" w:color="auto"/>
                                <w:left w:val="none" w:sz="0" w:space="0" w:color="auto"/>
                                <w:bottom w:val="none" w:sz="0" w:space="0" w:color="auto"/>
                                <w:right w:val="none" w:sz="0" w:space="0" w:color="auto"/>
                              </w:divBdr>
                              <w:divsChild>
                                <w:div w:id="77995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0844">
                          <w:marLeft w:val="0"/>
                          <w:marRight w:val="0"/>
                          <w:marTop w:val="0"/>
                          <w:marBottom w:val="0"/>
                          <w:divBdr>
                            <w:top w:val="none" w:sz="0" w:space="0" w:color="auto"/>
                            <w:left w:val="none" w:sz="0" w:space="0" w:color="auto"/>
                            <w:bottom w:val="none" w:sz="0" w:space="0" w:color="auto"/>
                            <w:right w:val="none" w:sz="0" w:space="0" w:color="auto"/>
                          </w:divBdr>
                          <w:divsChild>
                            <w:div w:id="1353268355">
                              <w:marLeft w:val="0"/>
                              <w:marRight w:val="0"/>
                              <w:marTop w:val="0"/>
                              <w:marBottom w:val="0"/>
                              <w:divBdr>
                                <w:top w:val="none" w:sz="0" w:space="0" w:color="auto"/>
                                <w:left w:val="none" w:sz="0" w:space="0" w:color="auto"/>
                                <w:bottom w:val="none" w:sz="0" w:space="0" w:color="auto"/>
                                <w:right w:val="none" w:sz="0" w:space="0" w:color="auto"/>
                              </w:divBdr>
                            </w:div>
                            <w:div w:id="206290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04035">
                  <w:marLeft w:val="0"/>
                  <w:marRight w:val="0"/>
                  <w:marTop w:val="0"/>
                  <w:marBottom w:val="0"/>
                  <w:divBdr>
                    <w:top w:val="none" w:sz="0" w:space="0" w:color="auto"/>
                    <w:left w:val="none" w:sz="0" w:space="0" w:color="auto"/>
                    <w:bottom w:val="none" w:sz="0" w:space="0" w:color="auto"/>
                    <w:right w:val="none" w:sz="0" w:space="0" w:color="auto"/>
                  </w:divBdr>
                  <w:divsChild>
                    <w:div w:id="296883462">
                      <w:marLeft w:val="0"/>
                      <w:marRight w:val="0"/>
                      <w:marTop w:val="0"/>
                      <w:marBottom w:val="0"/>
                      <w:divBdr>
                        <w:top w:val="none" w:sz="0" w:space="0" w:color="auto"/>
                        <w:left w:val="none" w:sz="0" w:space="0" w:color="auto"/>
                        <w:bottom w:val="none" w:sz="0" w:space="0" w:color="auto"/>
                        <w:right w:val="none" w:sz="0" w:space="0" w:color="auto"/>
                      </w:divBdr>
                    </w:div>
                    <w:div w:id="386684642">
                      <w:marLeft w:val="0"/>
                      <w:marRight w:val="0"/>
                      <w:marTop w:val="0"/>
                      <w:marBottom w:val="0"/>
                      <w:divBdr>
                        <w:top w:val="none" w:sz="0" w:space="0" w:color="auto"/>
                        <w:left w:val="none" w:sz="0" w:space="0" w:color="auto"/>
                        <w:bottom w:val="none" w:sz="0" w:space="0" w:color="auto"/>
                        <w:right w:val="none" w:sz="0" w:space="0" w:color="auto"/>
                      </w:divBdr>
                    </w:div>
                    <w:div w:id="558707155">
                      <w:marLeft w:val="0"/>
                      <w:marRight w:val="0"/>
                      <w:marTop w:val="0"/>
                      <w:marBottom w:val="0"/>
                      <w:divBdr>
                        <w:top w:val="none" w:sz="0" w:space="0" w:color="auto"/>
                        <w:left w:val="none" w:sz="0" w:space="0" w:color="auto"/>
                        <w:bottom w:val="none" w:sz="0" w:space="0" w:color="auto"/>
                        <w:right w:val="none" w:sz="0" w:space="0" w:color="auto"/>
                      </w:divBdr>
                    </w:div>
                    <w:div w:id="122540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55524">
          <w:marLeft w:val="0"/>
          <w:marRight w:val="0"/>
          <w:marTop w:val="0"/>
          <w:marBottom w:val="0"/>
          <w:divBdr>
            <w:top w:val="none" w:sz="0" w:space="0" w:color="auto"/>
            <w:left w:val="none" w:sz="0" w:space="0" w:color="auto"/>
            <w:bottom w:val="none" w:sz="0" w:space="0" w:color="auto"/>
            <w:right w:val="none" w:sz="0" w:space="0" w:color="auto"/>
          </w:divBdr>
        </w:div>
        <w:div w:id="1025247609">
          <w:marLeft w:val="0"/>
          <w:marRight w:val="0"/>
          <w:marTop w:val="0"/>
          <w:marBottom w:val="0"/>
          <w:divBdr>
            <w:top w:val="none" w:sz="0" w:space="0" w:color="auto"/>
            <w:left w:val="none" w:sz="0" w:space="0" w:color="auto"/>
            <w:bottom w:val="none" w:sz="0" w:space="0" w:color="auto"/>
            <w:right w:val="none" w:sz="0" w:space="0" w:color="auto"/>
          </w:divBdr>
          <w:divsChild>
            <w:div w:id="181674775">
              <w:marLeft w:val="0"/>
              <w:marRight w:val="0"/>
              <w:marTop w:val="0"/>
              <w:marBottom w:val="0"/>
              <w:divBdr>
                <w:top w:val="none" w:sz="0" w:space="0" w:color="auto"/>
                <w:left w:val="none" w:sz="0" w:space="0" w:color="auto"/>
                <w:bottom w:val="none" w:sz="0" w:space="0" w:color="auto"/>
                <w:right w:val="none" w:sz="0" w:space="0" w:color="auto"/>
              </w:divBdr>
              <w:divsChild>
                <w:div w:id="96953451">
                  <w:marLeft w:val="0"/>
                  <w:marRight w:val="0"/>
                  <w:marTop w:val="0"/>
                  <w:marBottom w:val="0"/>
                  <w:divBdr>
                    <w:top w:val="none" w:sz="0" w:space="0" w:color="auto"/>
                    <w:left w:val="none" w:sz="0" w:space="0" w:color="auto"/>
                    <w:bottom w:val="none" w:sz="0" w:space="0" w:color="auto"/>
                    <w:right w:val="none" w:sz="0" w:space="0" w:color="auto"/>
                  </w:divBdr>
                  <w:divsChild>
                    <w:div w:id="729160643">
                      <w:marLeft w:val="0"/>
                      <w:marRight w:val="0"/>
                      <w:marTop w:val="0"/>
                      <w:marBottom w:val="0"/>
                      <w:divBdr>
                        <w:top w:val="none" w:sz="0" w:space="0" w:color="auto"/>
                        <w:left w:val="none" w:sz="0" w:space="0" w:color="auto"/>
                        <w:bottom w:val="none" w:sz="0" w:space="0" w:color="auto"/>
                        <w:right w:val="none" w:sz="0" w:space="0" w:color="auto"/>
                      </w:divBdr>
                      <w:divsChild>
                        <w:div w:id="916786455">
                          <w:marLeft w:val="0"/>
                          <w:marRight w:val="0"/>
                          <w:marTop w:val="0"/>
                          <w:marBottom w:val="0"/>
                          <w:divBdr>
                            <w:top w:val="none" w:sz="0" w:space="0" w:color="auto"/>
                            <w:left w:val="none" w:sz="0" w:space="0" w:color="auto"/>
                            <w:bottom w:val="none" w:sz="0" w:space="0" w:color="auto"/>
                            <w:right w:val="none" w:sz="0" w:space="0" w:color="auto"/>
                          </w:divBdr>
                          <w:divsChild>
                            <w:div w:id="1401440796">
                              <w:marLeft w:val="0"/>
                              <w:marRight w:val="0"/>
                              <w:marTop w:val="0"/>
                              <w:marBottom w:val="0"/>
                              <w:divBdr>
                                <w:top w:val="none" w:sz="0" w:space="0" w:color="auto"/>
                                <w:left w:val="none" w:sz="0" w:space="0" w:color="auto"/>
                                <w:bottom w:val="none" w:sz="0" w:space="0" w:color="auto"/>
                                <w:right w:val="none" w:sz="0" w:space="0" w:color="auto"/>
                              </w:divBdr>
                            </w:div>
                            <w:div w:id="1482884088">
                              <w:marLeft w:val="0"/>
                              <w:marRight w:val="0"/>
                              <w:marTop w:val="0"/>
                              <w:marBottom w:val="0"/>
                              <w:divBdr>
                                <w:top w:val="none" w:sz="0" w:space="0" w:color="auto"/>
                                <w:left w:val="none" w:sz="0" w:space="0" w:color="auto"/>
                                <w:bottom w:val="none" w:sz="0" w:space="0" w:color="auto"/>
                                <w:right w:val="none" w:sz="0" w:space="0" w:color="auto"/>
                              </w:divBdr>
                            </w:div>
                          </w:divsChild>
                        </w:div>
                        <w:div w:id="1882784710">
                          <w:marLeft w:val="0"/>
                          <w:marRight w:val="0"/>
                          <w:marTop w:val="0"/>
                          <w:marBottom w:val="0"/>
                          <w:divBdr>
                            <w:top w:val="none" w:sz="0" w:space="0" w:color="auto"/>
                            <w:left w:val="none" w:sz="0" w:space="0" w:color="auto"/>
                            <w:bottom w:val="none" w:sz="0" w:space="0" w:color="auto"/>
                            <w:right w:val="none" w:sz="0" w:space="0" w:color="auto"/>
                          </w:divBdr>
                          <w:divsChild>
                            <w:div w:id="12268047">
                              <w:marLeft w:val="0"/>
                              <w:marRight w:val="0"/>
                              <w:marTop w:val="0"/>
                              <w:marBottom w:val="0"/>
                              <w:divBdr>
                                <w:top w:val="none" w:sz="0" w:space="0" w:color="auto"/>
                                <w:left w:val="none" w:sz="0" w:space="0" w:color="auto"/>
                                <w:bottom w:val="none" w:sz="0" w:space="0" w:color="auto"/>
                                <w:right w:val="none" w:sz="0" w:space="0" w:color="auto"/>
                              </w:divBdr>
                              <w:divsChild>
                                <w:div w:id="87323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81286">
                  <w:marLeft w:val="0"/>
                  <w:marRight w:val="0"/>
                  <w:marTop w:val="0"/>
                  <w:marBottom w:val="0"/>
                  <w:divBdr>
                    <w:top w:val="none" w:sz="0" w:space="0" w:color="auto"/>
                    <w:left w:val="none" w:sz="0" w:space="0" w:color="auto"/>
                    <w:bottom w:val="none" w:sz="0" w:space="0" w:color="auto"/>
                    <w:right w:val="none" w:sz="0" w:space="0" w:color="auto"/>
                  </w:divBdr>
                  <w:divsChild>
                    <w:div w:id="642580675">
                      <w:marLeft w:val="0"/>
                      <w:marRight w:val="0"/>
                      <w:marTop w:val="0"/>
                      <w:marBottom w:val="0"/>
                      <w:divBdr>
                        <w:top w:val="none" w:sz="0" w:space="0" w:color="auto"/>
                        <w:left w:val="none" w:sz="0" w:space="0" w:color="auto"/>
                        <w:bottom w:val="none" w:sz="0" w:space="0" w:color="auto"/>
                        <w:right w:val="none" w:sz="0" w:space="0" w:color="auto"/>
                      </w:divBdr>
                    </w:div>
                    <w:div w:id="1008797766">
                      <w:marLeft w:val="0"/>
                      <w:marRight w:val="0"/>
                      <w:marTop w:val="0"/>
                      <w:marBottom w:val="0"/>
                      <w:divBdr>
                        <w:top w:val="none" w:sz="0" w:space="0" w:color="auto"/>
                        <w:left w:val="none" w:sz="0" w:space="0" w:color="auto"/>
                        <w:bottom w:val="none" w:sz="0" w:space="0" w:color="auto"/>
                        <w:right w:val="none" w:sz="0" w:space="0" w:color="auto"/>
                      </w:divBdr>
                    </w:div>
                    <w:div w:id="1489901264">
                      <w:marLeft w:val="0"/>
                      <w:marRight w:val="0"/>
                      <w:marTop w:val="0"/>
                      <w:marBottom w:val="0"/>
                      <w:divBdr>
                        <w:top w:val="none" w:sz="0" w:space="0" w:color="auto"/>
                        <w:left w:val="none" w:sz="0" w:space="0" w:color="auto"/>
                        <w:bottom w:val="none" w:sz="0" w:space="0" w:color="auto"/>
                        <w:right w:val="none" w:sz="0" w:space="0" w:color="auto"/>
                      </w:divBdr>
                    </w:div>
                    <w:div w:id="197355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025">
          <w:marLeft w:val="0"/>
          <w:marRight w:val="0"/>
          <w:marTop w:val="0"/>
          <w:marBottom w:val="0"/>
          <w:divBdr>
            <w:top w:val="none" w:sz="0" w:space="0" w:color="auto"/>
            <w:left w:val="none" w:sz="0" w:space="0" w:color="auto"/>
            <w:bottom w:val="none" w:sz="0" w:space="0" w:color="auto"/>
            <w:right w:val="none" w:sz="0" w:space="0" w:color="auto"/>
          </w:divBdr>
        </w:div>
        <w:div w:id="1172141425">
          <w:marLeft w:val="0"/>
          <w:marRight w:val="0"/>
          <w:marTop w:val="0"/>
          <w:marBottom w:val="0"/>
          <w:divBdr>
            <w:top w:val="none" w:sz="0" w:space="0" w:color="auto"/>
            <w:left w:val="none" w:sz="0" w:space="0" w:color="auto"/>
            <w:bottom w:val="none" w:sz="0" w:space="0" w:color="auto"/>
            <w:right w:val="none" w:sz="0" w:space="0" w:color="auto"/>
          </w:divBdr>
        </w:div>
        <w:div w:id="1279724546">
          <w:marLeft w:val="0"/>
          <w:marRight w:val="0"/>
          <w:marTop w:val="0"/>
          <w:marBottom w:val="0"/>
          <w:divBdr>
            <w:top w:val="none" w:sz="0" w:space="0" w:color="auto"/>
            <w:left w:val="none" w:sz="0" w:space="0" w:color="auto"/>
            <w:bottom w:val="none" w:sz="0" w:space="0" w:color="auto"/>
            <w:right w:val="none" w:sz="0" w:space="0" w:color="auto"/>
          </w:divBdr>
        </w:div>
        <w:div w:id="1455174087">
          <w:marLeft w:val="0"/>
          <w:marRight w:val="0"/>
          <w:marTop w:val="0"/>
          <w:marBottom w:val="0"/>
          <w:divBdr>
            <w:top w:val="none" w:sz="0" w:space="0" w:color="auto"/>
            <w:left w:val="none" w:sz="0" w:space="0" w:color="auto"/>
            <w:bottom w:val="none" w:sz="0" w:space="0" w:color="auto"/>
            <w:right w:val="none" w:sz="0" w:space="0" w:color="auto"/>
          </w:divBdr>
          <w:divsChild>
            <w:div w:id="301079189">
              <w:marLeft w:val="0"/>
              <w:marRight w:val="0"/>
              <w:marTop w:val="0"/>
              <w:marBottom w:val="0"/>
              <w:divBdr>
                <w:top w:val="none" w:sz="0" w:space="0" w:color="auto"/>
                <w:left w:val="none" w:sz="0" w:space="0" w:color="auto"/>
                <w:bottom w:val="none" w:sz="0" w:space="0" w:color="auto"/>
                <w:right w:val="none" w:sz="0" w:space="0" w:color="auto"/>
              </w:divBdr>
              <w:divsChild>
                <w:div w:id="897668964">
                  <w:marLeft w:val="0"/>
                  <w:marRight w:val="0"/>
                  <w:marTop w:val="0"/>
                  <w:marBottom w:val="0"/>
                  <w:divBdr>
                    <w:top w:val="none" w:sz="0" w:space="0" w:color="auto"/>
                    <w:left w:val="none" w:sz="0" w:space="0" w:color="auto"/>
                    <w:bottom w:val="none" w:sz="0" w:space="0" w:color="auto"/>
                    <w:right w:val="none" w:sz="0" w:space="0" w:color="auto"/>
                  </w:divBdr>
                  <w:divsChild>
                    <w:div w:id="203060195">
                      <w:marLeft w:val="0"/>
                      <w:marRight w:val="0"/>
                      <w:marTop w:val="0"/>
                      <w:marBottom w:val="0"/>
                      <w:divBdr>
                        <w:top w:val="none" w:sz="0" w:space="0" w:color="auto"/>
                        <w:left w:val="none" w:sz="0" w:space="0" w:color="auto"/>
                        <w:bottom w:val="none" w:sz="0" w:space="0" w:color="auto"/>
                        <w:right w:val="none" w:sz="0" w:space="0" w:color="auto"/>
                      </w:divBdr>
                    </w:div>
                    <w:div w:id="883755210">
                      <w:marLeft w:val="0"/>
                      <w:marRight w:val="0"/>
                      <w:marTop w:val="0"/>
                      <w:marBottom w:val="0"/>
                      <w:divBdr>
                        <w:top w:val="none" w:sz="0" w:space="0" w:color="auto"/>
                        <w:left w:val="none" w:sz="0" w:space="0" w:color="auto"/>
                        <w:bottom w:val="none" w:sz="0" w:space="0" w:color="auto"/>
                        <w:right w:val="none" w:sz="0" w:space="0" w:color="auto"/>
                      </w:divBdr>
                    </w:div>
                    <w:div w:id="1062480045">
                      <w:marLeft w:val="0"/>
                      <w:marRight w:val="0"/>
                      <w:marTop w:val="0"/>
                      <w:marBottom w:val="0"/>
                      <w:divBdr>
                        <w:top w:val="none" w:sz="0" w:space="0" w:color="auto"/>
                        <w:left w:val="none" w:sz="0" w:space="0" w:color="auto"/>
                        <w:bottom w:val="none" w:sz="0" w:space="0" w:color="auto"/>
                        <w:right w:val="none" w:sz="0" w:space="0" w:color="auto"/>
                      </w:divBdr>
                    </w:div>
                    <w:div w:id="1786149121">
                      <w:marLeft w:val="0"/>
                      <w:marRight w:val="0"/>
                      <w:marTop w:val="0"/>
                      <w:marBottom w:val="0"/>
                      <w:divBdr>
                        <w:top w:val="none" w:sz="0" w:space="0" w:color="auto"/>
                        <w:left w:val="none" w:sz="0" w:space="0" w:color="auto"/>
                        <w:bottom w:val="none" w:sz="0" w:space="0" w:color="auto"/>
                        <w:right w:val="none" w:sz="0" w:space="0" w:color="auto"/>
                      </w:divBdr>
                    </w:div>
                  </w:divsChild>
                </w:div>
                <w:div w:id="1719088315">
                  <w:marLeft w:val="0"/>
                  <w:marRight w:val="0"/>
                  <w:marTop w:val="0"/>
                  <w:marBottom w:val="0"/>
                  <w:divBdr>
                    <w:top w:val="none" w:sz="0" w:space="0" w:color="auto"/>
                    <w:left w:val="none" w:sz="0" w:space="0" w:color="auto"/>
                    <w:bottom w:val="none" w:sz="0" w:space="0" w:color="auto"/>
                    <w:right w:val="none" w:sz="0" w:space="0" w:color="auto"/>
                  </w:divBdr>
                  <w:divsChild>
                    <w:div w:id="206721189">
                      <w:marLeft w:val="0"/>
                      <w:marRight w:val="0"/>
                      <w:marTop w:val="0"/>
                      <w:marBottom w:val="0"/>
                      <w:divBdr>
                        <w:top w:val="none" w:sz="0" w:space="0" w:color="auto"/>
                        <w:left w:val="none" w:sz="0" w:space="0" w:color="auto"/>
                        <w:bottom w:val="none" w:sz="0" w:space="0" w:color="auto"/>
                        <w:right w:val="none" w:sz="0" w:space="0" w:color="auto"/>
                      </w:divBdr>
                      <w:divsChild>
                        <w:div w:id="796264012">
                          <w:marLeft w:val="0"/>
                          <w:marRight w:val="0"/>
                          <w:marTop w:val="0"/>
                          <w:marBottom w:val="0"/>
                          <w:divBdr>
                            <w:top w:val="none" w:sz="0" w:space="0" w:color="auto"/>
                            <w:left w:val="none" w:sz="0" w:space="0" w:color="auto"/>
                            <w:bottom w:val="none" w:sz="0" w:space="0" w:color="auto"/>
                            <w:right w:val="none" w:sz="0" w:space="0" w:color="auto"/>
                          </w:divBdr>
                          <w:divsChild>
                            <w:div w:id="2137287772">
                              <w:marLeft w:val="0"/>
                              <w:marRight w:val="0"/>
                              <w:marTop w:val="0"/>
                              <w:marBottom w:val="0"/>
                              <w:divBdr>
                                <w:top w:val="none" w:sz="0" w:space="0" w:color="auto"/>
                                <w:left w:val="none" w:sz="0" w:space="0" w:color="auto"/>
                                <w:bottom w:val="none" w:sz="0" w:space="0" w:color="auto"/>
                                <w:right w:val="none" w:sz="0" w:space="0" w:color="auto"/>
                              </w:divBdr>
                              <w:divsChild>
                                <w:div w:id="128280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50029">
                          <w:marLeft w:val="0"/>
                          <w:marRight w:val="0"/>
                          <w:marTop w:val="0"/>
                          <w:marBottom w:val="0"/>
                          <w:divBdr>
                            <w:top w:val="none" w:sz="0" w:space="0" w:color="auto"/>
                            <w:left w:val="none" w:sz="0" w:space="0" w:color="auto"/>
                            <w:bottom w:val="none" w:sz="0" w:space="0" w:color="auto"/>
                            <w:right w:val="none" w:sz="0" w:space="0" w:color="auto"/>
                          </w:divBdr>
                          <w:divsChild>
                            <w:div w:id="657536620">
                              <w:marLeft w:val="0"/>
                              <w:marRight w:val="0"/>
                              <w:marTop w:val="0"/>
                              <w:marBottom w:val="0"/>
                              <w:divBdr>
                                <w:top w:val="none" w:sz="0" w:space="0" w:color="auto"/>
                                <w:left w:val="none" w:sz="0" w:space="0" w:color="auto"/>
                                <w:bottom w:val="none" w:sz="0" w:space="0" w:color="auto"/>
                                <w:right w:val="none" w:sz="0" w:space="0" w:color="auto"/>
                              </w:divBdr>
                            </w:div>
                            <w:div w:id="16053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364192">
          <w:marLeft w:val="0"/>
          <w:marRight w:val="0"/>
          <w:marTop w:val="0"/>
          <w:marBottom w:val="0"/>
          <w:divBdr>
            <w:top w:val="none" w:sz="0" w:space="0" w:color="auto"/>
            <w:left w:val="none" w:sz="0" w:space="0" w:color="auto"/>
            <w:bottom w:val="none" w:sz="0" w:space="0" w:color="auto"/>
            <w:right w:val="none" w:sz="0" w:space="0" w:color="auto"/>
          </w:divBdr>
        </w:div>
        <w:div w:id="1499538366">
          <w:marLeft w:val="0"/>
          <w:marRight w:val="0"/>
          <w:marTop w:val="0"/>
          <w:marBottom w:val="0"/>
          <w:divBdr>
            <w:top w:val="none" w:sz="0" w:space="0" w:color="auto"/>
            <w:left w:val="none" w:sz="0" w:space="0" w:color="auto"/>
            <w:bottom w:val="none" w:sz="0" w:space="0" w:color="auto"/>
            <w:right w:val="none" w:sz="0" w:space="0" w:color="auto"/>
          </w:divBdr>
        </w:div>
        <w:div w:id="1638026866">
          <w:marLeft w:val="0"/>
          <w:marRight w:val="0"/>
          <w:marTop w:val="0"/>
          <w:marBottom w:val="0"/>
          <w:divBdr>
            <w:top w:val="none" w:sz="0" w:space="0" w:color="auto"/>
            <w:left w:val="none" w:sz="0" w:space="0" w:color="auto"/>
            <w:bottom w:val="none" w:sz="0" w:space="0" w:color="auto"/>
            <w:right w:val="none" w:sz="0" w:space="0" w:color="auto"/>
          </w:divBdr>
        </w:div>
        <w:div w:id="1894461444">
          <w:marLeft w:val="0"/>
          <w:marRight w:val="0"/>
          <w:marTop w:val="0"/>
          <w:marBottom w:val="0"/>
          <w:divBdr>
            <w:top w:val="none" w:sz="0" w:space="0" w:color="auto"/>
            <w:left w:val="none" w:sz="0" w:space="0" w:color="auto"/>
            <w:bottom w:val="none" w:sz="0" w:space="0" w:color="auto"/>
            <w:right w:val="none" w:sz="0" w:space="0" w:color="auto"/>
          </w:divBdr>
          <w:divsChild>
            <w:div w:id="1918397961">
              <w:marLeft w:val="0"/>
              <w:marRight w:val="0"/>
              <w:marTop w:val="0"/>
              <w:marBottom w:val="0"/>
              <w:divBdr>
                <w:top w:val="none" w:sz="0" w:space="0" w:color="auto"/>
                <w:left w:val="none" w:sz="0" w:space="0" w:color="auto"/>
                <w:bottom w:val="none" w:sz="0" w:space="0" w:color="auto"/>
                <w:right w:val="none" w:sz="0" w:space="0" w:color="auto"/>
              </w:divBdr>
              <w:divsChild>
                <w:div w:id="68964784">
                  <w:marLeft w:val="0"/>
                  <w:marRight w:val="0"/>
                  <w:marTop w:val="0"/>
                  <w:marBottom w:val="0"/>
                  <w:divBdr>
                    <w:top w:val="none" w:sz="0" w:space="0" w:color="auto"/>
                    <w:left w:val="none" w:sz="0" w:space="0" w:color="auto"/>
                    <w:bottom w:val="none" w:sz="0" w:space="0" w:color="auto"/>
                    <w:right w:val="none" w:sz="0" w:space="0" w:color="auto"/>
                  </w:divBdr>
                  <w:divsChild>
                    <w:div w:id="194316991">
                      <w:marLeft w:val="0"/>
                      <w:marRight w:val="0"/>
                      <w:marTop w:val="0"/>
                      <w:marBottom w:val="0"/>
                      <w:divBdr>
                        <w:top w:val="none" w:sz="0" w:space="0" w:color="auto"/>
                        <w:left w:val="none" w:sz="0" w:space="0" w:color="auto"/>
                        <w:bottom w:val="none" w:sz="0" w:space="0" w:color="auto"/>
                        <w:right w:val="none" w:sz="0" w:space="0" w:color="auto"/>
                      </w:divBdr>
                    </w:div>
                    <w:div w:id="560286956">
                      <w:marLeft w:val="0"/>
                      <w:marRight w:val="0"/>
                      <w:marTop w:val="0"/>
                      <w:marBottom w:val="0"/>
                      <w:divBdr>
                        <w:top w:val="none" w:sz="0" w:space="0" w:color="auto"/>
                        <w:left w:val="none" w:sz="0" w:space="0" w:color="auto"/>
                        <w:bottom w:val="none" w:sz="0" w:space="0" w:color="auto"/>
                        <w:right w:val="none" w:sz="0" w:space="0" w:color="auto"/>
                      </w:divBdr>
                    </w:div>
                    <w:div w:id="1484926552">
                      <w:marLeft w:val="0"/>
                      <w:marRight w:val="0"/>
                      <w:marTop w:val="0"/>
                      <w:marBottom w:val="0"/>
                      <w:divBdr>
                        <w:top w:val="none" w:sz="0" w:space="0" w:color="auto"/>
                        <w:left w:val="none" w:sz="0" w:space="0" w:color="auto"/>
                        <w:bottom w:val="none" w:sz="0" w:space="0" w:color="auto"/>
                        <w:right w:val="none" w:sz="0" w:space="0" w:color="auto"/>
                      </w:divBdr>
                    </w:div>
                    <w:div w:id="1776167292">
                      <w:marLeft w:val="0"/>
                      <w:marRight w:val="0"/>
                      <w:marTop w:val="0"/>
                      <w:marBottom w:val="0"/>
                      <w:divBdr>
                        <w:top w:val="none" w:sz="0" w:space="0" w:color="auto"/>
                        <w:left w:val="none" w:sz="0" w:space="0" w:color="auto"/>
                        <w:bottom w:val="none" w:sz="0" w:space="0" w:color="auto"/>
                        <w:right w:val="none" w:sz="0" w:space="0" w:color="auto"/>
                      </w:divBdr>
                    </w:div>
                  </w:divsChild>
                </w:div>
                <w:div w:id="750657351">
                  <w:marLeft w:val="0"/>
                  <w:marRight w:val="0"/>
                  <w:marTop w:val="0"/>
                  <w:marBottom w:val="0"/>
                  <w:divBdr>
                    <w:top w:val="none" w:sz="0" w:space="0" w:color="auto"/>
                    <w:left w:val="none" w:sz="0" w:space="0" w:color="auto"/>
                    <w:bottom w:val="none" w:sz="0" w:space="0" w:color="auto"/>
                    <w:right w:val="none" w:sz="0" w:space="0" w:color="auto"/>
                  </w:divBdr>
                  <w:divsChild>
                    <w:div w:id="832380624">
                      <w:marLeft w:val="0"/>
                      <w:marRight w:val="0"/>
                      <w:marTop w:val="0"/>
                      <w:marBottom w:val="0"/>
                      <w:divBdr>
                        <w:top w:val="none" w:sz="0" w:space="0" w:color="auto"/>
                        <w:left w:val="none" w:sz="0" w:space="0" w:color="auto"/>
                        <w:bottom w:val="none" w:sz="0" w:space="0" w:color="auto"/>
                        <w:right w:val="none" w:sz="0" w:space="0" w:color="auto"/>
                      </w:divBdr>
                      <w:divsChild>
                        <w:div w:id="6636896">
                          <w:marLeft w:val="0"/>
                          <w:marRight w:val="0"/>
                          <w:marTop w:val="0"/>
                          <w:marBottom w:val="0"/>
                          <w:divBdr>
                            <w:top w:val="none" w:sz="0" w:space="0" w:color="auto"/>
                            <w:left w:val="none" w:sz="0" w:space="0" w:color="auto"/>
                            <w:bottom w:val="none" w:sz="0" w:space="0" w:color="auto"/>
                            <w:right w:val="none" w:sz="0" w:space="0" w:color="auto"/>
                          </w:divBdr>
                          <w:divsChild>
                            <w:div w:id="910039852">
                              <w:marLeft w:val="0"/>
                              <w:marRight w:val="0"/>
                              <w:marTop w:val="0"/>
                              <w:marBottom w:val="0"/>
                              <w:divBdr>
                                <w:top w:val="none" w:sz="0" w:space="0" w:color="auto"/>
                                <w:left w:val="none" w:sz="0" w:space="0" w:color="auto"/>
                                <w:bottom w:val="none" w:sz="0" w:space="0" w:color="auto"/>
                                <w:right w:val="none" w:sz="0" w:space="0" w:color="auto"/>
                              </w:divBdr>
                              <w:divsChild>
                                <w:div w:id="21311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76607">
                          <w:marLeft w:val="0"/>
                          <w:marRight w:val="0"/>
                          <w:marTop w:val="0"/>
                          <w:marBottom w:val="0"/>
                          <w:divBdr>
                            <w:top w:val="none" w:sz="0" w:space="0" w:color="auto"/>
                            <w:left w:val="none" w:sz="0" w:space="0" w:color="auto"/>
                            <w:bottom w:val="none" w:sz="0" w:space="0" w:color="auto"/>
                            <w:right w:val="none" w:sz="0" w:space="0" w:color="auto"/>
                          </w:divBdr>
                          <w:divsChild>
                            <w:div w:id="93283019">
                              <w:marLeft w:val="0"/>
                              <w:marRight w:val="0"/>
                              <w:marTop w:val="0"/>
                              <w:marBottom w:val="0"/>
                              <w:divBdr>
                                <w:top w:val="none" w:sz="0" w:space="0" w:color="auto"/>
                                <w:left w:val="none" w:sz="0" w:space="0" w:color="auto"/>
                                <w:bottom w:val="none" w:sz="0" w:space="0" w:color="auto"/>
                                <w:right w:val="none" w:sz="0" w:space="0" w:color="auto"/>
                              </w:divBdr>
                            </w:div>
                            <w:div w:id="2906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488215">
          <w:marLeft w:val="0"/>
          <w:marRight w:val="0"/>
          <w:marTop w:val="0"/>
          <w:marBottom w:val="0"/>
          <w:divBdr>
            <w:top w:val="none" w:sz="0" w:space="0" w:color="auto"/>
            <w:left w:val="none" w:sz="0" w:space="0" w:color="auto"/>
            <w:bottom w:val="none" w:sz="0" w:space="0" w:color="auto"/>
            <w:right w:val="none" w:sz="0" w:space="0" w:color="auto"/>
          </w:divBdr>
          <w:divsChild>
            <w:div w:id="1224751214">
              <w:marLeft w:val="0"/>
              <w:marRight w:val="0"/>
              <w:marTop w:val="0"/>
              <w:marBottom w:val="0"/>
              <w:divBdr>
                <w:top w:val="none" w:sz="0" w:space="0" w:color="auto"/>
                <w:left w:val="none" w:sz="0" w:space="0" w:color="auto"/>
                <w:bottom w:val="none" w:sz="0" w:space="0" w:color="auto"/>
                <w:right w:val="none" w:sz="0" w:space="0" w:color="auto"/>
              </w:divBdr>
              <w:divsChild>
                <w:div w:id="328100176">
                  <w:marLeft w:val="0"/>
                  <w:marRight w:val="0"/>
                  <w:marTop w:val="0"/>
                  <w:marBottom w:val="0"/>
                  <w:divBdr>
                    <w:top w:val="none" w:sz="0" w:space="0" w:color="auto"/>
                    <w:left w:val="none" w:sz="0" w:space="0" w:color="auto"/>
                    <w:bottom w:val="none" w:sz="0" w:space="0" w:color="auto"/>
                    <w:right w:val="none" w:sz="0" w:space="0" w:color="auto"/>
                  </w:divBdr>
                  <w:divsChild>
                    <w:div w:id="725688383">
                      <w:marLeft w:val="0"/>
                      <w:marRight w:val="0"/>
                      <w:marTop w:val="0"/>
                      <w:marBottom w:val="0"/>
                      <w:divBdr>
                        <w:top w:val="none" w:sz="0" w:space="0" w:color="auto"/>
                        <w:left w:val="none" w:sz="0" w:space="0" w:color="auto"/>
                        <w:bottom w:val="none" w:sz="0" w:space="0" w:color="auto"/>
                        <w:right w:val="none" w:sz="0" w:space="0" w:color="auto"/>
                      </w:divBdr>
                    </w:div>
                    <w:div w:id="733628886">
                      <w:marLeft w:val="0"/>
                      <w:marRight w:val="0"/>
                      <w:marTop w:val="0"/>
                      <w:marBottom w:val="0"/>
                      <w:divBdr>
                        <w:top w:val="none" w:sz="0" w:space="0" w:color="auto"/>
                        <w:left w:val="none" w:sz="0" w:space="0" w:color="auto"/>
                        <w:bottom w:val="none" w:sz="0" w:space="0" w:color="auto"/>
                        <w:right w:val="none" w:sz="0" w:space="0" w:color="auto"/>
                      </w:divBdr>
                    </w:div>
                    <w:div w:id="1010642685">
                      <w:marLeft w:val="0"/>
                      <w:marRight w:val="0"/>
                      <w:marTop w:val="0"/>
                      <w:marBottom w:val="0"/>
                      <w:divBdr>
                        <w:top w:val="none" w:sz="0" w:space="0" w:color="auto"/>
                        <w:left w:val="none" w:sz="0" w:space="0" w:color="auto"/>
                        <w:bottom w:val="none" w:sz="0" w:space="0" w:color="auto"/>
                        <w:right w:val="none" w:sz="0" w:space="0" w:color="auto"/>
                      </w:divBdr>
                    </w:div>
                    <w:div w:id="1032145315">
                      <w:marLeft w:val="0"/>
                      <w:marRight w:val="0"/>
                      <w:marTop w:val="0"/>
                      <w:marBottom w:val="0"/>
                      <w:divBdr>
                        <w:top w:val="none" w:sz="0" w:space="0" w:color="auto"/>
                        <w:left w:val="none" w:sz="0" w:space="0" w:color="auto"/>
                        <w:bottom w:val="none" w:sz="0" w:space="0" w:color="auto"/>
                        <w:right w:val="none" w:sz="0" w:space="0" w:color="auto"/>
                      </w:divBdr>
                    </w:div>
                  </w:divsChild>
                </w:div>
                <w:div w:id="534122232">
                  <w:marLeft w:val="0"/>
                  <w:marRight w:val="0"/>
                  <w:marTop w:val="0"/>
                  <w:marBottom w:val="0"/>
                  <w:divBdr>
                    <w:top w:val="none" w:sz="0" w:space="0" w:color="auto"/>
                    <w:left w:val="none" w:sz="0" w:space="0" w:color="auto"/>
                    <w:bottom w:val="none" w:sz="0" w:space="0" w:color="auto"/>
                    <w:right w:val="none" w:sz="0" w:space="0" w:color="auto"/>
                  </w:divBdr>
                  <w:divsChild>
                    <w:div w:id="103232273">
                      <w:marLeft w:val="0"/>
                      <w:marRight w:val="0"/>
                      <w:marTop w:val="0"/>
                      <w:marBottom w:val="0"/>
                      <w:divBdr>
                        <w:top w:val="none" w:sz="0" w:space="0" w:color="auto"/>
                        <w:left w:val="none" w:sz="0" w:space="0" w:color="auto"/>
                        <w:bottom w:val="none" w:sz="0" w:space="0" w:color="auto"/>
                        <w:right w:val="none" w:sz="0" w:space="0" w:color="auto"/>
                      </w:divBdr>
                      <w:divsChild>
                        <w:div w:id="985428110">
                          <w:marLeft w:val="0"/>
                          <w:marRight w:val="0"/>
                          <w:marTop w:val="0"/>
                          <w:marBottom w:val="0"/>
                          <w:divBdr>
                            <w:top w:val="none" w:sz="0" w:space="0" w:color="auto"/>
                            <w:left w:val="none" w:sz="0" w:space="0" w:color="auto"/>
                            <w:bottom w:val="none" w:sz="0" w:space="0" w:color="auto"/>
                            <w:right w:val="none" w:sz="0" w:space="0" w:color="auto"/>
                          </w:divBdr>
                          <w:divsChild>
                            <w:div w:id="825170470">
                              <w:marLeft w:val="0"/>
                              <w:marRight w:val="0"/>
                              <w:marTop w:val="0"/>
                              <w:marBottom w:val="0"/>
                              <w:divBdr>
                                <w:top w:val="none" w:sz="0" w:space="0" w:color="auto"/>
                                <w:left w:val="none" w:sz="0" w:space="0" w:color="auto"/>
                                <w:bottom w:val="none" w:sz="0" w:space="0" w:color="auto"/>
                                <w:right w:val="none" w:sz="0" w:space="0" w:color="auto"/>
                              </w:divBdr>
                              <w:divsChild>
                                <w:div w:id="1160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38319">
                          <w:marLeft w:val="0"/>
                          <w:marRight w:val="0"/>
                          <w:marTop w:val="0"/>
                          <w:marBottom w:val="0"/>
                          <w:divBdr>
                            <w:top w:val="none" w:sz="0" w:space="0" w:color="auto"/>
                            <w:left w:val="none" w:sz="0" w:space="0" w:color="auto"/>
                            <w:bottom w:val="none" w:sz="0" w:space="0" w:color="auto"/>
                            <w:right w:val="none" w:sz="0" w:space="0" w:color="auto"/>
                          </w:divBdr>
                          <w:divsChild>
                            <w:div w:id="710881986">
                              <w:marLeft w:val="0"/>
                              <w:marRight w:val="0"/>
                              <w:marTop w:val="0"/>
                              <w:marBottom w:val="0"/>
                              <w:divBdr>
                                <w:top w:val="none" w:sz="0" w:space="0" w:color="auto"/>
                                <w:left w:val="none" w:sz="0" w:space="0" w:color="auto"/>
                                <w:bottom w:val="none" w:sz="0" w:space="0" w:color="auto"/>
                                <w:right w:val="none" w:sz="0" w:space="0" w:color="auto"/>
                              </w:divBdr>
                            </w:div>
                            <w:div w:id="16014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018754">
          <w:marLeft w:val="0"/>
          <w:marRight w:val="0"/>
          <w:marTop w:val="0"/>
          <w:marBottom w:val="0"/>
          <w:divBdr>
            <w:top w:val="none" w:sz="0" w:space="0" w:color="auto"/>
            <w:left w:val="none" w:sz="0" w:space="0" w:color="auto"/>
            <w:bottom w:val="none" w:sz="0" w:space="0" w:color="auto"/>
            <w:right w:val="none" w:sz="0" w:space="0" w:color="auto"/>
          </w:divBdr>
          <w:divsChild>
            <w:div w:id="27948387">
              <w:marLeft w:val="0"/>
              <w:marRight w:val="0"/>
              <w:marTop w:val="0"/>
              <w:marBottom w:val="0"/>
              <w:divBdr>
                <w:top w:val="none" w:sz="0" w:space="0" w:color="auto"/>
                <w:left w:val="none" w:sz="0" w:space="0" w:color="auto"/>
                <w:bottom w:val="none" w:sz="0" w:space="0" w:color="auto"/>
                <w:right w:val="none" w:sz="0" w:space="0" w:color="auto"/>
              </w:divBdr>
              <w:divsChild>
                <w:div w:id="1362559313">
                  <w:marLeft w:val="0"/>
                  <w:marRight w:val="0"/>
                  <w:marTop w:val="0"/>
                  <w:marBottom w:val="0"/>
                  <w:divBdr>
                    <w:top w:val="none" w:sz="0" w:space="0" w:color="auto"/>
                    <w:left w:val="none" w:sz="0" w:space="0" w:color="auto"/>
                    <w:bottom w:val="none" w:sz="0" w:space="0" w:color="auto"/>
                    <w:right w:val="none" w:sz="0" w:space="0" w:color="auto"/>
                  </w:divBdr>
                  <w:divsChild>
                    <w:div w:id="1750998477">
                      <w:marLeft w:val="0"/>
                      <w:marRight w:val="0"/>
                      <w:marTop w:val="0"/>
                      <w:marBottom w:val="0"/>
                      <w:divBdr>
                        <w:top w:val="none" w:sz="0" w:space="0" w:color="auto"/>
                        <w:left w:val="none" w:sz="0" w:space="0" w:color="auto"/>
                        <w:bottom w:val="none" w:sz="0" w:space="0" w:color="auto"/>
                        <w:right w:val="none" w:sz="0" w:space="0" w:color="auto"/>
                      </w:divBdr>
                      <w:divsChild>
                        <w:div w:id="165556096">
                          <w:marLeft w:val="0"/>
                          <w:marRight w:val="0"/>
                          <w:marTop w:val="0"/>
                          <w:marBottom w:val="0"/>
                          <w:divBdr>
                            <w:top w:val="none" w:sz="0" w:space="0" w:color="auto"/>
                            <w:left w:val="none" w:sz="0" w:space="0" w:color="auto"/>
                            <w:bottom w:val="none" w:sz="0" w:space="0" w:color="auto"/>
                            <w:right w:val="none" w:sz="0" w:space="0" w:color="auto"/>
                          </w:divBdr>
                          <w:divsChild>
                            <w:div w:id="268398326">
                              <w:marLeft w:val="0"/>
                              <w:marRight w:val="0"/>
                              <w:marTop w:val="0"/>
                              <w:marBottom w:val="0"/>
                              <w:divBdr>
                                <w:top w:val="none" w:sz="0" w:space="0" w:color="auto"/>
                                <w:left w:val="none" w:sz="0" w:space="0" w:color="auto"/>
                                <w:bottom w:val="none" w:sz="0" w:space="0" w:color="auto"/>
                                <w:right w:val="none" w:sz="0" w:space="0" w:color="auto"/>
                              </w:divBdr>
                            </w:div>
                            <w:div w:id="366874058">
                              <w:marLeft w:val="0"/>
                              <w:marRight w:val="0"/>
                              <w:marTop w:val="0"/>
                              <w:marBottom w:val="0"/>
                              <w:divBdr>
                                <w:top w:val="none" w:sz="0" w:space="0" w:color="auto"/>
                                <w:left w:val="none" w:sz="0" w:space="0" w:color="auto"/>
                                <w:bottom w:val="none" w:sz="0" w:space="0" w:color="auto"/>
                                <w:right w:val="none" w:sz="0" w:space="0" w:color="auto"/>
                              </w:divBdr>
                            </w:div>
                          </w:divsChild>
                        </w:div>
                        <w:div w:id="1381517014">
                          <w:marLeft w:val="0"/>
                          <w:marRight w:val="0"/>
                          <w:marTop w:val="0"/>
                          <w:marBottom w:val="0"/>
                          <w:divBdr>
                            <w:top w:val="none" w:sz="0" w:space="0" w:color="auto"/>
                            <w:left w:val="none" w:sz="0" w:space="0" w:color="auto"/>
                            <w:bottom w:val="none" w:sz="0" w:space="0" w:color="auto"/>
                            <w:right w:val="none" w:sz="0" w:space="0" w:color="auto"/>
                          </w:divBdr>
                          <w:divsChild>
                            <w:div w:id="489905117">
                              <w:marLeft w:val="0"/>
                              <w:marRight w:val="0"/>
                              <w:marTop w:val="0"/>
                              <w:marBottom w:val="0"/>
                              <w:divBdr>
                                <w:top w:val="none" w:sz="0" w:space="0" w:color="auto"/>
                                <w:left w:val="none" w:sz="0" w:space="0" w:color="auto"/>
                                <w:bottom w:val="none" w:sz="0" w:space="0" w:color="auto"/>
                                <w:right w:val="none" w:sz="0" w:space="0" w:color="auto"/>
                              </w:divBdr>
                              <w:divsChild>
                                <w:div w:id="99484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293105">
                  <w:marLeft w:val="0"/>
                  <w:marRight w:val="0"/>
                  <w:marTop w:val="0"/>
                  <w:marBottom w:val="0"/>
                  <w:divBdr>
                    <w:top w:val="none" w:sz="0" w:space="0" w:color="auto"/>
                    <w:left w:val="none" w:sz="0" w:space="0" w:color="auto"/>
                    <w:bottom w:val="none" w:sz="0" w:space="0" w:color="auto"/>
                    <w:right w:val="none" w:sz="0" w:space="0" w:color="auto"/>
                  </w:divBdr>
                  <w:divsChild>
                    <w:div w:id="144132234">
                      <w:marLeft w:val="0"/>
                      <w:marRight w:val="0"/>
                      <w:marTop w:val="0"/>
                      <w:marBottom w:val="0"/>
                      <w:divBdr>
                        <w:top w:val="none" w:sz="0" w:space="0" w:color="auto"/>
                        <w:left w:val="none" w:sz="0" w:space="0" w:color="auto"/>
                        <w:bottom w:val="none" w:sz="0" w:space="0" w:color="auto"/>
                        <w:right w:val="none" w:sz="0" w:space="0" w:color="auto"/>
                      </w:divBdr>
                    </w:div>
                    <w:div w:id="167520833">
                      <w:marLeft w:val="0"/>
                      <w:marRight w:val="0"/>
                      <w:marTop w:val="0"/>
                      <w:marBottom w:val="0"/>
                      <w:divBdr>
                        <w:top w:val="none" w:sz="0" w:space="0" w:color="auto"/>
                        <w:left w:val="none" w:sz="0" w:space="0" w:color="auto"/>
                        <w:bottom w:val="none" w:sz="0" w:space="0" w:color="auto"/>
                        <w:right w:val="none" w:sz="0" w:space="0" w:color="auto"/>
                      </w:divBdr>
                    </w:div>
                    <w:div w:id="1336107925">
                      <w:marLeft w:val="0"/>
                      <w:marRight w:val="0"/>
                      <w:marTop w:val="0"/>
                      <w:marBottom w:val="0"/>
                      <w:divBdr>
                        <w:top w:val="none" w:sz="0" w:space="0" w:color="auto"/>
                        <w:left w:val="none" w:sz="0" w:space="0" w:color="auto"/>
                        <w:bottom w:val="none" w:sz="0" w:space="0" w:color="auto"/>
                        <w:right w:val="none" w:sz="0" w:space="0" w:color="auto"/>
                      </w:divBdr>
                    </w:div>
                    <w:div w:id="1876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715843">
      <w:bodyDiv w:val="1"/>
      <w:marLeft w:val="0"/>
      <w:marRight w:val="0"/>
      <w:marTop w:val="0"/>
      <w:marBottom w:val="0"/>
      <w:divBdr>
        <w:top w:val="none" w:sz="0" w:space="0" w:color="auto"/>
        <w:left w:val="none" w:sz="0" w:space="0" w:color="auto"/>
        <w:bottom w:val="none" w:sz="0" w:space="0" w:color="auto"/>
        <w:right w:val="none" w:sz="0" w:space="0" w:color="auto"/>
      </w:divBdr>
    </w:div>
    <w:div w:id="347485408">
      <w:bodyDiv w:val="1"/>
      <w:marLeft w:val="0"/>
      <w:marRight w:val="0"/>
      <w:marTop w:val="0"/>
      <w:marBottom w:val="0"/>
      <w:divBdr>
        <w:top w:val="none" w:sz="0" w:space="0" w:color="auto"/>
        <w:left w:val="none" w:sz="0" w:space="0" w:color="auto"/>
        <w:bottom w:val="none" w:sz="0" w:space="0" w:color="auto"/>
        <w:right w:val="none" w:sz="0" w:space="0" w:color="auto"/>
      </w:divBdr>
    </w:div>
    <w:div w:id="364521262">
      <w:bodyDiv w:val="1"/>
      <w:marLeft w:val="0"/>
      <w:marRight w:val="0"/>
      <w:marTop w:val="0"/>
      <w:marBottom w:val="0"/>
      <w:divBdr>
        <w:top w:val="none" w:sz="0" w:space="0" w:color="auto"/>
        <w:left w:val="none" w:sz="0" w:space="0" w:color="auto"/>
        <w:bottom w:val="none" w:sz="0" w:space="0" w:color="auto"/>
        <w:right w:val="none" w:sz="0" w:space="0" w:color="auto"/>
      </w:divBdr>
    </w:div>
    <w:div w:id="367725883">
      <w:bodyDiv w:val="1"/>
      <w:marLeft w:val="0"/>
      <w:marRight w:val="0"/>
      <w:marTop w:val="0"/>
      <w:marBottom w:val="0"/>
      <w:divBdr>
        <w:top w:val="none" w:sz="0" w:space="0" w:color="auto"/>
        <w:left w:val="none" w:sz="0" w:space="0" w:color="auto"/>
        <w:bottom w:val="none" w:sz="0" w:space="0" w:color="auto"/>
        <w:right w:val="none" w:sz="0" w:space="0" w:color="auto"/>
      </w:divBdr>
    </w:div>
    <w:div w:id="497892927">
      <w:bodyDiv w:val="1"/>
      <w:marLeft w:val="0"/>
      <w:marRight w:val="0"/>
      <w:marTop w:val="0"/>
      <w:marBottom w:val="0"/>
      <w:divBdr>
        <w:top w:val="none" w:sz="0" w:space="0" w:color="auto"/>
        <w:left w:val="none" w:sz="0" w:space="0" w:color="auto"/>
        <w:bottom w:val="none" w:sz="0" w:space="0" w:color="auto"/>
        <w:right w:val="none" w:sz="0" w:space="0" w:color="auto"/>
      </w:divBdr>
    </w:div>
    <w:div w:id="508525127">
      <w:bodyDiv w:val="1"/>
      <w:marLeft w:val="0"/>
      <w:marRight w:val="0"/>
      <w:marTop w:val="0"/>
      <w:marBottom w:val="0"/>
      <w:divBdr>
        <w:top w:val="none" w:sz="0" w:space="0" w:color="auto"/>
        <w:left w:val="none" w:sz="0" w:space="0" w:color="auto"/>
        <w:bottom w:val="none" w:sz="0" w:space="0" w:color="auto"/>
        <w:right w:val="none" w:sz="0" w:space="0" w:color="auto"/>
      </w:divBdr>
      <w:divsChild>
        <w:div w:id="105663956">
          <w:marLeft w:val="0"/>
          <w:marRight w:val="0"/>
          <w:marTop w:val="0"/>
          <w:marBottom w:val="0"/>
          <w:divBdr>
            <w:top w:val="none" w:sz="0" w:space="0" w:color="auto"/>
            <w:left w:val="none" w:sz="0" w:space="0" w:color="auto"/>
            <w:bottom w:val="none" w:sz="0" w:space="0" w:color="auto"/>
            <w:right w:val="none" w:sz="0" w:space="0" w:color="auto"/>
          </w:divBdr>
          <w:divsChild>
            <w:div w:id="910964223">
              <w:marLeft w:val="0"/>
              <w:marRight w:val="0"/>
              <w:marTop w:val="0"/>
              <w:marBottom w:val="0"/>
              <w:divBdr>
                <w:top w:val="none" w:sz="0" w:space="0" w:color="auto"/>
                <w:left w:val="none" w:sz="0" w:space="0" w:color="auto"/>
                <w:bottom w:val="none" w:sz="0" w:space="0" w:color="auto"/>
                <w:right w:val="none" w:sz="0" w:space="0" w:color="auto"/>
              </w:divBdr>
              <w:divsChild>
                <w:div w:id="13591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7272">
          <w:marLeft w:val="0"/>
          <w:marRight w:val="0"/>
          <w:marTop w:val="0"/>
          <w:marBottom w:val="0"/>
          <w:divBdr>
            <w:top w:val="none" w:sz="0" w:space="0" w:color="auto"/>
            <w:left w:val="none" w:sz="0" w:space="0" w:color="auto"/>
            <w:bottom w:val="none" w:sz="0" w:space="0" w:color="auto"/>
            <w:right w:val="none" w:sz="0" w:space="0" w:color="auto"/>
          </w:divBdr>
        </w:div>
        <w:div w:id="1083141643">
          <w:marLeft w:val="0"/>
          <w:marRight w:val="0"/>
          <w:marTop w:val="0"/>
          <w:marBottom w:val="0"/>
          <w:divBdr>
            <w:top w:val="none" w:sz="0" w:space="0" w:color="auto"/>
            <w:left w:val="none" w:sz="0" w:space="0" w:color="auto"/>
            <w:bottom w:val="none" w:sz="0" w:space="0" w:color="auto"/>
            <w:right w:val="none" w:sz="0" w:space="0" w:color="auto"/>
          </w:divBdr>
        </w:div>
        <w:div w:id="1091047995">
          <w:marLeft w:val="0"/>
          <w:marRight w:val="0"/>
          <w:marTop w:val="0"/>
          <w:marBottom w:val="0"/>
          <w:divBdr>
            <w:top w:val="none" w:sz="0" w:space="0" w:color="auto"/>
            <w:left w:val="none" w:sz="0" w:space="0" w:color="auto"/>
            <w:bottom w:val="none" w:sz="0" w:space="0" w:color="auto"/>
            <w:right w:val="none" w:sz="0" w:space="0" w:color="auto"/>
          </w:divBdr>
          <w:divsChild>
            <w:div w:id="1527409089">
              <w:marLeft w:val="0"/>
              <w:marRight w:val="0"/>
              <w:marTop w:val="0"/>
              <w:marBottom w:val="0"/>
              <w:divBdr>
                <w:top w:val="none" w:sz="0" w:space="0" w:color="auto"/>
                <w:left w:val="none" w:sz="0" w:space="0" w:color="auto"/>
                <w:bottom w:val="none" w:sz="0" w:space="0" w:color="auto"/>
                <w:right w:val="none" w:sz="0" w:space="0" w:color="auto"/>
              </w:divBdr>
            </w:div>
          </w:divsChild>
        </w:div>
        <w:div w:id="1213154998">
          <w:marLeft w:val="0"/>
          <w:marRight w:val="0"/>
          <w:marTop w:val="0"/>
          <w:marBottom w:val="0"/>
          <w:divBdr>
            <w:top w:val="none" w:sz="0" w:space="0" w:color="auto"/>
            <w:left w:val="none" w:sz="0" w:space="0" w:color="auto"/>
            <w:bottom w:val="none" w:sz="0" w:space="0" w:color="auto"/>
            <w:right w:val="none" w:sz="0" w:space="0" w:color="auto"/>
          </w:divBdr>
          <w:divsChild>
            <w:div w:id="1889107201">
              <w:marLeft w:val="0"/>
              <w:marRight w:val="0"/>
              <w:marTop w:val="0"/>
              <w:marBottom w:val="0"/>
              <w:divBdr>
                <w:top w:val="none" w:sz="0" w:space="0" w:color="auto"/>
                <w:left w:val="none" w:sz="0" w:space="0" w:color="auto"/>
                <w:bottom w:val="none" w:sz="0" w:space="0" w:color="auto"/>
                <w:right w:val="none" w:sz="0" w:space="0" w:color="auto"/>
              </w:divBdr>
              <w:divsChild>
                <w:div w:id="783885996">
                  <w:marLeft w:val="0"/>
                  <w:marRight w:val="0"/>
                  <w:marTop w:val="0"/>
                  <w:marBottom w:val="0"/>
                  <w:divBdr>
                    <w:top w:val="none" w:sz="0" w:space="0" w:color="auto"/>
                    <w:left w:val="none" w:sz="0" w:space="0" w:color="auto"/>
                    <w:bottom w:val="none" w:sz="0" w:space="0" w:color="auto"/>
                    <w:right w:val="none" w:sz="0" w:space="0" w:color="auto"/>
                  </w:divBdr>
                  <w:divsChild>
                    <w:div w:id="1978339791">
                      <w:marLeft w:val="0"/>
                      <w:marRight w:val="0"/>
                      <w:marTop w:val="0"/>
                      <w:marBottom w:val="0"/>
                      <w:divBdr>
                        <w:top w:val="none" w:sz="0" w:space="0" w:color="auto"/>
                        <w:left w:val="none" w:sz="0" w:space="0" w:color="auto"/>
                        <w:bottom w:val="none" w:sz="0" w:space="0" w:color="auto"/>
                        <w:right w:val="none" w:sz="0" w:space="0" w:color="auto"/>
                      </w:divBdr>
                    </w:div>
                  </w:divsChild>
                </w:div>
                <w:div w:id="1726641373">
                  <w:marLeft w:val="0"/>
                  <w:marRight w:val="0"/>
                  <w:marTop w:val="0"/>
                  <w:marBottom w:val="0"/>
                  <w:divBdr>
                    <w:top w:val="none" w:sz="0" w:space="0" w:color="auto"/>
                    <w:left w:val="none" w:sz="0" w:space="0" w:color="auto"/>
                    <w:bottom w:val="none" w:sz="0" w:space="0" w:color="auto"/>
                    <w:right w:val="none" w:sz="0" w:space="0" w:color="auto"/>
                  </w:divBdr>
                  <w:divsChild>
                    <w:div w:id="549388431">
                      <w:marLeft w:val="0"/>
                      <w:marRight w:val="0"/>
                      <w:marTop w:val="0"/>
                      <w:marBottom w:val="0"/>
                      <w:divBdr>
                        <w:top w:val="none" w:sz="0" w:space="0" w:color="auto"/>
                        <w:left w:val="none" w:sz="0" w:space="0" w:color="auto"/>
                        <w:bottom w:val="none" w:sz="0" w:space="0" w:color="auto"/>
                        <w:right w:val="none" w:sz="0" w:space="0" w:color="auto"/>
                      </w:divBdr>
                    </w:div>
                  </w:divsChild>
                </w:div>
                <w:div w:id="1730568947">
                  <w:marLeft w:val="0"/>
                  <w:marRight w:val="0"/>
                  <w:marTop w:val="0"/>
                  <w:marBottom w:val="0"/>
                  <w:divBdr>
                    <w:top w:val="none" w:sz="0" w:space="0" w:color="auto"/>
                    <w:left w:val="none" w:sz="0" w:space="0" w:color="auto"/>
                    <w:bottom w:val="none" w:sz="0" w:space="0" w:color="auto"/>
                    <w:right w:val="none" w:sz="0" w:space="0" w:color="auto"/>
                  </w:divBdr>
                  <w:divsChild>
                    <w:div w:id="4679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61658">
          <w:marLeft w:val="0"/>
          <w:marRight w:val="0"/>
          <w:marTop w:val="0"/>
          <w:marBottom w:val="0"/>
          <w:divBdr>
            <w:top w:val="none" w:sz="0" w:space="0" w:color="auto"/>
            <w:left w:val="none" w:sz="0" w:space="0" w:color="auto"/>
            <w:bottom w:val="none" w:sz="0" w:space="0" w:color="auto"/>
            <w:right w:val="none" w:sz="0" w:space="0" w:color="auto"/>
          </w:divBdr>
        </w:div>
        <w:div w:id="1784302182">
          <w:marLeft w:val="0"/>
          <w:marRight w:val="0"/>
          <w:marTop w:val="0"/>
          <w:marBottom w:val="0"/>
          <w:divBdr>
            <w:top w:val="none" w:sz="0" w:space="0" w:color="auto"/>
            <w:left w:val="none" w:sz="0" w:space="0" w:color="auto"/>
            <w:bottom w:val="none" w:sz="0" w:space="0" w:color="auto"/>
            <w:right w:val="none" w:sz="0" w:space="0" w:color="auto"/>
          </w:divBdr>
        </w:div>
        <w:div w:id="1916550983">
          <w:marLeft w:val="0"/>
          <w:marRight w:val="0"/>
          <w:marTop w:val="0"/>
          <w:marBottom w:val="0"/>
          <w:divBdr>
            <w:top w:val="none" w:sz="0" w:space="0" w:color="auto"/>
            <w:left w:val="none" w:sz="0" w:space="0" w:color="auto"/>
            <w:bottom w:val="none" w:sz="0" w:space="0" w:color="auto"/>
            <w:right w:val="none" w:sz="0" w:space="0" w:color="auto"/>
          </w:divBdr>
        </w:div>
        <w:div w:id="2044476323">
          <w:marLeft w:val="0"/>
          <w:marRight w:val="0"/>
          <w:marTop w:val="0"/>
          <w:marBottom w:val="0"/>
          <w:divBdr>
            <w:top w:val="none" w:sz="0" w:space="0" w:color="auto"/>
            <w:left w:val="none" w:sz="0" w:space="0" w:color="auto"/>
            <w:bottom w:val="none" w:sz="0" w:space="0" w:color="auto"/>
            <w:right w:val="none" w:sz="0" w:space="0" w:color="auto"/>
          </w:divBdr>
        </w:div>
      </w:divsChild>
    </w:div>
    <w:div w:id="564952620">
      <w:bodyDiv w:val="1"/>
      <w:marLeft w:val="0"/>
      <w:marRight w:val="0"/>
      <w:marTop w:val="0"/>
      <w:marBottom w:val="0"/>
      <w:divBdr>
        <w:top w:val="none" w:sz="0" w:space="0" w:color="auto"/>
        <w:left w:val="none" w:sz="0" w:space="0" w:color="auto"/>
        <w:bottom w:val="none" w:sz="0" w:space="0" w:color="auto"/>
        <w:right w:val="none" w:sz="0" w:space="0" w:color="auto"/>
      </w:divBdr>
      <w:divsChild>
        <w:div w:id="79447039">
          <w:marLeft w:val="0"/>
          <w:marRight w:val="0"/>
          <w:marTop w:val="0"/>
          <w:marBottom w:val="0"/>
          <w:divBdr>
            <w:top w:val="none" w:sz="0" w:space="0" w:color="auto"/>
            <w:left w:val="none" w:sz="0" w:space="0" w:color="auto"/>
            <w:bottom w:val="none" w:sz="0" w:space="0" w:color="auto"/>
            <w:right w:val="none" w:sz="0" w:space="0" w:color="auto"/>
          </w:divBdr>
          <w:divsChild>
            <w:div w:id="66100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63220">
      <w:bodyDiv w:val="1"/>
      <w:marLeft w:val="0"/>
      <w:marRight w:val="0"/>
      <w:marTop w:val="0"/>
      <w:marBottom w:val="0"/>
      <w:divBdr>
        <w:top w:val="none" w:sz="0" w:space="0" w:color="auto"/>
        <w:left w:val="none" w:sz="0" w:space="0" w:color="auto"/>
        <w:bottom w:val="none" w:sz="0" w:space="0" w:color="auto"/>
        <w:right w:val="none" w:sz="0" w:space="0" w:color="auto"/>
      </w:divBdr>
    </w:div>
    <w:div w:id="629433697">
      <w:bodyDiv w:val="1"/>
      <w:marLeft w:val="0"/>
      <w:marRight w:val="0"/>
      <w:marTop w:val="0"/>
      <w:marBottom w:val="0"/>
      <w:divBdr>
        <w:top w:val="none" w:sz="0" w:space="0" w:color="auto"/>
        <w:left w:val="none" w:sz="0" w:space="0" w:color="auto"/>
        <w:bottom w:val="none" w:sz="0" w:space="0" w:color="auto"/>
        <w:right w:val="none" w:sz="0" w:space="0" w:color="auto"/>
      </w:divBdr>
    </w:div>
    <w:div w:id="634138935">
      <w:bodyDiv w:val="1"/>
      <w:marLeft w:val="0"/>
      <w:marRight w:val="0"/>
      <w:marTop w:val="0"/>
      <w:marBottom w:val="0"/>
      <w:divBdr>
        <w:top w:val="none" w:sz="0" w:space="0" w:color="auto"/>
        <w:left w:val="none" w:sz="0" w:space="0" w:color="auto"/>
        <w:bottom w:val="none" w:sz="0" w:space="0" w:color="auto"/>
        <w:right w:val="none" w:sz="0" w:space="0" w:color="auto"/>
      </w:divBdr>
    </w:div>
    <w:div w:id="646667232">
      <w:bodyDiv w:val="1"/>
      <w:marLeft w:val="0"/>
      <w:marRight w:val="0"/>
      <w:marTop w:val="0"/>
      <w:marBottom w:val="0"/>
      <w:divBdr>
        <w:top w:val="none" w:sz="0" w:space="0" w:color="auto"/>
        <w:left w:val="none" w:sz="0" w:space="0" w:color="auto"/>
        <w:bottom w:val="none" w:sz="0" w:space="0" w:color="auto"/>
        <w:right w:val="none" w:sz="0" w:space="0" w:color="auto"/>
      </w:divBdr>
      <w:divsChild>
        <w:div w:id="1482110963">
          <w:marLeft w:val="0"/>
          <w:marRight w:val="0"/>
          <w:marTop w:val="0"/>
          <w:marBottom w:val="0"/>
          <w:divBdr>
            <w:top w:val="none" w:sz="0" w:space="0" w:color="auto"/>
            <w:left w:val="none" w:sz="0" w:space="0" w:color="auto"/>
            <w:bottom w:val="none" w:sz="0" w:space="0" w:color="auto"/>
            <w:right w:val="none" w:sz="0" w:space="0" w:color="auto"/>
          </w:divBdr>
          <w:divsChild>
            <w:div w:id="594705079">
              <w:marLeft w:val="0"/>
              <w:marRight w:val="0"/>
              <w:marTop w:val="0"/>
              <w:marBottom w:val="0"/>
              <w:divBdr>
                <w:top w:val="none" w:sz="0" w:space="0" w:color="auto"/>
                <w:left w:val="none" w:sz="0" w:space="0" w:color="auto"/>
                <w:bottom w:val="none" w:sz="0" w:space="0" w:color="auto"/>
                <w:right w:val="none" w:sz="0" w:space="0" w:color="auto"/>
              </w:divBdr>
            </w:div>
          </w:divsChild>
        </w:div>
        <w:div w:id="2055890128">
          <w:marLeft w:val="0"/>
          <w:marRight w:val="0"/>
          <w:marTop w:val="0"/>
          <w:marBottom w:val="0"/>
          <w:divBdr>
            <w:top w:val="none" w:sz="0" w:space="0" w:color="auto"/>
            <w:left w:val="none" w:sz="0" w:space="0" w:color="auto"/>
            <w:bottom w:val="none" w:sz="0" w:space="0" w:color="auto"/>
            <w:right w:val="none" w:sz="0" w:space="0" w:color="auto"/>
          </w:divBdr>
          <w:divsChild>
            <w:div w:id="12681981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663165248">
      <w:bodyDiv w:val="1"/>
      <w:marLeft w:val="0"/>
      <w:marRight w:val="0"/>
      <w:marTop w:val="0"/>
      <w:marBottom w:val="0"/>
      <w:divBdr>
        <w:top w:val="none" w:sz="0" w:space="0" w:color="auto"/>
        <w:left w:val="none" w:sz="0" w:space="0" w:color="auto"/>
        <w:bottom w:val="none" w:sz="0" w:space="0" w:color="auto"/>
        <w:right w:val="none" w:sz="0" w:space="0" w:color="auto"/>
      </w:divBdr>
    </w:div>
    <w:div w:id="713234339">
      <w:bodyDiv w:val="1"/>
      <w:marLeft w:val="0"/>
      <w:marRight w:val="0"/>
      <w:marTop w:val="0"/>
      <w:marBottom w:val="0"/>
      <w:divBdr>
        <w:top w:val="none" w:sz="0" w:space="0" w:color="auto"/>
        <w:left w:val="none" w:sz="0" w:space="0" w:color="auto"/>
        <w:bottom w:val="none" w:sz="0" w:space="0" w:color="auto"/>
        <w:right w:val="none" w:sz="0" w:space="0" w:color="auto"/>
      </w:divBdr>
    </w:div>
    <w:div w:id="799809420">
      <w:bodyDiv w:val="1"/>
      <w:marLeft w:val="0"/>
      <w:marRight w:val="0"/>
      <w:marTop w:val="0"/>
      <w:marBottom w:val="0"/>
      <w:divBdr>
        <w:top w:val="none" w:sz="0" w:space="0" w:color="auto"/>
        <w:left w:val="none" w:sz="0" w:space="0" w:color="auto"/>
        <w:bottom w:val="none" w:sz="0" w:space="0" w:color="auto"/>
        <w:right w:val="none" w:sz="0" w:space="0" w:color="auto"/>
      </w:divBdr>
    </w:div>
    <w:div w:id="852572080">
      <w:bodyDiv w:val="1"/>
      <w:marLeft w:val="0"/>
      <w:marRight w:val="0"/>
      <w:marTop w:val="0"/>
      <w:marBottom w:val="0"/>
      <w:divBdr>
        <w:top w:val="none" w:sz="0" w:space="0" w:color="auto"/>
        <w:left w:val="none" w:sz="0" w:space="0" w:color="auto"/>
        <w:bottom w:val="none" w:sz="0" w:space="0" w:color="auto"/>
        <w:right w:val="none" w:sz="0" w:space="0" w:color="auto"/>
      </w:divBdr>
    </w:div>
    <w:div w:id="932787870">
      <w:bodyDiv w:val="1"/>
      <w:marLeft w:val="0"/>
      <w:marRight w:val="0"/>
      <w:marTop w:val="0"/>
      <w:marBottom w:val="0"/>
      <w:divBdr>
        <w:top w:val="none" w:sz="0" w:space="0" w:color="auto"/>
        <w:left w:val="none" w:sz="0" w:space="0" w:color="auto"/>
        <w:bottom w:val="none" w:sz="0" w:space="0" w:color="auto"/>
        <w:right w:val="none" w:sz="0" w:space="0" w:color="auto"/>
      </w:divBdr>
    </w:div>
    <w:div w:id="953899279">
      <w:bodyDiv w:val="1"/>
      <w:marLeft w:val="0"/>
      <w:marRight w:val="0"/>
      <w:marTop w:val="0"/>
      <w:marBottom w:val="0"/>
      <w:divBdr>
        <w:top w:val="none" w:sz="0" w:space="0" w:color="auto"/>
        <w:left w:val="none" w:sz="0" w:space="0" w:color="auto"/>
        <w:bottom w:val="none" w:sz="0" w:space="0" w:color="auto"/>
        <w:right w:val="none" w:sz="0" w:space="0" w:color="auto"/>
      </w:divBdr>
    </w:div>
    <w:div w:id="979074816">
      <w:bodyDiv w:val="1"/>
      <w:marLeft w:val="0"/>
      <w:marRight w:val="0"/>
      <w:marTop w:val="0"/>
      <w:marBottom w:val="0"/>
      <w:divBdr>
        <w:top w:val="none" w:sz="0" w:space="0" w:color="auto"/>
        <w:left w:val="none" w:sz="0" w:space="0" w:color="auto"/>
        <w:bottom w:val="none" w:sz="0" w:space="0" w:color="auto"/>
        <w:right w:val="none" w:sz="0" w:space="0" w:color="auto"/>
      </w:divBdr>
    </w:div>
    <w:div w:id="996034812">
      <w:bodyDiv w:val="1"/>
      <w:marLeft w:val="0"/>
      <w:marRight w:val="0"/>
      <w:marTop w:val="0"/>
      <w:marBottom w:val="0"/>
      <w:divBdr>
        <w:top w:val="none" w:sz="0" w:space="0" w:color="auto"/>
        <w:left w:val="none" w:sz="0" w:space="0" w:color="auto"/>
        <w:bottom w:val="none" w:sz="0" w:space="0" w:color="auto"/>
        <w:right w:val="none" w:sz="0" w:space="0" w:color="auto"/>
      </w:divBdr>
    </w:div>
    <w:div w:id="1047485333">
      <w:bodyDiv w:val="1"/>
      <w:marLeft w:val="0"/>
      <w:marRight w:val="0"/>
      <w:marTop w:val="0"/>
      <w:marBottom w:val="0"/>
      <w:divBdr>
        <w:top w:val="none" w:sz="0" w:space="0" w:color="auto"/>
        <w:left w:val="none" w:sz="0" w:space="0" w:color="auto"/>
        <w:bottom w:val="none" w:sz="0" w:space="0" w:color="auto"/>
        <w:right w:val="none" w:sz="0" w:space="0" w:color="auto"/>
      </w:divBdr>
    </w:div>
    <w:div w:id="1107575626">
      <w:bodyDiv w:val="1"/>
      <w:marLeft w:val="0"/>
      <w:marRight w:val="0"/>
      <w:marTop w:val="0"/>
      <w:marBottom w:val="0"/>
      <w:divBdr>
        <w:top w:val="none" w:sz="0" w:space="0" w:color="auto"/>
        <w:left w:val="none" w:sz="0" w:space="0" w:color="auto"/>
        <w:bottom w:val="none" w:sz="0" w:space="0" w:color="auto"/>
        <w:right w:val="none" w:sz="0" w:space="0" w:color="auto"/>
      </w:divBdr>
    </w:div>
    <w:div w:id="1122530791">
      <w:bodyDiv w:val="1"/>
      <w:marLeft w:val="0"/>
      <w:marRight w:val="0"/>
      <w:marTop w:val="0"/>
      <w:marBottom w:val="0"/>
      <w:divBdr>
        <w:top w:val="none" w:sz="0" w:space="0" w:color="auto"/>
        <w:left w:val="none" w:sz="0" w:space="0" w:color="auto"/>
        <w:bottom w:val="none" w:sz="0" w:space="0" w:color="auto"/>
        <w:right w:val="none" w:sz="0" w:space="0" w:color="auto"/>
      </w:divBdr>
    </w:div>
    <w:div w:id="1123235836">
      <w:bodyDiv w:val="1"/>
      <w:marLeft w:val="0"/>
      <w:marRight w:val="0"/>
      <w:marTop w:val="0"/>
      <w:marBottom w:val="0"/>
      <w:divBdr>
        <w:top w:val="none" w:sz="0" w:space="0" w:color="auto"/>
        <w:left w:val="none" w:sz="0" w:space="0" w:color="auto"/>
        <w:bottom w:val="none" w:sz="0" w:space="0" w:color="auto"/>
        <w:right w:val="none" w:sz="0" w:space="0" w:color="auto"/>
      </w:divBdr>
    </w:div>
    <w:div w:id="1207140091">
      <w:bodyDiv w:val="1"/>
      <w:marLeft w:val="0"/>
      <w:marRight w:val="0"/>
      <w:marTop w:val="0"/>
      <w:marBottom w:val="0"/>
      <w:divBdr>
        <w:top w:val="none" w:sz="0" w:space="0" w:color="auto"/>
        <w:left w:val="none" w:sz="0" w:space="0" w:color="auto"/>
        <w:bottom w:val="none" w:sz="0" w:space="0" w:color="auto"/>
        <w:right w:val="none" w:sz="0" w:space="0" w:color="auto"/>
      </w:divBdr>
      <w:divsChild>
        <w:div w:id="1845046560">
          <w:marLeft w:val="0"/>
          <w:marRight w:val="0"/>
          <w:marTop w:val="0"/>
          <w:marBottom w:val="0"/>
          <w:divBdr>
            <w:top w:val="none" w:sz="0" w:space="0" w:color="auto"/>
            <w:left w:val="none" w:sz="0" w:space="0" w:color="auto"/>
            <w:bottom w:val="none" w:sz="0" w:space="0" w:color="auto"/>
            <w:right w:val="none" w:sz="0" w:space="0" w:color="auto"/>
          </w:divBdr>
          <w:divsChild>
            <w:div w:id="1651057686">
              <w:marLeft w:val="0"/>
              <w:marRight w:val="0"/>
              <w:marTop w:val="0"/>
              <w:marBottom w:val="0"/>
              <w:divBdr>
                <w:top w:val="none" w:sz="0" w:space="0" w:color="auto"/>
                <w:left w:val="none" w:sz="0" w:space="0" w:color="auto"/>
                <w:bottom w:val="none" w:sz="0" w:space="0" w:color="auto"/>
                <w:right w:val="none" w:sz="0" w:space="0" w:color="auto"/>
              </w:divBdr>
              <w:divsChild>
                <w:div w:id="1187595708">
                  <w:marLeft w:val="0"/>
                  <w:marRight w:val="0"/>
                  <w:marTop w:val="0"/>
                  <w:marBottom w:val="0"/>
                  <w:divBdr>
                    <w:top w:val="none" w:sz="0" w:space="0" w:color="auto"/>
                    <w:left w:val="none" w:sz="0" w:space="0" w:color="auto"/>
                    <w:bottom w:val="none" w:sz="0" w:space="0" w:color="auto"/>
                    <w:right w:val="none" w:sz="0" w:space="0" w:color="auto"/>
                  </w:divBdr>
                  <w:divsChild>
                    <w:div w:id="102316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09742">
      <w:bodyDiv w:val="1"/>
      <w:marLeft w:val="0"/>
      <w:marRight w:val="0"/>
      <w:marTop w:val="0"/>
      <w:marBottom w:val="0"/>
      <w:divBdr>
        <w:top w:val="none" w:sz="0" w:space="0" w:color="auto"/>
        <w:left w:val="none" w:sz="0" w:space="0" w:color="auto"/>
        <w:bottom w:val="none" w:sz="0" w:space="0" w:color="auto"/>
        <w:right w:val="none" w:sz="0" w:space="0" w:color="auto"/>
      </w:divBdr>
    </w:div>
    <w:div w:id="1285192071">
      <w:bodyDiv w:val="1"/>
      <w:marLeft w:val="0"/>
      <w:marRight w:val="0"/>
      <w:marTop w:val="0"/>
      <w:marBottom w:val="0"/>
      <w:divBdr>
        <w:top w:val="none" w:sz="0" w:space="0" w:color="auto"/>
        <w:left w:val="none" w:sz="0" w:space="0" w:color="auto"/>
        <w:bottom w:val="none" w:sz="0" w:space="0" w:color="auto"/>
        <w:right w:val="none" w:sz="0" w:space="0" w:color="auto"/>
      </w:divBdr>
    </w:div>
    <w:div w:id="1473333143">
      <w:bodyDiv w:val="1"/>
      <w:marLeft w:val="0"/>
      <w:marRight w:val="0"/>
      <w:marTop w:val="0"/>
      <w:marBottom w:val="0"/>
      <w:divBdr>
        <w:top w:val="none" w:sz="0" w:space="0" w:color="auto"/>
        <w:left w:val="none" w:sz="0" w:space="0" w:color="auto"/>
        <w:bottom w:val="none" w:sz="0" w:space="0" w:color="auto"/>
        <w:right w:val="none" w:sz="0" w:space="0" w:color="auto"/>
      </w:divBdr>
    </w:div>
    <w:div w:id="1543978635">
      <w:bodyDiv w:val="1"/>
      <w:marLeft w:val="0"/>
      <w:marRight w:val="0"/>
      <w:marTop w:val="0"/>
      <w:marBottom w:val="0"/>
      <w:divBdr>
        <w:top w:val="none" w:sz="0" w:space="0" w:color="auto"/>
        <w:left w:val="none" w:sz="0" w:space="0" w:color="auto"/>
        <w:bottom w:val="none" w:sz="0" w:space="0" w:color="auto"/>
        <w:right w:val="none" w:sz="0" w:space="0" w:color="auto"/>
      </w:divBdr>
    </w:div>
    <w:div w:id="1551529666">
      <w:bodyDiv w:val="1"/>
      <w:marLeft w:val="0"/>
      <w:marRight w:val="0"/>
      <w:marTop w:val="0"/>
      <w:marBottom w:val="0"/>
      <w:divBdr>
        <w:top w:val="none" w:sz="0" w:space="0" w:color="auto"/>
        <w:left w:val="none" w:sz="0" w:space="0" w:color="auto"/>
        <w:bottom w:val="none" w:sz="0" w:space="0" w:color="auto"/>
        <w:right w:val="none" w:sz="0" w:space="0" w:color="auto"/>
      </w:divBdr>
    </w:div>
    <w:div w:id="1603536683">
      <w:bodyDiv w:val="1"/>
      <w:marLeft w:val="0"/>
      <w:marRight w:val="0"/>
      <w:marTop w:val="0"/>
      <w:marBottom w:val="0"/>
      <w:divBdr>
        <w:top w:val="none" w:sz="0" w:space="0" w:color="auto"/>
        <w:left w:val="none" w:sz="0" w:space="0" w:color="auto"/>
        <w:bottom w:val="none" w:sz="0" w:space="0" w:color="auto"/>
        <w:right w:val="none" w:sz="0" w:space="0" w:color="auto"/>
      </w:divBdr>
    </w:div>
    <w:div w:id="1608583524">
      <w:bodyDiv w:val="1"/>
      <w:marLeft w:val="0"/>
      <w:marRight w:val="0"/>
      <w:marTop w:val="0"/>
      <w:marBottom w:val="0"/>
      <w:divBdr>
        <w:top w:val="none" w:sz="0" w:space="0" w:color="auto"/>
        <w:left w:val="none" w:sz="0" w:space="0" w:color="auto"/>
        <w:bottom w:val="none" w:sz="0" w:space="0" w:color="auto"/>
        <w:right w:val="none" w:sz="0" w:space="0" w:color="auto"/>
      </w:divBdr>
      <w:divsChild>
        <w:div w:id="57017503">
          <w:marLeft w:val="0"/>
          <w:marRight w:val="0"/>
          <w:marTop w:val="0"/>
          <w:marBottom w:val="0"/>
          <w:divBdr>
            <w:top w:val="none" w:sz="0" w:space="0" w:color="auto"/>
            <w:left w:val="none" w:sz="0" w:space="0" w:color="auto"/>
            <w:bottom w:val="none" w:sz="0" w:space="0" w:color="auto"/>
            <w:right w:val="none" w:sz="0" w:space="0" w:color="auto"/>
          </w:divBdr>
          <w:divsChild>
            <w:div w:id="283391787">
              <w:marLeft w:val="0"/>
              <w:marRight w:val="0"/>
              <w:marTop w:val="225"/>
              <w:marBottom w:val="0"/>
              <w:divBdr>
                <w:top w:val="none" w:sz="0" w:space="0" w:color="auto"/>
                <w:left w:val="none" w:sz="0" w:space="0" w:color="auto"/>
                <w:bottom w:val="none" w:sz="0" w:space="0" w:color="auto"/>
                <w:right w:val="none" w:sz="0" w:space="0" w:color="auto"/>
              </w:divBdr>
            </w:div>
          </w:divsChild>
        </w:div>
        <w:div w:id="124542686">
          <w:marLeft w:val="0"/>
          <w:marRight w:val="0"/>
          <w:marTop w:val="0"/>
          <w:marBottom w:val="0"/>
          <w:divBdr>
            <w:top w:val="none" w:sz="0" w:space="0" w:color="auto"/>
            <w:left w:val="none" w:sz="0" w:space="0" w:color="auto"/>
            <w:bottom w:val="none" w:sz="0" w:space="0" w:color="auto"/>
            <w:right w:val="none" w:sz="0" w:space="0" w:color="auto"/>
          </w:divBdr>
          <w:divsChild>
            <w:div w:id="21034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3170">
      <w:bodyDiv w:val="1"/>
      <w:marLeft w:val="0"/>
      <w:marRight w:val="0"/>
      <w:marTop w:val="0"/>
      <w:marBottom w:val="0"/>
      <w:divBdr>
        <w:top w:val="none" w:sz="0" w:space="0" w:color="auto"/>
        <w:left w:val="none" w:sz="0" w:space="0" w:color="auto"/>
        <w:bottom w:val="none" w:sz="0" w:space="0" w:color="auto"/>
        <w:right w:val="none" w:sz="0" w:space="0" w:color="auto"/>
      </w:divBdr>
    </w:div>
    <w:div w:id="1673068955">
      <w:bodyDiv w:val="1"/>
      <w:marLeft w:val="0"/>
      <w:marRight w:val="0"/>
      <w:marTop w:val="0"/>
      <w:marBottom w:val="0"/>
      <w:divBdr>
        <w:top w:val="none" w:sz="0" w:space="0" w:color="auto"/>
        <w:left w:val="none" w:sz="0" w:space="0" w:color="auto"/>
        <w:bottom w:val="none" w:sz="0" w:space="0" w:color="auto"/>
        <w:right w:val="none" w:sz="0" w:space="0" w:color="auto"/>
      </w:divBdr>
    </w:div>
    <w:div w:id="1794859805">
      <w:bodyDiv w:val="1"/>
      <w:marLeft w:val="0"/>
      <w:marRight w:val="0"/>
      <w:marTop w:val="0"/>
      <w:marBottom w:val="0"/>
      <w:divBdr>
        <w:top w:val="none" w:sz="0" w:space="0" w:color="auto"/>
        <w:left w:val="none" w:sz="0" w:space="0" w:color="auto"/>
        <w:bottom w:val="none" w:sz="0" w:space="0" w:color="auto"/>
        <w:right w:val="none" w:sz="0" w:space="0" w:color="auto"/>
      </w:divBdr>
      <w:divsChild>
        <w:div w:id="1185438652">
          <w:marLeft w:val="0"/>
          <w:marRight w:val="0"/>
          <w:marTop w:val="0"/>
          <w:marBottom w:val="0"/>
          <w:divBdr>
            <w:top w:val="none" w:sz="0" w:space="0" w:color="auto"/>
            <w:left w:val="none" w:sz="0" w:space="0" w:color="auto"/>
            <w:bottom w:val="none" w:sz="0" w:space="0" w:color="auto"/>
            <w:right w:val="none" w:sz="0" w:space="0" w:color="auto"/>
          </w:divBdr>
        </w:div>
      </w:divsChild>
    </w:div>
    <w:div w:id="1805613618">
      <w:bodyDiv w:val="1"/>
      <w:marLeft w:val="0"/>
      <w:marRight w:val="0"/>
      <w:marTop w:val="0"/>
      <w:marBottom w:val="0"/>
      <w:divBdr>
        <w:top w:val="none" w:sz="0" w:space="0" w:color="auto"/>
        <w:left w:val="none" w:sz="0" w:space="0" w:color="auto"/>
        <w:bottom w:val="none" w:sz="0" w:space="0" w:color="auto"/>
        <w:right w:val="none" w:sz="0" w:space="0" w:color="auto"/>
      </w:divBdr>
      <w:divsChild>
        <w:div w:id="2080902615">
          <w:marLeft w:val="0"/>
          <w:marRight w:val="0"/>
          <w:marTop w:val="0"/>
          <w:marBottom w:val="0"/>
          <w:divBdr>
            <w:top w:val="none" w:sz="0" w:space="0" w:color="auto"/>
            <w:left w:val="none" w:sz="0" w:space="0" w:color="auto"/>
            <w:bottom w:val="none" w:sz="0" w:space="0" w:color="auto"/>
            <w:right w:val="none" w:sz="0" w:space="0" w:color="auto"/>
          </w:divBdr>
          <w:divsChild>
            <w:div w:id="1592859530">
              <w:marLeft w:val="0"/>
              <w:marRight w:val="0"/>
              <w:marTop w:val="0"/>
              <w:marBottom w:val="0"/>
              <w:divBdr>
                <w:top w:val="none" w:sz="0" w:space="0" w:color="auto"/>
                <w:left w:val="none" w:sz="0" w:space="0" w:color="auto"/>
                <w:bottom w:val="none" w:sz="0" w:space="0" w:color="auto"/>
                <w:right w:val="none" w:sz="0" w:space="0" w:color="auto"/>
              </w:divBdr>
              <w:divsChild>
                <w:div w:id="1644459532">
                  <w:marLeft w:val="0"/>
                  <w:marRight w:val="0"/>
                  <w:marTop w:val="0"/>
                  <w:marBottom w:val="0"/>
                  <w:divBdr>
                    <w:top w:val="none" w:sz="0" w:space="0" w:color="auto"/>
                    <w:left w:val="none" w:sz="0" w:space="0" w:color="auto"/>
                    <w:bottom w:val="none" w:sz="0" w:space="0" w:color="auto"/>
                    <w:right w:val="none" w:sz="0" w:space="0" w:color="auto"/>
                  </w:divBdr>
                  <w:divsChild>
                    <w:div w:id="1439981067">
                      <w:marLeft w:val="0"/>
                      <w:marRight w:val="0"/>
                      <w:marTop w:val="0"/>
                      <w:marBottom w:val="0"/>
                      <w:divBdr>
                        <w:top w:val="none" w:sz="0" w:space="0" w:color="auto"/>
                        <w:left w:val="none" w:sz="0" w:space="0" w:color="auto"/>
                        <w:bottom w:val="none" w:sz="0" w:space="0" w:color="auto"/>
                        <w:right w:val="none" w:sz="0" w:space="0" w:color="auto"/>
                      </w:divBdr>
                      <w:divsChild>
                        <w:div w:id="303121141">
                          <w:marLeft w:val="0"/>
                          <w:marRight w:val="0"/>
                          <w:marTop w:val="0"/>
                          <w:marBottom w:val="0"/>
                          <w:divBdr>
                            <w:top w:val="none" w:sz="0" w:space="0" w:color="auto"/>
                            <w:left w:val="none" w:sz="0" w:space="0" w:color="auto"/>
                            <w:bottom w:val="none" w:sz="0" w:space="0" w:color="auto"/>
                            <w:right w:val="none" w:sz="0" w:space="0" w:color="auto"/>
                          </w:divBdr>
                          <w:divsChild>
                            <w:div w:id="436363918">
                              <w:marLeft w:val="0"/>
                              <w:marRight w:val="0"/>
                              <w:marTop w:val="0"/>
                              <w:marBottom w:val="0"/>
                              <w:divBdr>
                                <w:top w:val="none" w:sz="0" w:space="0" w:color="auto"/>
                                <w:left w:val="none" w:sz="0" w:space="0" w:color="auto"/>
                                <w:bottom w:val="none" w:sz="0" w:space="0" w:color="auto"/>
                                <w:right w:val="none" w:sz="0" w:space="0" w:color="auto"/>
                              </w:divBdr>
                              <w:divsChild>
                                <w:div w:id="1940216075">
                                  <w:marLeft w:val="0"/>
                                  <w:marRight w:val="0"/>
                                  <w:marTop w:val="0"/>
                                  <w:marBottom w:val="0"/>
                                  <w:divBdr>
                                    <w:top w:val="none" w:sz="0" w:space="0" w:color="auto"/>
                                    <w:left w:val="none" w:sz="0" w:space="0" w:color="auto"/>
                                    <w:bottom w:val="none" w:sz="0" w:space="0" w:color="auto"/>
                                    <w:right w:val="none" w:sz="0" w:space="0" w:color="auto"/>
                                  </w:divBdr>
                                  <w:divsChild>
                                    <w:div w:id="101075389">
                                      <w:marLeft w:val="0"/>
                                      <w:marRight w:val="0"/>
                                      <w:marTop w:val="0"/>
                                      <w:marBottom w:val="0"/>
                                      <w:divBdr>
                                        <w:top w:val="none" w:sz="0" w:space="0" w:color="auto"/>
                                        <w:left w:val="none" w:sz="0" w:space="0" w:color="auto"/>
                                        <w:bottom w:val="none" w:sz="0" w:space="0" w:color="auto"/>
                                        <w:right w:val="none" w:sz="0" w:space="0" w:color="auto"/>
                                      </w:divBdr>
                                      <w:divsChild>
                                        <w:div w:id="1828129162">
                                          <w:marLeft w:val="0"/>
                                          <w:marRight w:val="0"/>
                                          <w:marTop w:val="0"/>
                                          <w:marBottom w:val="0"/>
                                          <w:divBdr>
                                            <w:top w:val="none" w:sz="0" w:space="0" w:color="auto"/>
                                            <w:left w:val="none" w:sz="0" w:space="0" w:color="auto"/>
                                            <w:bottom w:val="none" w:sz="0" w:space="0" w:color="auto"/>
                                            <w:right w:val="none" w:sz="0" w:space="0" w:color="auto"/>
                                          </w:divBdr>
                                          <w:divsChild>
                                            <w:div w:id="54204390">
                                              <w:marLeft w:val="0"/>
                                              <w:marRight w:val="0"/>
                                              <w:marTop w:val="0"/>
                                              <w:marBottom w:val="0"/>
                                              <w:divBdr>
                                                <w:top w:val="none" w:sz="0" w:space="0" w:color="auto"/>
                                                <w:left w:val="none" w:sz="0" w:space="0" w:color="auto"/>
                                                <w:bottom w:val="none" w:sz="0" w:space="0" w:color="auto"/>
                                                <w:right w:val="none" w:sz="0" w:space="0" w:color="auto"/>
                                              </w:divBdr>
                                              <w:divsChild>
                                                <w:div w:id="542867105">
                                                  <w:marLeft w:val="0"/>
                                                  <w:marRight w:val="0"/>
                                                  <w:marTop w:val="0"/>
                                                  <w:marBottom w:val="0"/>
                                                  <w:divBdr>
                                                    <w:top w:val="none" w:sz="0" w:space="0" w:color="auto"/>
                                                    <w:left w:val="none" w:sz="0" w:space="0" w:color="auto"/>
                                                    <w:bottom w:val="none" w:sz="0" w:space="0" w:color="auto"/>
                                                    <w:right w:val="none" w:sz="0" w:space="0" w:color="auto"/>
                                                  </w:divBdr>
                                                  <w:divsChild>
                                                    <w:div w:id="1669746160">
                                                      <w:marLeft w:val="0"/>
                                                      <w:marRight w:val="0"/>
                                                      <w:marTop w:val="0"/>
                                                      <w:marBottom w:val="0"/>
                                                      <w:divBdr>
                                                        <w:top w:val="none" w:sz="0" w:space="0" w:color="auto"/>
                                                        <w:left w:val="none" w:sz="0" w:space="0" w:color="auto"/>
                                                        <w:bottom w:val="none" w:sz="0" w:space="0" w:color="auto"/>
                                                        <w:right w:val="none" w:sz="0" w:space="0" w:color="auto"/>
                                                      </w:divBdr>
                                                      <w:divsChild>
                                                        <w:div w:id="1013528439">
                                                          <w:marLeft w:val="0"/>
                                                          <w:marRight w:val="0"/>
                                                          <w:marTop w:val="0"/>
                                                          <w:marBottom w:val="0"/>
                                                          <w:divBdr>
                                                            <w:top w:val="none" w:sz="0" w:space="0" w:color="auto"/>
                                                            <w:left w:val="none" w:sz="0" w:space="0" w:color="auto"/>
                                                            <w:bottom w:val="none" w:sz="0" w:space="0" w:color="auto"/>
                                                            <w:right w:val="none" w:sz="0" w:space="0" w:color="auto"/>
                                                          </w:divBdr>
                                                          <w:divsChild>
                                                            <w:div w:id="358241751">
                                                              <w:marLeft w:val="0"/>
                                                              <w:marRight w:val="0"/>
                                                              <w:marTop w:val="0"/>
                                                              <w:marBottom w:val="0"/>
                                                              <w:divBdr>
                                                                <w:top w:val="none" w:sz="0" w:space="0" w:color="auto"/>
                                                                <w:left w:val="none" w:sz="0" w:space="0" w:color="auto"/>
                                                                <w:bottom w:val="none" w:sz="0" w:space="0" w:color="auto"/>
                                                                <w:right w:val="none" w:sz="0" w:space="0" w:color="auto"/>
                                                              </w:divBdr>
                                                              <w:divsChild>
                                                                <w:div w:id="114258739">
                                                                  <w:marLeft w:val="0"/>
                                                                  <w:marRight w:val="0"/>
                                                                  <w:marTop w:val="0"/>
                                                                  <w:marBottom w:val="0"/>
                                                                  <w:divBdr>
                                                                    <w:top w:val="none" w:sz="0" w:space="0" w:color="auto"/>
                                                                    <w:left w:val="none" w:sz="0" w:space="0" w:color="auto"/>
                                                                    <w:bottom w:val="none" w:sz="0" w:space="0" w:color="auto"/>
                                                                    <w:right w:val="none" w:sz="0" w:space="0" w:color="auto"/>
                                                                  </w:divBdr>
                                                                  <w:divsChild>
                                                                    <w:div w:id="155653365">
                                                                      <w:marLeft w:val="0"/>
                                                                      <w:marRight w:val="0"/>
                                                                      <w:marTop w:val="0"/>
                                                                      <w:marBottom w:val="0"/>
                                                                      <w:divBdr>
                                                                        <w:top w:val="none" w:sz="0" w:space="0" w:color="auto"/>
                                                                        <w:left w:val="none" w:sz="0" w:space="0" w:color="auto"/>
                                                                        <w:bottom w:val="none" w:sz="0" w:space="0" w:color="auto"/>
                                                                        <w:right w:val="none" w:sz="0" w:space="0" w:color="auto"/>
                                                                      </w:divBdr>
                                                                      <w:divsChild>
                                                                        <w:div w:id="188033180">
                                                                          <w:marLeft w:val="0"/>
                                                                          <w:marRight w:val="0"/>
                                                                          <w:marTop w:val="0"/>
                                                                          <w:marBottom w:val="0"/>
                                                                          <w:divBdr>
                                                                            <w:top w:val="none" w:sz="0" w:space="0" w:color="auto"/>
                                                                            <w:left w:val="none" w:sz="0" w:space="0" w:color="auto"/>
                                                                            <w:bottom w:val="none" w:sz="0" w:space="0" w:color="auto"/>
                                                                            <w:right w:val="none" w:sz="0" w:space="0" w:color="auto"/>
                                                                          </w:divBdr>
                                                                          <w:divsChild>
                                                                            <w:div w:id="890388034">
                                                                              <w:marLeft w:val="0"/>
                                                                              <w:marRight w:val="0"/>
                                                                              <w:marTop w:val="0"/>
                                                                              <w:marBottom w:val="0"/>
                                                                              <w:divBdr>
                                                                                <w:top w:val="none" w:sz="0" w:space="0" w:color="auto"/>
                                                                                <w:left w:val="none" w:sz="0" w:space="0" w:color="auto"/>
                                                                                <w:bottom w:val="none" w:sz="0" w:space="0" w:color="auto"/>
                                                                                <w:right w:val="none" w:sz="0" w:space="0" w:color="auto"/>
                                                                              </w:divBdr>
                                                                              <w:divsChild>
                                                                                <w:div w:id="146628132">
                                                                                  <w:marLeft w:val="0"/>
                                                                                  <w:marRight w:val="0"/>
                                                                                  <w:marTop w:val="0"/>
                                                                                  <w:marBottom w:val="0"/>
                                                                                  <w:divBdr>
                                                                                    <w:top w:val="none" w:sz="0" w:space="0" w:color="auto"/>
                                                                                    <w:left w:val="none" w:sz="0" w:space="0" w:color="auto"/>
                                                                                    <w:bottom w:val="none" w:sz="0" w:space="0" w:color="auto"/>
                                                                                    <w:right w:val="none" w:sz="0" w:space="0" w:color="auto"/>
                                                                                  </w:divBdr>
                                                                                  <w:divsChild>
                                                                                    <w:div w:id="1272476994">
                                                                                      <w:marLeft w:val="0"/>
                                                                                      <w:marRight w:val="0"/>
                                                                                      <w:marTop w:val="0"/>
                                                                                      <w:marBottom w:val="0"/>
                                                                                      <w:divBdr>
                                                                                        <w:top w:val="none" w:sz="0" w:space="0" w:color="auto"/>
                                                                                        <w:left w:val="none" w:sz="0" w:space="0" w:color="auto"/>
                                                                                        <w:bottom w:val="none" w:sz="0" w:space="0" w:color="auto"/>
                                                                                        <w:right w:val="none" w:sz="0" w:space="0" w:color="auto"/>
                                                                                      </w:divBdr>
                                                                                      <w:divsChild>
                                                                                        <w:div w:id="1402099663">
                                                                                          <w:marLeft w:val="0"/>
                                                                                          <w:marRight w:val="0"/>
                                                                                          <w:marTop w:val="0"/>
                                                                                          <w:marBottom w:val="0"/>
                                                                                          <w:divBdr>
                                                                                            <w:top w:val="none" w:sz="0" w:space="0" w:color="auto"/>
                                                                                            <w:left w:val="none" w:sz="0" w:space="0" w:color="auto"/>
                                                                                            <w:bottom w:val="none" w:sz="0" w:space="0" w:color="auto"/>
                                                                                            <w:right w:val="none" w:sz="0" w:space="0" w:color="auto"/>
                                                                                          </w:divBdr>
                                                                                          <w:divsChild>
                                                                                            <w:div w:id="89011219">
                                                                                              <w:marLeft w:val="0"/>
                                                                                              <w:marRight w:val="0"/>
                                                                                              <w:marTop w:val="0"/>
                                                                                              <w:marBottom w:val="0"/>
                                                                                              <w:divBdr>
                                                                                                <w:top w:val="none" w:sz="0" w:space="0" w:color="auto"/>
                                                                                                <w:left w:val="none" w:sz="0" w:space="0" w:color="auto"/>
                                                                                                <w:bottom w:val="none" w:sz="0" w:space="0" w:color="auto"/>
                                                                                                <w:right w:val="none" w:sz="0" w:space="0" w:color="auto"/>
                                                                                              </w:divBdr>
                                                                                              <w:divsChild>
                                                                                                <w:div w:id="151222010">
                                                                                                  <w:marLeft w:val="0"/>
                                                                                                  <w:marRight w:val="0"/>
                                                                                                  <w:marTop w:val="0"/>
                                                                                                  <w:marBottom w:val="0"/>
                                                                                                  <w:divBdr>
                                                                                                    <w:top w:val="none" w:sz="0" w:space="0" w:color="auto"/>
                                                                                                    <w:left w:val="none" w:sz="0" w:space="0" w:color="auto"/>
                                                                                                    <w:bottom w:val="none" w:sz="0" w:space="0" w:color="auto"/>
                                                                                                    <w:right w:val="none" w:sz="0" w:space="0" w:color="auto"/>
                                                                                                  </w:divBdr>
                                                                                                  <w:divsChild>
                                                                                                    <w:div w:id="1357345747">
                                                                                                      <w:marLeft w:val="0"/>
                                                                                                      <w:marRight w:val="0"/>
                                                                                                      <w:marTop w:val="0"/>
                                                                                                      <w:marBottom w:val="0"/>
                                                                                                      <w:divBdr>
                                                                                                        <w:top w:val="none" w:sz="0" w:space="0" w:color="auto"/>
                                                                                                        <w:left w:val="none" w:sz="0" w:space="0" w:color="auto"/>
                                                                                                        <w:bottom w:val="none" w:sz="0" w:space="0" w:color="auto"/>
                                                                                                        <w:right w:val="none" w:sz="0" w:space="0" w:color="auto"/>
                                                                                                      </w:divBdr>
                                                                                                      <w:divsChild>
                                                                                                        <w:div w:id="869073512">
                                                                                                          <w:marLeft w:val="0"/>
                                                                                                          <w:marRight w:val="0"/>
                                                                                                          <w:marTop w:val="0"/>
                                                                                                          <w:marBottom w:val="0"/>
                                                                                                          <w:divBdr>
                                                                                                            <w:top w:val="none" w:sz="0" w:space="0" w:color="auto"/>
                                                                                                            <w:left w:val="none" w:sz="0" w:space="0" w:color="auto"/>
                                                                                                            <w:bottom w:val="none" w:sz="0" w:space="0" w:color="auto"/>
                                                                                                            <w:right w:val="none" w:sz="0" w:space="0" w:color="auto"/>
                                                                                                          </w:divBdr>
                                                                                                          <w:divsChild>
                                                                                                            <w:div w:id="1393308370">
                                                                                                              <w:marLeft w:val="0"/>
                                                                                                              <w:marRight w:val="0"/>
                                                                                                              <w:marTop w:val="0"/>
                                                                                                              <w:marBottom w:val="0"/>
                                                                                                              <w:divBdr>
                                                                                                                <w:top w:val="none" w:sz="0" w:space="0" w:color="auto"/>
                                                                                                                <w:left w:val="none" w:sz="0" w:space="0" w:color="auto"/>
                                                                                                                <w:bottom w:val="none" w:sz="0" w:space="0" w:color="auto"/>
                                                                                                                <w:right w:val="none" w:sz="0" w:space="0" w:color="auto"/>
                                                                                                              </w:divBdr>
                                                                                                              <w:divsChild>
                                                                                                                <w:div w:id="202140682">
                                                                                                                  <w:marLeft w:val="0"/>
                                                                                                                  <w:marRight w:val="0"/>
                                                                                                                  <w:marTop w:val="0"/>
                                                                                                                  <w:marBottom w:val="0"/>
                                                                                                                  <w:divBdr>
                                                                                                                    <w:top w:val="none" w:sz="0" w:space="0" w:color="auto"/>
                                                                                                                    <w:left w:val="none" w:sz="0" w:space="0" w:color="auto"/>
                                                                                                                    <w:bottom w:val="none" w:sz="0" w:space="0" w:color="auto"/>
                                                                                                                    <w:right w:val="none" w:sz="0" w:space="0" w:color="auto"/>
                                                                                                                  </w:divBdr>
                                                                                                                  <w:divsChild>
                                                                                                                    <w:div w:id="180945850">
                                                                                                                      <w:marLeft w:val="0"/>
                                                                                                                      <w:marRight w:val="0"/>
                                                                                                                      <w:marTop w:val="0"/>
                                                                                                                      <w:marBottom w:val="0"/>
                                                                                                                      <w:divBdr>
                                                                                                                        <w:top w:val="none" w:sz="0" w:space="0" w:color="auto"/>
                                                                                                                        <w:left w:val="none" w:sz="0" w:space="0" w:color="auto"/>
                                                                                                                        <w:bottom w:val="none" w:sz="0" w:space="0" w:color="auto"/>
                                                                                                                        <w:right w:val="none" w:sz="0" w:space="0" w:color="auto"/>
                                                                                                                      </w:divBdr>
                                                                                                                    </w:div>
                                                                                                                    <w:div w:id="224071786">
                                                                                                                      <w:marLeft w:val="0"/>
                                                                                                                      <w:marRight w:val="0"/>
                                                                                                                      <w:marTop w:val="0"/>
                                                                                                                      <w:marBottom w:val="0"/>
                                                                                                                      <w:divBdr>
                                                                                                                        <w:top w:val="none" w:sz="0" w:space="0" w:color="auto"/>
                                                                                                                        <w:left w:val="none" w:sz="0" w:space="0" w:color="auto"/>
                                                                                                                        <w:bottom w:val="none" w:sz="0" w:space="0" w:color="auto"/>
                                                                                                                        <w:right w:val="none" w:sz="0" w:space="0" w:color="auto"/>
                                                                                                                      </w:divBdr>
                                                                                                                      <w:divsChild>
                                                                                                                        <w:div w:id="1401711950">
                                                                                                                          <w:marLeft w:val="0"/>
                                                                                                                          <w:marRight w:val="0"/>
                                                                                                                          <w:marTop w:val="0"/>
                                                                                                                          <w:marBottom w:val="0"/>
                                                                                                                          <w:divBdr>
                                                                                                                            <w:top w:val="none" w:sz="0" w:space="0" w:color="auto"/>
                                                                                                                            <w:left w:val="none" w:sz="0" w:space="0" w:color="auto"/>
                                                                                                                            <w:bottom w:val="none" w:sz="0" w:space="0" w:color="auto"/>
                                                                                                                            <w:right w:val="none" w:sz="0" w:space="0" w:color="auto"/>
                                                                                                                          </w:divBdr>
                                                                                                                        </w:div>
                                                                                                                        <w:div w:id="1772312886">
                                                                                                                          <w:marLeft w:val="0"/>
                                                                                                                          <w:marRight w:val="0"/>
                                                                                                                          <w:marTop w:val="0"/>
                                                                                                                          <w:marBottom w:val="0"/>
                                                                                                                          <w:divBdr>
                                                                                                                            <w:top w:val="none" w:sz="0" w:space="0" w:color="auto"/>
                                                                                                                            <w:left w:val="none" w:sz="0" w:space="0" w:color="auto"/>
                                                                                                                            <w:bottom w:val="none" w:sz="0" w:space="0" w:color="auto"/>
                                                                                                                            <w:right w:val="none" w:sz="0" w:space="0" w:color="auto"/>
                                                                                                                          </w:divBdr>
                                                                                                                        </w:div>
                                                                                                                      </w:divsChild>
                                                                                                                    </w:div>
                                                                                                                    <w:div w:id="11725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176949">
                              <w:marLeft w:val="0"/>
                              <w:marRight w:val="0"/>
                              <w:marTop w:val="0"/>
                              <w:marBottom w:val="0"/>
                              <w:divBdr>
                                <w:top w:val="none" w:sz="0" w:space="0" w:color="auto"/>
                                <w:left w:val="none" w:sz="0" w:space="0" w:color="auto"/>
                                <w:bottom w:val="none" w:sz="0" w:space="0" w:color="auto"/>
                                <w:right w:val="none" w:sz="0" w:space="0" w:color="auto"/>
                              </w:divBdr>
                              <w:divsChild>
                                <w:div w:id="1469393715">
                                  <w:marLeft w:val="0"/>
                                  <w:marRight w:val="0"/>
                                  <w:marTop w:val="0"/>
                                  <w:marBottom w:val="0"/>
                                  <w:divBdr>
                                    <w:top w:val="none" w:sz="0" w:space="0" w:color="auto"/>
                                    <w:left w:val="none" w:sz="0" w:space="0" w:color="auto"/>
                                    <w:bottom w:val="none" w:sz="0" w:space="0" w:color="auto"/>
                                    <w:right w:val="none" w:sz="0" w:space="0" w:color="auto"/>
                                  </w:divBdr>
                                  <w:divsChild>
                                    <w:div w:id="498427363">
                                      <w:marLeft w:val="0"/>
                                      <w:marRight w:val="0"/>
                                      <w:marTop w:val="0"/>
                                      <w:marBottom w:val="0"/>
                                      <w:divBdr>
                                        <w:top w:val="none" w:sz="0" w:space="0" w:color="auto"/>
                                        <w:left w:val="none" w:sz="0" w:space="0" w:color="auto"/>
                                        <w:bottom w:val="none" w:sz="0" w:space="0" w:color="auto"/>
                                        <w:right w:val="none" w:sz="0" w:space="0" w:color="auto"/>
                                      </w:divBdr>
                                      <w:divsChild>
                                        <w:div w:id="10165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410430">
      <w:bodyDiv w:val="1"/>
      <w:marLeft w:val="0"/>
      <w:marRight w:val="0"/>
      <w:marTop w:val="0"/>
      <w:marBottom w:val="0"/>
      <w:divBdr>
        <w:top w:val="none" w:sz="0" w:space="0" w:color="auto"/>
        <w:left w:val="none" w:sz="0" w:space="0" w:color="auto"/>
        <w:bottom w:val="none" w:sz="0" w:space="0" w:color="auto"/>
        <w:right w:val="none" w:sz="0" w:space="0" w:color="auto"/>
      </w:divBdr>
    </w:div>
    <w:div w:id="1859855346">
      <w:bodyDiv w:val="1"/>
      <w:marLeft w:val="0"/>
      <w:marRight w:val="0"/>
      <w:marTop w:val="0"/>
      <w:marBottom w:val="0"/>
      <w:divBdr>
        <w:top w:val="none" w:sz="0" w:space="0" w:color="auto"/>
        <w:left w:val="none" w:sz="0" w:space="0" w:color="auto"/>
        <w:bottom w:val="none" w:sz="0" w:space="0" w:color="auto"/>
        <w:right w:val="none" w:sz="0" w:space="0" w:color="auto"/>
      </w:divBdr>
    </w:div>
    <w:div w:id="1862206309">
      <w:bodyDiv w:val="1"/>
      <w:marLeft w:val="0"/>
      <w:marRight w:val="0"/>
      <w:marTop w:val="0"/>
      <w:marBottom w:val="0"/>
      <w:divBdr>
        <w:top w:val="none" w:sz="0" w:space="0" w:color="auto"/>
        <w:left w:val="none" w:sz="0" w:space="0" w:color="auto"/>
        <w:bottom w:val="none" w:sz="0" w:space="0" w:color="auto"/>
        <w:right w:val="none" w:sz="0" w:space="0" w:color="auto"/>
      </w:divBdr>
    </w:div>
    <w:div w:id="2114469184">
      <w:bodyDiv w:val="1"/>
      <w:marLeft w:val="0"/>
      <w:marRight w:val="0"/>
      <w:marTop w:val="0"/>
      <w:marBottom w:val="0"/>
      <w:divBdr>
        <w:top w:val="none" w:sz="0" w:space="0" w:color="auto"/>
        <w:left w:val="none" w:sz="0" w:space="0" w:color="auto"/>
        <w:bottom w:val="none" w:sz="0" w:space="0" w:color="auto"/>
        <w:right w:val="none" w:sz="0" w:space="0" w:color="auto"/>
      </w:divBdr>
      <w:divsChild>
        <w:div w:id="1736391597">
          <w:marLeft w:val="0"/>
          <w:marRight w:val="0"/>
          <w:marTop w:val="0"/>
          <w:marBottom w:val="0"/>
          <w:divBdr>
            <w:top w:val="none" w:sz="0" w:space="0" w:color="auto"/>
            <w:left w:val="none" w:sz="0" w:space="0" w:color="auto"/>
            <w:bottom w:val="none" w:sz="0" w:space="0" w:color="auto"/>
            <w:right w:val="none" w:sz="0" w:space="0" w:color="auto"/>
          </w:divBdr>
          <w:divsChild>
            <w:div w:id="18583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8873C60-F765-4098-870F-BFDD508F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4093</Words>
  <Characters>23332</Characters>
  <Application>Microsoft Office Word</Application>
  <DocSecurity>0</DocSecurity>
  <Lines>194</Lines>
  <Paragraphs>54</Paragraphs>
  <ScaleCrop>false</ScaleCrop>
  <HeadingPairs>
    <vt:vector size="4" baseType="variant">
      <vt:variant>
        <vt:lpstr>Titel</vt:lpstr>
      </vt:variant>
      <vt:variant>
        <vt:i4>1</vt:i4>
      </vt:variant>
      <vt:variant>
        <vt:lpstr>Überschriften</vt:lpstr>
      </vt:variant>
      <vt:variant>
        <vt:i4>16</vt:i4>
      </vt:variant>
    </vt:vector>
  </HeadingPairs>
  <TitlesOfParts>
    <vt:vector size="17" baseType="lpstr">
      <vt:lpstr/>
      <vt:lpstr>Abstract</vt:lpstr>
      <vt:lpstr>Background</vt:lpstr>
      <vt:lpstr>Methods</vt:lpstr>
      <vt:lpstr>    Selection of markers for genotyping</vt:lpstr>
      <vt:lpstr>    Genotyping</vt:lpstr>
      <vt:lpstr>    Determination of the genotype by NGS </vt:lpstr>
      <vt:lpstr>    Phenotyping</vt:lpstr>
      <vt:lpstr>    Statistical testing for genetic relative risk</vt:lpstr>
      <vt:lpstr>    Statistical testing for gene-environment interaction</vt:lpstr>
      <vt:lpstr>Results</vt:lpstr>
      <vt:lpstr>    Description of the case series</vt:lpstr>
      <vt:lpstr>    G model: genetic relative risk</vt:lpstr>
      <vt:lpstr>    RR: genetic relative risk per rare allele</vt:lpstr>
      <vt:lpstr>    GxE model: interaction for radon exposure [in WLM]</vt:lpstr>
      <vt:lpstr>    GxE model: interaction for other exposures</vt:lpstr>
      <vt:lpstr>Discussion</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Rosenberger</dc:creator>
  <cp:keywords/>
  <dc:description/>
  <cp:lastModifiedBy>Albert Rosenberger</cp:lastModifiedBy>
  <cp:revision>4</cp:revision>
  <cp:lastPrinted>2026-07-14T13:00:00Z</cp:lastPrinted>
  <dcterms:created xsi:type="dcterms:W3CDTF">2026-07-16T14:06:00Z</dcterms:created>
  <dcterms:modified xsi:type="dcterms:W3CDTF">2026-07-16T14:09:00Z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id="GsRE8CZt"/&gt;&lt;style id="http://www.zotero.org/styles/nlm-citation-sequence" locale="de-DE" hasBibliography="1" bibliographyStyleHasBeenSet="1"/&gt;&lt;prefs&gt;&lt;pref name="fieldType" value="Field"/&gt;&lt;/prefs&gt;&lt;</vt:lpwstr>
  </property>
  <property fmtid="{D5CDD505-2E9C-101B-9397-08002B2CF9AE}" pid="3" name="ZOTERO_PREF_2">
    <vt:lpwstr>/data&gt;</vt:lpwstr>
  </property>
  <property fmtid="{D5CDD505-2E9C-101B-9397-08002B2CF9AE}" pid="4" name="MSIP_Label_7545839c-a198-4d87-a0d2-c07b8aa32614_Enabled">
    <vt:lpwstr>true</vt:lpwstr>
  </property>
  <property fmtid="{D5CDD505-2E9C-101B-9397-08002B2CF9AE}" pid="5" name="MSIP_Label_7545839c-a198-4d87-a0d2-c07b8aa32614_SetDate">
    <vt:lpwstr>2026-05-13T13:50:21Z</vt:lpwstr>
  </property>
  <property fmtid="{D5CDD505-2E9C-101B-9397-08002B2CF9AE}" pid="6" name="MSIP_Label_7545839c-a198-4d87-a0d2-c07b8aa32614_Method">
    <vt:lpwstr>Standard</vt:lpwstr>
  </property>
  <property fmtid="{D5CDD505-2E9C-101B-9397-08002B2CF9AE}" pid="7" name="MSIP_Label_7545839c-a198-4d87-a0d2-c07b8aa32614_Name">
    <vt:lpwstr>Öffentlich</vt:lpwstr>
  </property>
  <property fmtid="{D5CDD505-2E9C-101B-9397-08002B2CF9AE}" pid="8" name="MSIP_Label_7545839c-a198-4d87-a0d2-c07b8aa32614_SiteId">
    <vt:lpwstr>f3987bed-0f17-4307-a6bb-a2ae861736b7</vt:lpwstr>
  </property>
  <property fmtid="{D5CDD505-2E9C-101B-9397-08002B2CF9AE}" pid="9" name="MSIP_Label_7545839c-a198-4d87-a0d2-c07b8aa32614_ActionId">
    <vt:lpwstr>ed0bb1b2-2b39-4649-9c68-0d46e5decced</vt:lpwstr>
  </property>
  <property fmtid="{D5CDD505-2E9C-101B-9397-08002B2CF9AE}" pid="10" name="MSIP_Label_7545839c-a198-4d87-a0d2-c07b8aa32614_ContentBits">
    <vt:lpwstr>0</vt:lpwstr>
  </property>
  <property fmtid="{D5CDD505-2E9C-101B-9397-08002B2CF9AE}" pid="11" name="MSIP_Label_7545839c-a198-4d87-a0d2-c07b8aa32614_Tag">
    <vt:lpwstr>10, 3, 0, 1</vt:lpwstr>
  </property>
</Properties>
</file>