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C303D" w14:textId="77777777" w:rsidR="00492C64" w:rsidRDefault="00492C64" w:rsidP="00492C64">
      <w:pPr>
        <w:spacing w:after="120" w:line="276" w:lineRule="auto"/>
        <w:jc w:val="both"/>
      </w:pPr>
      <w:r>
        <w:rPr>
          <w:b/>
          <w:bCs/>
        </w:rPr>
        <w:t xml:space="preserve">Additional file 2 — Table S1. </w:t>
      </w:r>
      <w:r>
        <w:t>Baseline characteristics of the indeterminate categories excluded from the frailty gradient (longitudinal cohort).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2"/>
        <w:gridCol w:w="1289"/>
        <w:gridCol w:w="1632"/>
        <w:gridCol w:w="1460"/>
        <w:gridCol w:w="1289"/>
        <w:gridCol w:w="1288"/>
      </w:tblGrid>
      <w:tr w:rsidR="00492C64" w14:paraId="4EC98F9C" w14:textId="77777777" w:rsidTr="00A1769D">
        <w:tblPrEx>
          <w:tblCellMar>
            <w:top w:w="0" w:type="dxa"/>
            <w:bottom w:w="0" w:type="dxa"/>
          </w:tblCellMar>
        </w:tblPrEx>
        <w:tc>
          <w:tcPr>
            <w:tcW w:w="2062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3357BE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Category</w:t>
            </w:r>
          </w:p>
        </w:tc>
        <w:tc>
          <w:tcPr>
            <w:tcW w:w="1289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BA0E15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N (%)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ᵃ</w:t>
            </w:r>
          </w:p>
        </w:tc>
        <w:tc>
          <w:tcPr>
            <w:tcW w:w="1632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BB116D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Age, median (IQR)</w:t>
            </w:r>
          </w:p>
        </w:tc>
        <w:tc>
          <w:tcPr>
            <w:tcW w:w="1460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8353F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Women, n (%)</w:t>
            </w:r>
          </w:p>
        </w:tc>
        <w:tc>
          <w:tcPr>
            <w:tcW w:w="1289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3FA9FF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Deaths, n (%)</w:t>
            </w:r>
          </w:p>
        </w:tc>
        <w:tc>
          <w:tcPr>
            <w:tcW w:w="1288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697C12" w14:textId="77777777" w:rsidR="00492C64" w:rsidRDefault="00492C64" w:rsidP="00A1769D">
            <w:r>
              <w:rPr>
                <w:b/>
                <w:bCs/>
                <w:sz w:val="17"/>
                <w:szCs w:val="17"/>
              </w:rPr>
              <w:t>≥1 hosp., n (%)</w:t>
            </w:r>
          </w:p>
        </w:tc>
      </w:tr>
      <w:tr w:rsidR="00492C64" w14:paraId="738D60A5" w14:textId="77777777" w:rsidTr="00A1769D">
        <w:tblPrEx>
          <w:tblCellMar>
            <w:top w:w="0" w:type="dxa"/>
            <w:bottom w:w="0" w:type="dxa"/>
          </w:tblCellMar>
        </w:tblPrEx>
        <w:tc>
          <w:tcPr>
            <w:tcW w:w="206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97420B" w14:textId="77777777" w:rsidR="00492C64" w:rsidRDefault="00492C64" w:rsidP="00A1769D">
            <w:r>
              <w:rPr>
                <w:sz w:val="17"/>
                <w:szCs w:val="17"/>
              </w:rPr>
              <w:t>Class D (screen-positive, ungraded)</w:t>
            </w:r>
          </w:p>
        </w:tc>
        <w:tc>
          <w:tcPr>
            <w:tcW w:w="12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CD68D4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494 (4.0)</w:t>
            </w:r>
          </w:p>
        </w:tc>
        <w:tc>
          <w:tcPr>
            <w:tcW w:w="163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3B55C6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85 (80–88)</w:t>
            </w:r>
          </w:p>
        </w:tc>
        <w:tc>
          <w:tcPr>
            <w:tcW w:w="14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564EB7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239 (48.4)</w:t>
            </w:r>
          </w:p>
        </w:tc>
        <w:tc>
          <w:tcPr>
            <w:tcW w:w="12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16AEC0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26 (5.3)</w:t>
            </w:r>
          </w:p>
        </w:tc>
        <w:tc>
          <w:tcPr>
            <w:tcW w:w="128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3AF31C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28 (5.7)</w:t>
            </w:r>
          </w:p>
        </w:tc>
      </w:tr>
      <w:tr w:rsidR="00492C64" w14:paraId="4ACAD9A8" w14:textId="77777777" w:rsidTr="00A1769D">
        <w:tblPrEx>
          <w:tblCellMar>
            <w:top w:w="0" w:type="dxa"/>
            <w:bottom w:w="0" w:type="dxa"/>
          </w:tblCellMar>
        </w:tblPrEx>
        <w:tc>
          <w:tcPr>
            <w:tcW w:w="206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C1943A" w14:textId="77777777" w:rsidR="00492C64" w:rsidRDefault="00492C64" w:rsidP="00A1769D">
            <w:r>
              <w:rPr>
                <w:sz w:val="17"/>
                <w:szCs w:val="17"/>
              </w:rPr>
              <w:t>Unclassifiable (no baseline PRISMA-7)</w:t>
            </w:r>
          </w:p>
        </w:tc>
        <w:tc>
          <w:tcPr>
            <w:tcW w:w="12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603954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483 (3.9)</w:t>
            </w:r>
          </w:p>
        </w:tc>
        <w:tc>
          <w:tcPr>
            <w:tcW w:w="1632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84378F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81 (78–85)</w:t>
            </w:r>
          </w:p>
        </w:tc>
        <w:tc>
          <w:tcPr>
            <w:tcW w:w="146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54664E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257 (60.2)</w:t>
            </w:r>
          </w:p>
        </w:tc>
        <w:tc>
          <w:tcPr>
            <w:tcW w:w="128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E593C1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19 (3.9)</w:t>
            </w:r>
          </w:p>
        </w:tc>
        <w:tc>
          <w:tcPr>
            <w:tcW w:w="128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622FA6" w14:textId="77777777" w:rsidR="00492C64" w:rsidRDefault="00492C64" w:rsidP="00A1769D">
            <w:pPr>
              <w:jc w:val="center"/>
            </w:pPr>
            <w:r>
              <w:rPr>
                <w:sz w:val="17"/>
                <w:szCs w:val="17"/>
              </w:rPr>
              <w:t>24 (5.0)</w:t>
            </w:r>
          </w:p>
        </w:tc>
      </w:tr>
    </w:tbl>
    <w:p w14:paraId="630CE084" w14:textId="77777777" w:rsidR="00492C64" w:rsidRDefault="00492C64" w:rsidP="00492C64">
      <w:pPr>
        <w:spacing w:after="120" w:line="276" w:lineRule="auto"/>
        <w:jc w:val="both"/>
      </w:pPr>
      <w:r>
        <w:rPr>
          <w:rFonts w:ascii="Arial" w:hAnsi="Arial" w:cs="Arial"/>
          <w:i/>
          <w:iCs/>
        </w:rPr>
        <w:t>ᵃ</w:t>
      </w:r>
      <w:r>
        <w:rPr>
          <w:i/>
          <w:iCs/>
        </w:rPr>
        <w:t xml:space="preserve"> Percentage of the whole longitudinal cohort (N=12,340). Class D patients were screen-positive (PRISMA-7 ≥3) but lacked a baseline CFS grade; unclassifiable patients had no </w:t>
      </w:r>
      <w:proofErr w:type="spellStart"/>
      <w:r>
        <w:rPr>
          <w:i/>
          <w:iCs/>
        </w:rPr>
        <w:t>reconstructable</w:t>
      </w:r>
      <w:proofErr w:type="spellEnd"/>
      <w:r>
        <w:rPr>
          <w:i/>
          <w:iCs/>
        </w:rPr>
        <w:t xml:space="preserve"> baseline PRISMA-7. Both denote missing baseline information rather than a frailty severity level and were excluded from the inferential class comparisons and the survival models, which were confined to Classes A–C.</w:t>
      </w:r>
    </w:p>
    <w:p w14:paraId="363B903A" w14:textId="77777777" w:rsidR="004A29BB" w:rsidRDefault="004A29BB"/>
    <w:sectPr w:rsidR="004A2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64"/>
    <w:rsid w:val="00492C64"/>
    <w:rsid w:val="004A29BB"/>
    <w:rsid w:val="006F7D28"/>
    <w:rsid w:val="00E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1703A0"/>
  <w15:chartTrackingRefBased/>
  <w15:docId w15:val="{4B62A979-2ED2-3743-9C9C-5B531A1C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92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2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2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2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2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2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2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2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2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2C6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2C6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2C6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2C6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2C64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2C6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2C64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2C6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2C64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492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2C6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2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2C6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492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2C64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492C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2C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2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2C64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492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Wiedermann</dc:creator>
  <cp:keywords/>
  <dc:description/>
  <cp:lastModifiedBy>Christian Wiedermann</cp:lastModifiedBy>
  <cp:revision>1</cp:revision>
  <dcterms:created xsi:type="dcterms:W3CDTF">2026-07-19T10:17:00Z</dcterms:created>
  <dcterms:modified xsi:type="dcterms:W3CDTF">2026-07-19T10:18:00Z</dcterms:modified>
</cp:coreProperties>
</file>