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DF55" w14:textId="77777777" w:rsidR="007C0283" w:rsidRDefault="007C0283" w:rsidP="007C0283">
      <w:pPr>
        <w:widowControl/>
        <w:jc w:val="center"/>
        <w:rPr>
          <w:rFonts w:ascii="Times New Roman" w:eastAsia="仿宋_GB2312" w:hAnsi="Times New Roman" w:cs="Times New Roman"/>
          <w:b/>
          <w:bCs/>
          <w:sz w:val="28"/>
          <w:szCs w:val="28"/>
        </w:rPr>
      </w:pPr>
    </w:p>
    <w:p w14:paraId="508486FC" w14:textId="77777777" w:rsidR="007C0283" w:rsidRDefault="007C0283" w:rsidP="007C0283">
      <w:pPr>
        <w:widowControl/>
        <w:jc w:val="center"/>
        <w:rPr>
          <w:rFonts w:ascii="Times New Roman" w:eastAsia="仿宋_GB2312" w:hAnsi="Times New Roman" w:cs="Times New Roman"/>
          <w:b/>
          <w:bCs/>
          <w:sz w:val="28"/>
          <w:szCs w:val="28"/>
        </w:rPr>
      </w:pPr>
    </w:p>
    <w:p w14:paraId="073B59DA" w14:textId="77777777" w:rsidR="007C0283" w:rsidRDefault="007C0283" w:rsidP="007C0283">
      <w:pPr>
        <w:widowControl/>
        <w:jc w:val="center"/>
        <w:rPr>
          <w:rFonts w:ascii="Times New Roman" w:eastAsia="仿宋_GB2312" w:hAnsi="Times New Roman" w:cs="Times New Roman"/>
          <w:b/>
          <w:bCs/>
          <w:sz w:val="28"/>
          <w:szCs w:val="28"/>
        </w:rPr>
      </w:pPr>
    </w:p>
    <w:p w14:paraId="0AF2ADAE" w14:textId="77777777" w:rsidR="007C0283" w:rsidRDefault="007C0283" w:rsidP="007C0283">
      <w:pPr>
        <w:widowControl/>
        <w:jc w:val="center"/>
        <w:rPr>
          <w:rFonts w:ascii="Times New Roman" w:eastAsia="仿宋_GB2312" w:hAnsi="Times New Roman" w:cs="Times New Roman"/>
          <w:b/>
          <w:bCs/>
          <w:sz w:val="28"/>
          <w:szCs w:val="28"/>
        </w:rPr>
      </w:pPr>
    </w:p>
    <w:p w14:paraId="1AFDA981" w14:textId="77777777" w:rsidR="007C0283" w:rsidRDefault="007C0283" w:rsidP="007C0283">
      <w:pPr>
        <w:widowControl/>
        <w:jc w:val="center"/>
        <w:rPr>
          <w:rFonts w:ascii="Times New Roman" w:eastAsia="仿宋_GB2312" w:hAnsi="Times New Roman" w:cs="Times New Roman"/>
          <w:b/>
          <w:bCs/>
          <w:sz w:val="28"/>
          <w:szCs w:val="28"/>
        </w:rPr>
      </w:pPr>
    </w:p>
    <w:p w14:paraId="105C83AC" w14:textId="77777777" w:rsidR="007C0283" w:rsidRDefault="007C0283" w:rsidP="007C0283">
      <w:pPr>
        <w:widowControl/>
        <w:jc w:val="center"/>
        <w:rPr>
          <w:rFonts w:ascii="Times New Roman" w:eastAsia="仿宋_GB2312" w:hAnsi="Times New Roman" w:cs="Times New Roman"/>
          <w:b/>
          <w:bCs/>
          <w:sz w:val="28"/>
          <w:szCs w:val="28"/>
        </w:rPr>
      </w:pPr>
      <w:r w:rsidRPr="000B1278">
        <w:rPr>
          <w:rFonts w:ascii="Times New Roman" w:eastAsia="仿宋_GB2312" w:hAnsi="Times New Roman" w:cs="Times New Roman" w:hint="eastAsia"/>
          <w:b/>
          <w:bCs/>
          <w:sz w:val="28"/>
          <w:szCs w:val="28"/>
        </w:rPr>
        <w:t>Supplementary Materials</w:t>
      </w:r>
    </w:p>
    <w:p w14:paraId="48340DBD" w14:textId="77777777" w:rsidR="007C0283" w:rsidRDefault="007C0283" w:rsidP="007C0283">
      <w:pPr>
        <w:widowControl/>
        <w:jc w:val="left"/>
        <w:rPr>
          <w:rFonts w:ascii="Times New Roman" w:hAnsi="Times New Roman" w:cs="Times New Roman"/>
          <w:b/>
          <w:bCs/>
          <w:sz w:val="28"/>
          <w:szCs w:val="28"/>
          <w:lang w:val="en-GB"/>
        </w:rPr>
      </w:pPr>
      <w:r>
        <w:rPr>
          <w:rFonts w:ascii="Times New Roman" w:hAnsi="Times New Roman" w:cs="Times New Roman"/>
          <w:b/>
          <w:bCs/>
          <w:sz w:val="28"/>
          <w:szCs w:val="28"/>
          <w:lang w:val="en-GB"/>
        </w:rPr>
        <w:br w:type="page"/>
      </w:r>
    </w:p>
    <w:p w14:paraId="0FFFE49A" w14:textId="77777777" w:rsidR="007C0283" w:rsidRPr="0006256E" w:rsidRDefault="007C0283" w:rsidP="007C0283">
      <w:pPr>
        <w:pBdr>
          <w:bottom w:val="single" w:sz="6" w:space="1" w:color="auto"/>
        </w:pBdr>
        <w:adjustRightInd w:val="0"/>
        <w:snapToGrid w:val="0"/>
        <w:spacing w:before="240"/>
        <w:outlineLvl w:val="0"/>
        <w:rPr>
          <w:rFonts w:ascii="Times New Roman" w:hAnsi="Times New Roman" w:cs="Times New Roman"/>
          <w:b/>
          <w:bCs/>
          <w:sz w:val="28"/>
          <w:szCs w:val="28"/>
          <w:lang w:val="en-GB"/>
        </w:rPr>
      </w:pPr>
      <w:r w:rsidRPr="0006256E">
        <w:rPr>
          <w:rFonts w:ascii="Times New Roman" w:hAnsi="Times New Roman" w:cs="Times New Roman"/>
          <w:b/>
          <w:bCs/>
          <w:sz w:val="28"/>
          <w:szCs w:val="28"/>
          <w:lang w:val="en-GB"/>
        </w:rPr>
        <w:lastRenderedPageBreak/>
        <w:t>Appendix 1 Supplementary information for methods and data</w:t>
      </w:r>
    </w:p>
    <w:p w14:paraId="66F1B2B9" w14:textId="77777777" w:rsidR="007C0283" w:rsidRPr="0006256E" w:rsidRDefault="007C0283" w:rsidP="007C0283">
      <w:pPr>
        <w:adjustRightInd w:val="0"/>
        <w:snapToGrid w:val="0"/>
        <w:spacing w:beforeLines="50" w:before="156"/>
        <w:jc w:val="center"/>
        <w:rPr>
          <w:rFonts w:ascii="Times New Roman" w:eastAsia="黑体" w:hAnsi="Times New Roman" w:cs="Times New Roman"/>
          <w:b/>
          <w:bCs/>
          <w:szCs w:val="21"/>
        </w:rPr>
      </w:pPr>
      <w:r w:rsidRPr="0006256E">
        <w:rPr>
          <w:rFonts w:ascii="Times New Roman" w:hAnsi="Times New Roman" w:cs="Times New Roman"/>
          <w:b/>
          <w:bCs/>
          <w:sz w:val="28"/>
          <w:szCs w:val="28"/>
          <w:lang w:val="en-GB"/>
        </w:rPr>
        <w:tab/>
      </w:r>
      <w:r w:rsidRPr="0006256E">
        <w:rPr>
          <w:rFonts w:ascii="Times New Roman" w:eastAsia="黑体" w:hAnsi="Times New Roman" w:cs="Times New Roman"/>
          <w:b/>
          <w:bCs/>
          <w:szCs w:val="21"/>
        </w:rPr>
        <w:t>Supplementary Table 1 Data source and indicator preprocessing</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302"/>
        <w:gridCol w:w="492"/>
        <w:gridCol w:w="3808"/>
        <w:gridCol w:w="3014"/>
        <w:gridCol w:w="4536"/>
      </w:tblGrid>
      <w:tr w:rsidR="007C0283" w:rsidRPr="006757BF" w14:paraId="0CC3545B" w14:textId="77777777" w:rsidTr="00053CB3">
        <w:trPr>
          <w:trHeight w:val="20"/>
          <w:jc w:val="center"/>
        </w:trPr>
        <w:tc>
          <w:tcPr>
            <w:tcW w:w="1302" w:type="dxa"/>
            <w:vAlign w:val="center"/>
            <w:hideMark/>
          </w:tcPr>
          <w:p w14:paraId="616247AF" w14:textId="77777777" w:rsidR="007C0283" w:rsidRPr="006757BF" w:rsidRDefault="007C0283" w:rsidP="00053CB3">
            <w:pPr>
              <w:adjustRightInd w:val="0"/>
              <w:snapToGrid w:val="0"/>
              <w:jc w:val="center"/>
              <w:rPr>
                <w:rFonts w:ascii="Times New Roman" w:eastAsia="等线" w:hAnsi="Times New Roman" w:cs="Times New Roman"/>
                <w:b/>
                <w:bCs/>
                <w:color w:val="000000"/>
                <w:sz w:val="18"/>
                <w:szCs w:val="18"/>
              </w:rPr>
            </w:pPr>
            <w:r w:rsidRPr="006757BF">
              <w:rPr>
                <w:rFonts w:ascii="Times New Roman" w:hAnsi="Times New Roman" w:cs="Times New Roman"/>
                <w:b/>
                <w:bCs/>
                <w:color w:val="000000"/>
                <w:sz w:val="18"/>
                <w:szCs w:val="18"/>
              </w:rPr>
              <w:t>Issue (system)</w:t>
            </w:r>
          </w:p>
        </w:tc>
        <w:tc>
          <w:tcPr>
            <w:tcW w:w="1302" w:type="dxa"/>
            <w:vAlign w:val="center"/>
            <w:hideMark/>
          </w:tcPr>
          <w:p w14:paraId="1264F4AC" w14:textId="77777777" w:rsidR="007C0283" w:rsidRPr="006757BF" w:rsidRDefault="007C0283" w:rsidP="00053CB3">
            <w:pPr>
              <w:adjustRightInd w:val="0"/>
              <w:snapToGrid w:val="0"/>
              <w:jc w:val="center"/>
              <w:rPr>
                <w:rFonts w:ascii="Times New Roman" w:eastAsia="等线" w:hAnsi="Times New Roman" w:cs="Times New Roman"/>
                <w:b/>
                <w:bCs/>
                <w:color w:val="000000"/>
                <w:sz w:val="18"/>
                <w:szCs w:val="18"/>
              </w:rPr>
            </w:pPr>
            <w:r w:rsidRPr="006757BF">
              <w:rPr>
                <w:rFonts w:ascii="Times New Roman" w:hAnsi="Times New Roman" w:cs="Times New Roman"/>
                <w:b/>
                <w:bCs/>
                <w:color w:val="000000"/>
                <w:sz w:val="18"/>
                <w:szCs w:val="18"/>
              </w:rPr>
              <w:t>Subsystem</w:t>
            </w:r>
          </w:p>
        </w:tc>
        <w:tc>
          <w:tcPr>
            <w:tcW w:w="492" w:type="dxa"/>
            <w:vAlign w:val="center"/>
            <w:hideMark/>
          </w:tcPr>
          <w:p w14:paraId="460B13C5" w14:textId="77777777" w:rsidR="007C0283" w:rsidRPr="006757BF" w:rsidRDefault="007C0283" w:rsidP="00053CB3">
            <w:pPr>
              <w:adjustRightInd w:val="0"/>
              <w:snapToGrid w:val="0"/>
              <w:jc w:val="center"/>
              <w:rPr>
                <w:rFonts w:ascii="Times New Roman" w:eastAsia="等线" w:hAnsi="Times New Roman" w:cs="Times New Roman"/>
                <w:b/>
                <w:bCs/>
                <w:color w:val="000000"/>
                <w:sz w:val="18"/>
                <w:szCs w:val="18"/>
              </w:rPr>
            </w:pPr>
            <w:r w:rsidRPr="006757BF">
              <w:rPr>
                <w:rFonts w:ascii="Times New Roman" w:hAnsi="Times New Roman" w:cs="Times New Roman"/>
                <w:b/>
                <w:bCs/>
                <w:color w:val="000000"/>
                <w:sz w:val="18"/>
                <w:szCs w:val="18"/>
              </w:rPr>
              <w:t>No.</w:t>
            </w:r>
          </w:p>
        </w:tc>
        <w:tc>
          <w:tcPr>
            <w:tcW w:w="3808" w:type="dxa"/>
            <w:vAlign w:val="center"/>
            <w:hideMark/>
          </w:tcPr>
          <w:p w14:paraId="320249A1" w14:textId="77777777" w:rsidR="007C0283" w:rsidRPr="006757BF" w:rsidRDefault="007C0283" w:rsidP="00053CB3">
            <w:pPr>
              <w:adjustRightInd w:val="0"/>
              <w:snapToGrid w:val="0"/>
              <w:jc w:val="center"/>
              <w:rPr>
                <w:rFonts w:ascii="Times New Roman" w:hAnsi="Times New Roman" w:cs="Times New Roman"/>
                <w:b/>
                <w:bCs/>
                <w:color w:val="000000"/>
                <w:sz w:val="18"/>
                <w:szCs w:val="18"/>
              </w:rPr>
            </w:pPr>
            <w:r w:rsidRPr="006757BF">
              <w:rPr>
                <w:rFonts w:ascii="Times New Roman" w:hAnsi="Times New Roman" w:cs="Times New Roman"/>
                <w:b/>
                <w:bCs/>
                <w:color w:val="000000"/>
                <w:sz w:val="18"/>
                <w:szCs w:val="18"/>
              </w:rPr>
              <w:t>Indicator (attribute)</w:t>
            </w:r>
          </w:p>
        </w:tc>
        <w:tc>
          <w:tcPr>
            <w:tcW w:w="3014" w:type="dxa"/>
            <w:vAlign w:val="center"/>
          </w:tcPr>
          <w:p w14:paraId="1CCF6FE5" w14:textId="77777777" w:rsidR="007C0283" w:rsidRPr="006757BF" w:rsidRDefault="007C0283" w:rsidP="00053CB3">
            <w:pPr>
              <w:adjustRightInd w:val="0"/>
              <w:snapToGrid w:val="0"/>
              <w:jc w:val="center"/>
              <w:rPr>
                <w:rFonts w:ascii="Times New Roman" w:hAnsi="Times New Roman" w:cs="Times New Roman"/>
                <w:b/>
                <w:bCs/>
                <w:color w:val="000000"/>
                <w:sz w:val="18"/>
                <w:szCs w:val="18"/>
              </w:rPr>
            </w:pPr>
            <w:r w:rsidRPr="006757BF">
              <w:rPr>
                <w:rFonts w:ascii="Times New Roman" w:hAnsi="Times New Roman" w:cs="Times New Roman"/>
                <w:b/>
                <w:bCs/>
                <w:color w:val="000000"/>
                <w:sz w:val="18"/>
                <w:szCs w:val="18"/>
              </w:rPr>
              <w:t>Data source</w:t>
            </w:r>
          </w:p>
        </w:tc>
        <w:tc>
          <w:tcPr>
            <w:tcW w:w="4536" w:type="dxa"/>
            <w:vAlign w:val="center"/>
          </w:tcPr>
          <w:p w14:paraId="5D0465D4" w14:textId="77777777" w:rsidR="007C0283" w:rsidRPr="006757BF" w:rsidRDefault="007C0283" w:rsidP="00053CB3">
            <w:pPr>
              <w:adjustRightInd w:val="0"/>
              <w:snapToGrid w:val="0"/>
              <w:jc w:val="center"/>
              <w:rPr>
                <w:rFonts w:ascii="Times New Roman" w:hAnsi="Times New Roman" w:cs="Times New Roman"/>
                <w:b/>
                <w:bCs/>
                <w:color w:val="000000"/>
                <w:sz w:val="18"/>
                <w:szCs w:val="18"/>
              </w:rPr>
            </w:pPr>
            <w:r w:rsidRPr="006757BF">
              <w:rPr>
                <w:rFonts w:ascii="Times New Roman" w:hAnsi="Times New Roman" w:cs="Times New Roman"/>
                <w:b/>
                <w:bCs/>
                <w:color w:val="000000"/>
                <w:sz w:val="18"/>
                <w:szCs w:val="18"/>
              </w:rPr>
              <w:t>Indicator preprocessing and calculation</w:t>
            </w:r>
          </w:p>
        </w:tc>
      </w:tr>
      <w:tr w:rsidR="007C0283" w:rsidRPr="006757BF" w14:paraId="3E2C80F8" w14:textId="77777777" w:rsidTr="00053CB3">
        <w:trPr>
          <w:trHeight w:val="20"/>
          <w:jc w:val="center"/>
        </w:trPr>
        <w:tc>
          <w:tcPr>
            <w:tcW w:w="1302" w:type="dxa"/>
            <w:vMerge w:val="restart"/>
            <w:vAlign w:val="center"/>
            <w:hideMark/>
          </w:tcPr>
          <w:p w14:paraId="3C87CE79"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Environmental sustainability of agricultural production</w:t>
            </w:r>
          </w:p>
        </w:tc>
        <w:tc>
          <w:tcPr>
            <w:tcW w:w="1302" w:type="dxa"/>
            <w:vMerge w:val="restart"/>
            <w:vAlign w:val="center"/>
            <w:hideMark/>
          </w:tcPr>
          <w:p w14:paraId="4108C04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Resource efficiency and environmental performance of agricultural development</w:t>
            </w:r>
          </w:p>
        </w:tc>
        <w:tc>
          <w:tcPr>
            <w:tcW w:w="492" w:type="dxa"/>
            <w:vAlign w:val="center"/>
            <w:hideMark/>
          </w:tcPr>
          <w:p w14:paraId="07C4AF0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w:t>
            </w:r>
          </w:p>
        </w:tc>
        <w:tc>
          <w:tcPr>
            <w:tcW w:w="3808" w:type="dxa"/>
            <w:vAlign w:val="center"/>
            <w:hideMark/>
          </w:tcPr>
          <w:p w14:paraId="1F7C17A2"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Agricultural sector output per unit of cultivated land</w:t>
            </w:r>
          </w:p>
        </w:tc>
        <w:tc>
          <w:tcPr>
            <w:tcW w:w="3014" w:type="dxa"/>
            <w:vAlign w:val="center"/>
          </w:tcPr>
          <w:p w14:paraId="76A36522"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restart"/>
            <w:vAlign w:val="center"/>
          </w:tcPr>
          <w:p w14:paraId="756BCDE6"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43C6D6D5" w14:textId="77777777" w:rsidR="007C0283" w:rsidRPr="006757BF" w:rsidRDefault="007C0283" w:rsidP="00053CB3">
            <w:pPr>
              <w:adjustRightInd w:val="0"/>
              <w:snapToGrid w:val="0"/>
              <w:rPr>
                <w:rFonts w:ascii="Times New Roman" w:hAnsi="Times New Roman" w:cs="Times New Roman"/>
                <w:color w:val="000000"/>
                <w:sz w:val="18"/>
                <w:szCs w:val="18"/>
              </w:rPr>
            </w:pPr>
            <w:r w:rsidRPr="00160DF4">
              <w:rPr>
                <w:rFonts w:ascii="Times New Roman" w:hAnsi="Times New Roman" w:cs="Times New Roman"/>
                <w:color w:val="000000"/>
                <w:sz w:val="18"/>
                <w:szCs w:val="18"/>
              </w:rPr>
              <w:t>Among these, data on cultivated land area have been officially released by the Chinese government only for the years 2013, 2015–2017, 2019, 2022, and 2023. Consequently, for the remaining years, estimates are derived from the 30 m-resolution annual China L</w:t>
            </w:r>
            <w:r w:rsidRPr="00160DF4">
              <w:rPr>
                <w:rFonts w:ascii="Times New Roman" w:hAnsi="Times New Roman" w:cs="Times New Roman" w:hint="eastAsia"/>
                <w:color w:val="000000"/>
                <w:sz w:val="18"/>
                <w:szCs w:val="18"/>
              </w:rPr>
              <w:t>and Cover Dataset (CLCD) (Yang and Huang, 2021).</w:t>
            </w:r>
          </w:p>
        </w:tc>
      </w:tr>
      <w:tr w:rsidR="007C0283" w:rsidRPr="006757BF" w14:paraId="783EF54E" w14:textId="77777777" w:rsidTr="00053CB3">
        <w:trPr>
          <w:trHeight w:val="20"/>
          <w:jc w:val="center"/>
        </w:trPr>
        <w:tc>
          <w:tcPr>
            <w:tcW w:w="1302" w:type="dxa"/>
            <w:vMerge/>
            <w:vAlign w:val="center"/>
            <w:hideMark/>
          </w:tcPr>
          <w:p w14:paraId="4C5C90E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162F832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7C6259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w:t>
            </w:r>
          </w:p>
        </w:tc>
        <w:tc>
          <w:tcPr>
            <w:tcW w:w="3808" w:type="dxa"/>
            <w:vAlign w:val="center"/>
            <w:hideMark/>
          </w:tcPr>
          <w:p w14:paraId="479DBA59"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Water use per unit of agricultural sector output</w:t>
            </w:r>
          </w:p>
        </w:tc>
        <w:tc>
          <w:tcPr>
            <w:tcW w:w="3014" w:type="dxa"/>
            <w:vAlign w:val="center"/>
          </w:tcPr>
          <w:p w14:paraId="0902B8A9"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Merge/>
            <w:vAlign w:val="center"/>
          </w:tcPr>
          <w:p w14:paraId="4872D415"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69478094" w14:textId="77777777" w:rsidTr="00053CB3">
        <w:trPr>
          <w:trHeight w:val="20"/>
          <w:jc w:val="center"/>
        </w:trPr>
        <w:tc>
          <w:tcPr>
            <w:tcW w:w="1302" w:type="dxa"/>
            <w:vMerge/>
            <w:vAlign w:val="center"/>
            <w:hideMark/>
          </w:tcPr>
          <w:p w14:paraId="22559CB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4969B0D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6B1B67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w:t>
            </w:r>
          </w:p>
        </w:tc>
        <w:tc>
          <w:tcPr>
            <w:tcW w:w="3808" w:type="dxa"/>
            <w:vAlign w:val="center"/>
            <w:hideMark/>
          </w:tcPr>
          <w:p w14:paraId="1AB2D4D2"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Fertilizer, pesticide, and agricultural film application per unit cultivated area</w:t>
            </w:r>
          </w:p>
        </w:tc>
        <w:tc>
          <w:tcPr>
            <w:tcW w:w="3014" w:type="dxa"/>
            <w:vAlign w:val="center"/>
          </w:tcPr>
          <w:p w14:paraId="599B360F"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ign w:val="center"/>
          </w:tcPr>
          <w:p w14:paraId="3275B903"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626CF6AE" w14:textId="77777777" w:rsidTr="00053CB3">
        <w:trPr>
          <w:trHeight w:val="20"/>
          <w:jc w:val="center"/>
        </w:trPr>
        <w:tc>
          <w:tcPr>
            <w:tcW w:w="1302" w:type="dxa"/>
            <w:vMerge/>
            <w:vAlign w:val="center"/>
            <w:hideMark/>
          </w:tcPr>
          <w:p w14:paraId="771C9B7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1F84D4B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45E111A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4</w:t>
            </w:r>
          </w:p>
        </w:tc>
        <w:tc>
          <w:tcPr>
            <w:tcW w:w="3808" w:type="dxa"/>
            <w:vAlign w:val="center"/>
            <w:hideMark/>
          </w:tcPr>
          <w:p w14:paraId="666FDF3B" w14:textId="77777777" w:rsidR="007C0283" w:rsidRPr="006757BF" w:rsidRDefault="007C0283" w:rsidP="00053CB3">
            <w:pPr>
              <w:adjustRightInd w:val="0"/>
              <w:snapToGrid w:val="0"/>
              <w:rPr>
                <w:rFonts w:ascii="Times New Roman" w:hAnsi="Times New Roman" w:cs="Times New Roman"/>
                <w:sz w:val="18"/>
                <w:szCs w:val="18"/>
              </w:rPr>
            </w:pPr>
            <w:r w:rsidRPr="006757BF">
              <w:rPr>
                <w:rFonts w:ascii="Times New Roman" w:hAnsi="Times New Roman" w:cs="Times New Roman"/>
                <w:sz w:val="18"/>
                <w:szCs w:val="18"/>
              </w:rPr>
              <w:t>Large livestock breeding per capita in rural area</w:t>
            </w:r>
          </w:p>
        </w:tc>
        <w:tc>
          <w:tcPr>
            <w:tcW w:w="3014" w:type="dxa"/>
            <w:vAlign w:val="center"/>
          </w:tcPr>
          <w:p w14:paraId="6CD3BBEA" w14:textId="77777777" w:rsidR="007C0283" w:rsidRPr="006757BF" w:rsidRDefault="007C0283" w:rsidP="00053CB3">
            <w:pPr>
              <w:adjustRightInd w:val="0"/>
              <w:snapToGrid w:val="0"/>
              <w:rPr>
                <w:rFonts w:ascii="Times New Roman" w:hAnsi="Times New Roman" w:cs="Times New Roman"/>
                <w:sz w:val="18"/>
                <w:szCs w:val="18"/>
              </w:rPr>
            </w:pPr>
            <w:r w:rsidRPr="006757BF">
              <w:rPr>
                <w:rFonts w:ascii="Times New Roman" w:hAnsi="Times New Roman" w:cs="Times New Roman"/>
                <w:color w:val="000000"/>
                <w:sz w:val="18"/>
                <w:szCs w:val="18"/>
              </w:rPr>
              <w:t>China Statistical Yearbook</w:t>
            </w:r>
          </w:p>
        </w:tc>
        <w:tc>
          <w:tcPr>
            <w:tcW w:w="4536" w:type="dxa"/>
            <w:vMerge/>
            <w:vAlign w:val="center"/>
          </w:tcPr>
          <w:p w14:paraId="11DCE5EA" w14:textId="77777777" w:rsidR="007C0283" w:rsidRPr="006757BF" w:rsidRDefault="007C0283" w:rsidP="00053CB3">
            <w:pPr>
              <w:adjustRightInd w:val="0"/>
              <w:snapToGrid w:val="0"/>
              <w:rPr>
                <w:rFonts w:ascii="Times New Roman" w:hAnsi="Times New Roman" w:cs="Times New Roman"/>
                <w:sz w:val="18"/>
                <w:szCs w:val="18"/>
              </w:rPr>
            </w:pPr>
          </w:p>
        </w:tc>
      </w:tr>
      <w:tr w:rsidR="007C0283" w:rsidRPr="006757BF" w14:paraId="579C6359" w14:textId="77777777" w:rsidTr="00053CB3">
        <w:trPr>
          <w:trHeight w:val="20"/>
          <w:jc w:val="center"/>
        </w:trPr>
        <w:tc>
          <w:tcPr>
            <w:tcW w:w="1302" w:type="dxa"/>
            <w:vMerge/>
            <w:vAlign w:val="center"/>
            <w:hideMark/>
          </w:tcPr>
          <w:p w14:paraId="094065A7"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0688757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C0FEA44"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5</w:t>
            </w:r>
          </w:p>
        </w:tc>
        <w:tc>
          <w:tcPr>
            <w:tcW w:w="3808" w:type="dxa"/>
            <w:vAlign w:val="center"/>
            <w:hideMark/>
          </w:tcPr>
          <w:p w14:paraId="499B12D6"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share of capture in aquatic production</w:t>
            </w:r>
          </w:p>
        </w:tc>
        <w:tc>
          <w:tcPr>
            <w:tcW w:w="3014" w:type="dxa"/>
            <w:vAlign w:val="center"/>
          </w:tcPr>
          <w:p w14:paraId="5D2E774E"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ign w:val="center"/>
          </w:tcPr>
          <w:p w14:paraId="5AA3C3D3"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6B88B1C7" w14:textId="77777777" w:rsidTr="00053CB3">
        <w:trPr>
          <w:trHeight w:val="20"/>
          <w:jc w:val="center"/>
        </w:trPr>
        <w:tc>
          <w:tcPr>
            <w:tcW w:w="1302" w:type="dxa"/>
            <w:vMerge/>
            <w:vAlign w:val="center"/>
            <w:hideMark/>
          </w:tcPr>
          <w:p w14:paraId="259C242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722499D4" w14:textId="77777777" w:rsidR="007C0283" w:rsidRPr="006757BF" w:rsidRDefault="007C0283" w:rsidP="00053CB3">
            <w:pPr>
              <w:adjustRightInd w:val="0"/>
              <w:snapToGrid w:val="0"/>
              <w:jc w:val="center"/>
              <w:rPr>
                <w:rFonts w:ascii="Times New Roman" w:hAnsi="Times New Roman" w:cs="Times New Roman"/>
                <w:color w:val="000000"/>
                <w:sz w:val="18"/>
                <w:szCs w:val="18"/>
              </w:rPr>
            </w:pPr>
            <w:r w:rsidRPr="006757BF">
              <w:rPr>
                <w:rFonts w:ascii="Times New Roman" w:hAnsi="Times New Roman" w:cs="Times New Roman"/>
                <w:color w:val="000000"/>
                <w:sz w:val="18"/>
                <w:szCs w:val="18"/>
              </w:rPr>
              <w:t>Resource and environmental endowment of agricultural production</w:t>
            </w:r>
          </w:p>
        </w:tc>
        <w:tc>
          <w:tcPr>
            <w:tcW w:w="492" w:type="dxa"/>
            <w:vAlign w:val="center"/>
            <w:hideMark/>
          </w:tcPr>
          <w:p w14:paraId="012E3EC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6</w:t>
            </w:r>
          </w:p>
        </w:tc>
        <w:tc>
          <w:tcPr>
            <w:tcW w:w="3808" w:type="dxa"/>
            <w:vAlign w:val="center"/>
            <w:hideMark/>
          </w:tcPr>
          <w:p w14:paraId="662BD76C"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Cultivated land area per capita</w:t>
            </w:r>
          </w:p>
        </w:tc>
        <w:tc>
          <w:tcPr>
            <w:tcW w:w="3014" w:type="dxa"/>
            <w:vAlign w:val="center"/>
          </w:tcPr>
          <w:p w14:paraId="3AF436BB"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restart"/>
            <w:vAlign w:val="center"/>
          </w:tcPr>
          <w:p w14:paraId="45E489D6" w14:textId="77777777" w:rsidR="007C0283" w:rsidRPr="006757BF" w:rsidRDefault="007C0283" w:rsidP="00053CB3">
            <w:pPr>
              <w:adjustRightInd w:val="0"/>
              <w:snapToGrid w:val="0"/>
              <w:rPr>
                <w:rFonts w:ascii="Times New Roman" w:hAnsi="Times New Roman" w:cs="Times New Roman"/>
                <w:color w:val="000000"/>
                <w:sz w:val="18"/>
                <w:szCs w:val="18"/>
              </w:rPr>
            </w:pPr>
            <w:r w:rsidRPr="00B867A6">
              <w:rPr>
                <w:rFonts w:ascii="Times New Roman" w:hAnsi="Times New Roman" w:cs="Times New Roman" w:hint="eastAsia"/>
                <w:color w:val="000000"/>
                <w:sz w:val="18"/>
                <w:szCs w:val="18"/>
              </w:rPr>
              <w:t>Same as the previous subsystem</w:t>
            </w:r>
            <w:r>
              <w:rPr>
                <w:rFonts w:ascii="Times New Roman" w:hAnsi="Times New Roman" w:cs="Times New Roman" w:hint="eastAsia"/>
                <w:color w:val="000000"/>
                <w:sz w:val="18"/>
                <w:szCs w:val="18"/>
              </w:rPr>
              <w:t>.</w:t>
            </w:r>
          </w:p>
        </w:tc>
      </w:tr>
      <w:tr w:rsidR="007C0283" w:rsidRPr="006757BF" w14:paraId="2719A45D" w14:textId="77777777" w:rsidTr="00053CB3">
        <w:trPr>
          <w:trHeight w:val="20"/>
          <w:jc w:val="center"/>
        </w:trPr>
        <w:tc>
          <w:tcPr>
            <w:tcW w:w="1302" w:type="dxa"/>
            <w:vMerge/>
            <w:vAlign w:val="center"/>
            <w:hideMark/>
          </w:tcPr>
          <w:p w14:paraId="761913BB"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3B16D143" w14:textId="77777777" w:rsidR="007C0283" w:rsidRPr="006757BF" w:rsidRDefault="007C0283" w:rsidP="00053CB3">
            <w:pPr>
              <w:adjustRightInd w:val="0"/>
              <w:snapToGrid w:val="0"/>
              <w:jc w:val="center"/>
              <w:rPr>
                <w:rFonts w:ascii="Times New Roman" w:hAnsi="Times New Roman" w:cs="Times New Roman"/>
                <w:color w:val="000000"/>
                <w:sz w:val="18"/>
                <w:szCs w:val="18"/>
              </w:rPr>
            </w:pPr>
          </w:p>
        </w:tc>
        <w:tc>
          <w:tcPr>
            <w:tcW w:w="492" w:type="dxa"/>
            <w:vAlign w:val="center"/>
            <w:hideMark/>
          </w:tcPr>
          <w:p w14:paraId="7566D991"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7</w:t>
            </w:r>
          </w:p>
        </w:tc>
        <w:tc>
          <w:tcPr>
            <w:tcW w:w="3808" w:type="dxa"/>
            <w:vAlign w:val="center"/>
            <w:hideMark/>
          </w:tcPr>
          <w:p w14:paraId="05B594E7"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effectively irrigated area to cultivated land</w:t>
            </w:r>
          </w:p>
        </w:tc>
        <w:tc>
          <w:tcPr>
            <w:tcW w:w="3014" w:type="dxa"/>
            <w:vAlign w:val="center"/>
          </w:tcPr>
          <w:p w14:paraId="221E13E6"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ign w:val="center"/>
          </w:tcPr>
          <w:p w14:paraId="76EE17F2"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574011AB" w14:textId="77777777" w:rsidTr="00053CB3">
        <w:trPr>
          <w:trHeight w:val="20"/>
          <w:jc w:val="center"/>
        </w:trPr>
        <w:tc>
          <w:tcPr>
            <w:tcW w:w="1302" w:type="dxa"/>
            <w:vMerge/>
            <w:vAlign w:val="center"/>
            <w:hideMark/>
          </w:tcPr>
          <w:p w14:paraId="1DC34A9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681175A5" w14:textId="77777777" w:rsidR="007C0283" w:rsidRPr="006757BF" w:rsidRDefault="007C0283" w:rsidP="00053CB3">
            <w:pPr>
              <w:adjustRightInd w:val="0"/>
              <w:snapToGrid w:val="0"/>
              <w:jc w:val="center"/>
              <w:rPr>
                <w:rFonts w:ascii="Times New Roman" w:hAnsi="Times New Roman" w:cs="Times New Roman"/>
                <w:color w:val="000000"/>
                <w:sz w:val="18"/>
                <w:szCs w:val="18"/>
              </w:rPr>
            </w:pPr>
          </w:p>
        </w:tc>
        <w:tc>
          <w:tcPr>
            <w:tcW w:w="492" w:type="dxa"/>
            <w:vAlign w:val="center"/>
            <w:hideMark/>
          </w:tcPr>
          <w:p w14:paraId="00DB1F4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8</w:t>
            </w:r>
          </w:p>
        </w:tc>
        <w:tc>
          <w:tcPr>
            <w:tcW w:w="3808" w:type="dxa"/>
            <w:vAlign w:val="center"/>
            <w:hideMark/>
          </w:tcPr>
          <w:p w14:paraId="714B7C38"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Grain yield per unit area</w:t>
            </w:r>
          </w:p>
        </w:tc>
        <w:tc>
          <w:tcPr>
            <w:tcW w:w="3014" w:type="dxa"/>
            <w:vAlign w:val="center"/>
          </w:tcPr>
          <w:p w14:paraId="77E96E99"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Merge/>
            <w:vAlign w:val="center"/>
          </w:tcPr>
          <w:p w14:paraId="5144CB82"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27F33401" w14:textId="77777777" w:rsidTr="00053CB3">
        <w:trPr>
          <w:trHeight w:val="20"/>
          <w:jc w:val="center"/>
        </w:trPr>
        <w:tc>
          <w:tcPr>
            <w:tcW w:w="1302" w:type="dxa"/>
            <w:vMerge/>
            <w:vAlign w:val="center"/>
            <w:hideMark/>
          </w:tcPr>
          <w:p w14:paraId="4FF2A5F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2AD69EB9" w14:textId="77777777" w:rsidR="007C0283" w:rsidRPr="006757BF" w:rsidRDefault="007C0283" w:rsidP="00053CB3">
            <w:pPr>
              <w:adjustRightInd w:val="0"/>
              <w:snapToGrid w:val="0"/>
              <w:jc w:val="center"/>
              <w:rPr>
                <w:rFonts w:ascii="Times New Roman" w:hAnsi="Times New Roman" w:cs="Times New Roman"/>
                <w:color w:val="000000"/>
                <w:sz w:val="18"/>
                <w:szCs w:val="18"/>
              </w:rPr>
            </w:pPr>
          </w:p>
        </w:tc>
        <w:tc>
          <w:tcPr>
            <w:tcW w:w="492" w:type="dxa"/>
            <w:vAlign w:val="center"/>
            <w:hideMark/>
          </w:tcPr>
          <w:p w14:paraId="0693E17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9</w:t>
            </w:r>
          </w:p>
        </w:tc>
        <w:tc>
          <w:tcPr>
            <w:tcW w:w="3808" w:type="dxa"/>
            <w:vAlign w:val="center"/>
            <w:hideMark/>
          </w:tcPr>
          <w:p w14:paraId="723C9BC4"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Water resources per capita</w:t>
            </w:r>
          </w:p>
        </w:tc>
        <w:tc>
          <w:tcPr>
            <w:tcW w:w="3014" w:type="dxa"/>
            <w:vAlign w:val="center"/>
          </w:tcPr>
          <w:p w14:paraId="1A30A7BD"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Merge/>
            <w:vAlign w:val="center"/>
          </w:tcPr>
          <w:p w14:paraId="579FC91D"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0D38F2BF" w14:textId="77777777" w:rsidTr="00053CB3">
        <w:trPr>
          <w:trHeight w:val="20"/>
          <w:jc w:val="center"/>
        </w:trPr>
        <w:tc>
          <w:tcPr>
            <w:tcW w:w="1302" w:type="dxa"/>
            <w:vMerge/>
            <w:vAlign w:val="center"/>
            <w:hideMark/>
          </w:tcPr>
          <w:p w14:paraId="381ED55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11EC4A2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Resilience of agricultural resources and environment</w:t>
            </w:r>
          </w:p>
        </w:tc>
        <w:tc>
          <w:tcPr>
            <w:tcW w:w="492" w:type="dxa"/>
            <w:vAlign w:val="center"/>
            <w:hideMark/>
          </w:tcPr>
          <w:p w14:paraId="30E6375A"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10</w:t>
            </w:r>
          </w:p>
        </w:tc>
        <w:tc>
          <w:tcPr>
            <w:tcW w:w="3808" w:type="dxa"/>
            <w:vAlign w:val="center"/>
            <w:hideMark/>
          </w:tcPr>
          <w:p w14:paraId="0AE64879"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reservoir capacity per capita</w:t>
            </w:r>
          </w:p>
        </w:tc>
        <w:tc>
          <w:tcPr>
            <w:tcW w:w="3014" w:type="dxa"/>
            <w:vAlign w:val="center"/>
          </w:tcPr>
          <w:p w14:paraId="3F76F617"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Merge w:val="restart"/>
            <w:vAlign w:val="center"/>
          </w:tcPr>
          <w:p w14:paraId="51CBA9AB" w14:textId="77777777" w:rsidR="007C0283" w:rsidRPr="006757BF" w:rsidRDefault="007C0283" w:rsidP="00053CB3">
            <w:pPr>
              <w:adjustRightInd w:val="0"/>
              <w:snapToGrid w:val="0"/>
              <w:rPr>
                <w:rFonts w:ascii="Times New Roman" w:hAnsi="Times New Roman" w:cs="Times New Roman"/>
                <w:color w:val="000000"/>
                <w:sz w:val="18"/>
                <w:szCs w:val="18"/>
              </w:rPr>
            </w:pPr>
            <w:r w:rsidRPr="00B867A6">
              <w:rPr>
                <w:rFonts w:ascii="Times New Roman" w:hAnsi="Times New Roman" w:cs="Times New Roman" w:hint="eastAsia"/>
                <w:color w:val="000000"/>
                <w:sz w:val="18"/>
                <w:szCs w:val="18"/>
              </w:rPr>
              <w:t>Same as the previous subsystem</w:t>
            </w:r>
            <w:r>
              <w:rPr>
                <w:rFonts w:ascii="Times New Roman" w:hAnsi="Times New Roman" w:cs="Times New Roman" w:hint="eastAsia"/>
                <w:color w:val="000000"/>
                <w:sz w:val="18"/>
                <w:szCs w:val="18"/>
              </w:rPr>
              <w:t>.</w:t>
            </w:r>
          </w:p>
        </w:tc>
      </w:tr>
      <w:tr w:rsidR="007C0283" w:rsidRPr="006757BF" w14:paraId="4592B549" w14:textId="77777777" w:rsidTr="00053CB3">
        <w:trPr>
          <w:trHeight w:val="20"/>
          <w:jc w:val="center"/>
        </w:trPr>
        <w:tc>
          <w:tcPr>
            <w:tcW w:w="1302" w:type="dxa"/>
            <w:vMerge/>
            <w:vAlign w:val="center"/>
            <w:hideMark/>
          </w:tcPr>
          <w:p w14:paraId="5CC532E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143E6D29"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9EE7BF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11</w:t>
            </w:r>
          </w:p>
        </w:tc>
        <w:tc>
          <w:tcPr>
            <w:tcW w:w="3808" w:type="dxa"/>
            <w:vAlign w:val="center"/>
            <w:hideMark/>
          </w:tcPr>
          <w:p w14:paraId="0D1568F4"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ratio of cultivated land under waterlogging control</w:t>
            </w:r>
          </w:p>
        </w:tc>
        <w:tc>
          <w:tcPr>
            <w:tcW w:w="3014" w:type="dxa"/>
            <w:vAlign w:val="center"/>
          </w:tcPr>
          <w:p w14:paraId="0968060D"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ign w:val="center"/>
          </w:tcPr>
          <w:p w14:paraId="76BCD70B"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95186A" w14:paraId="6FEF16E8" w14:textId="77777777" w:rsidTr="00053CB3">
        <w:trPr>
          <w:trHeight w:val="20"/>
          <w:jc w:val="center"/>
        </w:trPr>
        <w:tc>
          <w:tcPr>
            <w:tcW w:w="1302" w:type="dxa"/>
            <w:vMerge/>
            <w:vAlign w:val="center"/>
            <w:hideMark/>
          </w:tcPr>
          <w:p w14:paraId="284187C4"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7502204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6D9E095B"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12</w:t>
            </w:r>
          </w:p>
        </w:tc>
        <w:tc>
          <w:tcPr>
            <w:tcW w:w="3808" w:type="dxa"/>
            <w:vAlign w:val="center"/>
            <w:hideMark/>
          </w:tcPr>
          <w:p w14:paraId="62D9CABD"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crop area affected by natural disasters, the ratio of crop damaged area to disaster-affected area</w:t>
            </w:r>
          </w:p>
        </w:tc>
        <w:tc>
          <w:tcPr>
            <w:tcW w:w="3014" w:type="dxa"/>
            <w:vAlign w:val="center"/>
          </w:tcPr>
          <w:p w14:paraId="5843970A"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Merge/>
            <w:vAlign w:val="center"/>
          </w:tcPr>
          <w:p w14:paraId="3406476E"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6BE47D2F" w14:textId="77777777" w:rsidTr="00053CB3">
        <w:trPr>
          <w:trHeight w:val="20"/>
          <w:jc w:val="center"/>
        </w:trPr>
        <w:tc>
          <w:tcPr>
            <w:tcW w:w="1302" w:type="dxa"/>
            <w:vMerge/>
            <w:vAlign w:val="center"/>
            <w:hideMark/>
          </w:tcPr>
          <w:p w14:paraId="424EBB37"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61710D69"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491C6C94"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13</w:t>
            </w:r>
          </w:p>
        </w:tc>
        <w:tc>
          <w:tcPr>
            <w:tcW w:w="3808" w:type="dxa"/>
            <w:vAlign w:val="center"/>
            <w:hideMark/>
          </w:tcPr>
          <w:p w14:paraId="627E5822"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Agricultural planting diversity index</w:t>
            </w:r>
          </w:p>
        </w:tc>
        <w:tc>
          <w:tcPr>
            <w:tcW w:w="3014" w:type="dxa"/>
            <w:vAlign w:val="center"/>
          </w:tcPr>
          <w:p w14:paraId="2407FF8C"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Merge/>
            <w:vAlign w:val="center"/>
          </w:tcPr>
          <w:p w14:paraId="61E3669D" w14:textId="77777777" w:rsidR="007C0283" w:rsidRPr="006757BF" w:rsidRDefault="007C0283" w:rsidP="00053CB3">
            <w:pPr>
              <w:adjustRightInd w:val="0"/>
              <w:snapToGrid w:val="0"/>
              <w:rPr>
                <w:rFonts w:ascii="Times New Roman" w:hAnsi="Times New Roman" w:cs="Times New Roman"/>
                <w:color w:val="000000"/>
                <w:sz w:val="18"/>
                <w:szCs w:val="18"/>
              </w:rPr>
            </w:pPr>
          </w:p>
        </w:tc>
      </w:tr>
      <w:tr w:rsidR="007C0283" w:rsidRPr="006757BF" w14:paraId="4AFCAD00" w14:textId="77777777" w:rsidTr="00053CB3">
        <w:trPr>
          <w:trHeight w:val="20"/>
          <w:jc w:val="center"/>
        </w:trPr>
        <w:tc>
          <w:tcPr>
            <w:tcW w:w="1302" w:type="dxa"/>
            <w:vMerge w:val="restart"/>
            <w:vAlign w:val="center"/>
            <w:hideMark/>
          </w:tcPr>
          <w:p w14:paraId="37A36059"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Ecosystem sustainability of rural areas</w:t>
            </w:r>
          </w:p>
        </w:tc>
        <w:tc>
          <w:tcPr>
            <w:tcW w:w="1302" w:type="dxa"/>
            <w:vMerge w:val="restart"/>
            <w:vAlign w:val="center"/>
            <w:hideMark/>
          </w:tcPr>
          <w:p w14:paraId="11B3FBF2"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Pressures on rural environment and ecosystems</w:t>
            </w:r>
          </w:p>
        </w:tc>
        <w:tc>
          <w:tcPr>
            <w:tcW w:w="492" w:type="dxa"/>
            <w:vAlign w:val="center"/>
            <w:hideMark/>
          </w:tcPr>
          <w:p w14:paraId="40D51C9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14</w:t>
            </w:r>
          </w:p>
        </w:tc>
        <w:tc>
          <w:tcPr>
            <w:tcW w:w="3808" w:type="dxa"/>
            <w:vAlign w:val="center"/>
            <w:hideMark/>
          </w:tcPr>
          <w:p w14:paraId="4AB60CF1"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cultivated land acquisition to the total land acquisition area</w:t>
            </w:r>
          </w:p>
        </w:tc>
        <w:tc>
          <w:tcPr>
            <w:tcW w:w="3014" w:type="dxa"/>
            <w:vAlign w:val="center"/>
          </w:tcPr>
          <w:p w14:paraId="451B55B6"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44B410FE"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61E32F3D" w14:textId="77777777" w:rsidTr="00053CB3">
        <w:trPr>
          <w:trHeight w:val="20"/>
          <w:jc w:val="center"/>
        </w:trPr>
        <w:tc>
          <w:tcPr>
            <w:tcW w:w="1302" w:type="dxa"/>
            <w:vMerge/>
            <w:vAlign w:val="center"/>
            <w:hideMark/>
          </w:tcPr>
          <w:p w14:paraId="5A85B2D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562AB3C7"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F3FB2AF"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15</w:t>
            </w:r>
          </w:p>
        </w:tc>
        <w:tc>
          <w:tcPr>
            <w:tcW w:w="3808" w:type="dxa"/>
            <w:vAlign w:val="center"/>
            <w:hideMark/>
          </w:tcPr>
          <w:p w14:paraId="09B6B1CE"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population density</w:t>
            </w:r>
          </w:p>
        </w:tc>
        <w:tc>
          <w:tcPr>
            <w:tcW w:w="3014" w:type="dxa"/>
            <w:vAlign w:val="center"/>
          </w:tcPr>
          <w:p w14:paraId="40CFD13A"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7F9A6A0B"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4A507584" w14:textId="77777777" w:rsidTr="00053CB3">
        <w:trPr>
          <w:trHeight w:val="20"/>
          <w:jc w:val="center"/>
        </w:trPr>
        <w:tc>
          <w:tcPr>
            <w:tcW w:w="1302" w:type="dxa"/>
            <w:vMerge/>
            <w:vAlign w:val="center"/>
            <w:hideMark/>
          </w:tcPr>
          <w:p w14:paraId="6398321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60C78582"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6159B98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16</w:t>
            </w:r>
          </w:p>
        </w:tc>
        <w:tc>
          <w:tcPr>
            <w:tcW w:w="3808" w:type="dxa"/>
            <w:vAlign w:val="center"/>
            <w:hideMark/>
          </w:tcPr>
          <w:p w14:paraId="4A300A39"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Agricultural water scarcity index</w:t>
            </w:r>
          </w:p>
        </w:tc>
        <w:tc>
          <w:tcPr>
            <w:tcW w:w="3014" w:type="dxa"/>
            <w:vAlign w:val="center"/>
          </w:tcPr>
          <w:p w14:paraId="300508CC"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Align w:val="center"/>
          </w:tcPr>
          <w:p w14:paraId="4C2F36A7"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r>
              <w:rPr>
                <w:rFonts w:ascii="Times New Roman" w:hAnsi="Times New Roman" w:cs="Times New Roman" w:hint="eastAsia"/>
                <w:color w:val="000000"/>
                <w:sz w:val="18"/>
                <w:szCs w:val="18"/>
              </w:rPr>
              <w:t xml:space="preserve"> </w:t>
            </w:r>
            <w:r w:rsidRPr="00C77A7A">
              <w:rPr>
                <w:rFonts w:ascii="Times New Roman" w:hAnsi="Times New Roman" w:cs="Times New Roman" w:hint="eastAsia"/>
                <w:color w:val="000000"/>
                <w:sz w:val="18"/>
                <w:szCs w:val="18"/>
              </w:rPr>
              <w:t xml:space="preserve">Calculated as the ratio of the agricultural sector's water use to total </w:t>
            </w:r>
            <w:r>
              <w:rPr>
                <w:rFonts w:ascii="Times New Roman" w:hAnsi="Times New Roman" w:cs="Times New Roman" w:hint="eastAsia"/>
                <w:color w:val="000000"/>
                <w:sz w:val="18"/>
                <w:szCs w:val="18"/>
              </w:rPr>
              <w:t>provincial</w:t>
            </w:r>
            <w:r w:rsidRPr="00C77A7A">
              <w:rPr>
                <w:rFonts w:ascii="Times New Roman" w:hAnsi="Times New Roman" w:cs="Times New Roman" w:hint="eastAsia"/>
                <w:color w:val="000000"/>
                <w:sz w:val="18"/>
                <w:szCs w:val="18"/>
              </w:rPr>
              <w:t xml:space="preserve"> water resources.</w:t>
            </w:r>
            <w:r>
              <w:rPr>
                <w:rFonts w:ascii="Times New Roman" w:hAnsi="Times New Roman" w:cs="Times New Roman" w:hint="eastAsia"/>
                <w:color w:val="000000"/>
                <w:sz w:val="18"/>
                <w:szCs w:val="18"/>
              </w:rPr>
              <w:t xml:space="preserve"> </w:t>
            </w:r>
          </w:p>
        </w:tc>
      </w:tr>
      <w:tr w:rsidR="007C0283" w:rsidRPr="006757BF" w14:paraId="1B820731" w14:textId="77777777" w:rsidTr="00053CB3">
        <w:trPr>
          <w:trHeight w:val="20"/>
          <w:jc w:val="center"/>
        </w:trPr>
        <w:tc>
          <w:tcPr>
            <w:tcW w:w="1302" w:type="dxa"/>
            <w:vMerge/>
            <w:vAlign w:val="center"/>
            <w:hideMark/>
          </w:tcPr>
          <w:p w14:paraId="0BB9226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586A381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DF5ABC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17</w:t>
            </w:r>
          </w:p>
        </w:tc>
        <w:tc>
          <w:tcPr>
            <w:tcW w:w="3808" w:type="dxa"/>
            <w:vAlign w:val="center"/>
            <w:hideMark/>
          </w:tcPr>
          <w:p w14:paraId="54CCF08D"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Forestry harvesting pressure index</w:t>
            </w:r>
          </w:p>
        </w:tc>
        <w:tc>
          <w:tcPr>
            <w:tcW w:w="3014" w:type="dxa"/>
            <w:vAlign w:val="center"/>
          </w:tcPr>
          <w:p w14:paraId="55352EA8"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Align w:val="center"/>
          </w:tcPr>
          <w:p w14:paraId="744BD046"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r>
              <w:rPr>
                <w:rFonts w:hint="eastAsia"/>
              </w:rPr>
              <w:t xml:space="preserve"> </w:t>
            </w:r>
            <w:r w:rsidRPr="00C77A7A">
              <w:rPr>
                <w:rFonts w:ascii="Times New Roman" w:hAnsi="Times New Roman" w:cs="Times New Roman" w:hint="eastAsia"/>
                <w:color w:val="000000"/>
                <w:sz w:val="18"/>
                <w:szCs w:val="18"/>
              </w:rPr>
              <w:t xml:space="preserve">Calculated as the ratio of timber production to the total </w:t>
            </w:r>
            <w:r>
              <w:rPr>
                <w:rFonts w:ascii="Times New Roman" w:hAnsi="Times New Roman" w:cs="Times New Roman" w:hint="eastAsia"/>
                <w:color w:val="000000"/>
                <w:sz w:val="18"/>
                <w:szCs w:val="18"/>
              </w:rPr>
              <w:t>provincial</w:t>
            </w:r>
            <w:r w:rsidRPr="00C77A7A">
              <w:rPr>
                <w:rFonts w:ascii="Times New Roman" w:hAnsi="Times New Roman" w:cs="Times New Roman" w:hint="eastAsia"/>
                <w:color w:val="000000"/>
                <w:sz w:val="18"/>
                <w:szCs w:val="18"/>
              </w:rPr>
              <w:t xml:space="preserve"> standing forest stock.</w:t>
            </w:r>
          </w:p>
        </w:tc>
      </w:tr>
      <w:tr w:rsidR="007C0283" w:rsidRPr="006757BF" w14:paraId="44A0F276" w14:textId="77777777" w:rsidTr="00053CB3">
        <w:trPr>
          <w:trHeight w:val="20"/>
          <w:jc w:val="center"/>
        </w:trPr>
        <w:tc>
          <w:tcPr>
            <w:tcW w:w="1302" w:type="dxa"/>
            <w:vMerge/>
            <w:vAlign w:val="center"/>
            <w:hideMark/>
          </w:tcPr>
          <w:p w14:paraId="665A9CB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3D3B285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ecosystem quality and stability</w:t>
            </w:r>
          </w:p>
        </w:tc>
        <w:tc>
          <w:tcPr>
            <w:tcW w:w="492" w:type="dxa"/>
            <w:vAlign w:val="center"/>
            <w:hideMark/>
          </w:tcPr>
          <w:p w14:paraId="2187883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18</w:t>
            </w:r>
          </w:p>
        </w:tc>
        <w:tc>
          <w:tcPr>
            <w:tcW w:w="3808" w:type="dxa"/>
            <w:vAlign w:val="center"/>
            <w:hideMark/>
          </w:tcPr>
          <w:p w14:paraId="6781946C"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Forest coverage</w:t>
            </w:r>
          </w:p>
        </w:tc>
        <w:tc>
          <w:tcPr>
            <w:tcW w:w="3014" w:type="dxa"/>
            <w:vAlign w:val="center"/>
          </w:tcPr>
          <w:p w14:paraId="7127E965"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Align w:val="center"/>
          </w:tcPr>
          <w:p w14:paraId="2331B2B1"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629161E5" w14:textId="77777777" w:rsidTr="00053CB3">
        <w:trPr>
          <w:trHeight w:val="20"/>
          <w:jc w:val="center"/>
        </w:trPr>
        <w:tc>
          <w:tcPr>
            <w:tcW w:w="1302" w:type="dxa"/>
            <w:vMerge/>
            <w:vAlign w:val="center"/>
            <w:hideMark/>
          </w:tcPr>
          <w:p w14:paraId="6D82819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42B361B1"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6B78E4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19</w:t>
            </w:r>
          </w:p>
        </w:tc>
        <w:tc>
          <w:tcPr>
            <w:tcW w:w="3808" w:type="dxa"/>
            <w:vAlign w:val="center"/>
            <w:hideMark/>
          </w:tcPr>
          <w:p w14:paraId="7ADB195A"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Carbon sink per unit forest area</w:t>
            </w:r>
          </w:p>
        </w:tc>
        <w:tc>
          <w:tcPr>
            <w:tcW w:w="3014" w:type="dxa"/>
            <w:vAlign w:val="center"/>
          </w:tcPr>
          <w:p w14:paraId="42689BCA"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A </w:t>
            </w:r>
            <w:r w:rsidRPr="00743B04">
              <w:rPr>
                <w:rFonts w:ascii="Times New Roman" w:hAnsi="Times New Roman" w:cs="Times New Roman"/>
                <w:color w:val="000000"/>
                <w:sz w:val="18"/>
                <w:szCs w:val="18"/>
              </w:rPr>
              <w:t>1</w:t>
            </w:r>
            <w:r>
              <w:rPr>
                <w:rFonts w:ascii="Times New Roman" w:hAnsi="Times New Roman" w:cs="Times New Roman" w:hint="eastAsia"/>
                <w:color w:val="000000"/>
                <w:sz w:val="18"/>
                <w:szCs w:val="18"/>
              </w:rPr>
              <w:t>-</w:t>
            </w:r>
            <w:r w:rsidRPr="00743B04">
              <w:rPr>
                <w:rFonts w:ascii="Times New Roman" w:hAnsi="Times New Roman" w:cs="Times New Roman"/>
                <w:color w:val="000000"/>
                <w:sz w:val="18"/>
                <w:szCs w:val="18"/>
              </w:rPr>
              <w:t>km resolution forest biomass carbon pool</w:t>
            </w:r>
            <w:r>
              <w:rPr>
                <w:rFonts w:ascii="Times New Roman" w:hAnsi="Times New Roman" w:cs="Times New Roman" w:hint="eastAsia"/>
                <w:color w:val="000000"/>
                <w:sz w:val="18"/>
                <w:szCs w:val="18"/>
              </w:rPr>
              <w:t xml:space="preserve"> dataset (Chen et al., 2023)</w:t>
            </w:r>
          </w:p>
        </w:tc>
        <w:tc>
          <w:tcPr>
            <w:tcW w:w="4536" w:type="dxa"/>
            <w:vAlign w:val="center"/>
          </w:tcPr>
          <w:p w14:paraId="422D653B"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2EE55668" w14:textId="77777777" w:rsidTr="00053CB3">
        <w:trPr>
          <w:trHeight w:val="20"/>
          <w:jc w:val="center"/>
        </w:trPr>
        <w:tc>
          <w:tcPr>
            <w:tcW w:w="1302" w:type="dxa"/>
            <w:vMerge/>
            <w:vAlign w:val="center"/>
            <w:hideMark/>
          </w:tcPr>
          <w:p w14:paraId="7E6589BF"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18625262"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0EFF45F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20</w:t>
            </w:r>
          </w:p>
        </w:tc>
        <w:tc>
          <w:tcPr>
            <w:tcW w:w="3808" w:type="dxa"/>
            <w:vAlign w:val="center"/>
            <w:hideMark/>
          </w:tcPr>
          <w:p w14:paraId="722B7F00"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Water surface rate</w:t>
            </w:r>
          </w:p>
        </w:tc>
        <w:tc>
          <w:tcPr>
            <w:tcW w:w="3014" w:type="dxa"/>
            <w:vAlign w:val="center"/>
          </w:tcPr>
          <w:p w14:paraId="09B40948"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CLCD (Yang and Huang, 2021)</w:t>
            </w:r>
          </w:p>
        </w:tc>
        <w:tc>
          <w:tcPr>
            <w:tcW w:w="4536" w:type="dxa"/>
            <w:vAlign w:val="center"/>
          </w:tcPr>
          <w:p w14:paraId="5AD4C062"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1A32BF17" w14:textId="77777777" w:rsidTr="00053CB3">
        <w:trPr>
          <w:trHeight w:val="20"/>
          <w:jc w:val="center"/>
        </w:trPr>
        <w:tc>
          <w:tcPr>
            <w:tcW w:w="1302" w:type="dxa"/>
            <w:vMerge/>
            <w:vAlign w:val="center"/>
            <w:hideMark/>
          </w:tcPr>
          <w:p w14:paraId="2F308F5A"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74F832A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0BD25E2"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21</w:t>
            </w:r>
          </w:p>
        </w:tc>
        <w:tc>
          <w:tcPr>
            <w:tcW w:w="3808" w:type="dxa"/>
            <w:vAlign w:val="center"/>
            <w:hideMark/>
          </w:tcPr>
          <w:p w14:paraId="236345DD"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Soil erosion rate</w:t>
            </w:r>
          </w:p>
        </w:tc>
        <w:tc>
          <w:tcPr>
            <w:tcW w:w="3014" w:type="dxa"/>
            <w:vAlign w:val="center"/>
          </w:tcPr>
          <w:p w14:paraId="327C0561" w14:textId="77777777" w:rsidR="007C0283" w:rsidRPr="006757BF" w:rsidRDefault="007C0283" w:rsidP="00053CB3">
            <w:pPr>
              <w:adjustRightInd w:val="0"/>
              <w:snapToGrid w:val="0"/>
              <w:rPr>
                <w:rFonts w:ascii="Times New Roman" w:hAnsi="Times New Roman" w:cs="Times New Roman"/>
                <w:color w:val="000000"/>
                <w:sz w:val="18"/>
                <w:szCs w:val="18"/>
              </w:rPr>
            </w:pPr>
            <w:r w:rsidRPr="00FC6E84">
              <w:rPr>
                <w:rFonts w:ascii="Times New Roman" w:hAnsi="Times New Roman" w:cs="Times New Roman" w:hint="eastAsia"/>
                <w:color w:val="000000"/>
                <w:sz w:val="18"/>
                <w:szCs w:val="18"/>
              </w:rPr>
              <w:t>National Soil and Water Conservation Bulletin</w:t>
            </w:r>
            <w:r>
              <w:rPr>
                <w:rFonts w:ascii="Times New Roman" w:hAnsi="Times New Roman" w:cs="Times New Roman" w:hint="eastAsia"/>
                <w:color w:val="000000"/>
                <w:sz w:val="18"/>
                <w:szCs w:val="18"/>
              </w:rPr>
              <w:t xml:space="preserve"> and </w:t>
            </w:r>
            <w:r w:rsidRPr="00FC6E84">
              <w:rPr>
                <w:rFonts w:ascii="Times New Roman" w:hAnsi="Times New Roman" w:cs="Times New Roman" w:hint="eastAsia"/>
                <w:color w:val="000000"/>
                <w:sz w:val="18"/>
                <w:szCs w:val="18"/>
              </w:rPr>
              <w:t>China Statistical Yearbook</w:t>
            </w:r>
          </w:p>
        </w:tc>
        <w:tc>
          <w:tcPr>
            <w:tcW w:w="4536" w:type="dxa"/>
            <w:vAlign w:val="center"/>
          </w:tcPr>
          <w:p w14:paraId="5AE728C3"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7113A877" w14:textId="77777777" w:rsidR="007C0283" w:rsidRPr="006757BF" w:rsidRDefault="007C0283" w:rsidP="00053CB3">
            <w:pPr>
              <w:adjustRightInd w:val="0"/>
              <w:snapToGrid w:val="0"/>
              <w:rPr>
                <w:rFonts w:ascii="Times New Roman" w:hAnsi="Times New Roman" w:cs="Times New Roman"/>
                <w:color w:val="000000"/>
                <w:sz w:val="18"/>
                <w:szCs w:val="18"/>
              </w:rPr>
            </w:pPr>
            <w:r w:rsidRPr="003E62C8">
              <w:rPr>
                <w:rFonts w:ascii="Times New Roman" w:hAnsi="Times New Roman" w:cs="Times New Roman" w:hint="eastAsia"/>
                <w:color w:val="000000"/>
                <w:sz w:val="18"/>
                <w:szCs w:val="18"/>
              </w:rPr>
              <w:t xml:space="preserve">Since the bulletin reports soil erosion rate data only from 2018 onward, this study estimated the soil erosion rates for </w:t>
            </w:r>
            <w:r w:rsidRPr="003E62C8">
              <w:rPr>
                <w:rFonts w:ascii="Times New Roman" w:hAnsi="Times New Roman" w:cs="Times New Roman" w:hint="eastAsia"/>
                <w:color w:val="000000"/>
                <w:sz w:val="18"/>
                <w:szCs w:val="18"/>
              </w:rPr>
              <w:lastRenderedPageBreak/>
              <w:t>earlier years by the following steps. First, we obtained provincial-level soil erosion control area data for 2006 to 2023 from the China Statistical Yearbook. Second, we calculated the annual average conversion ratio between the soil erosion control area and the actual erosion reduction area for Chinese provinces based on the data from 2018 to 2023. Third, the pre-2018 soil erosion rates for Chinese provinces can be estimated.</w:t>
            </w:r>
          </w:p>
        </w:tc>
      </w:tr>
      <w:tr w:rsidR="007C0283" w:rsidRPr="006757BF" w14:paraId="674E86F6" w14:textId="77777777" w:rsidTr="00053CB3">
        <w:trPr>
          <w:trHeight w:val="20"/>
          <w:jc w:val="center"/>
        </w:trPr>
        <w:tc>
          <w:tcPr>
            <w:tcW w:w="1302" w:type="dxa"/>
            <w:vMerge/>
            <w:vAlign w:val="center"/>
            <w:hideMark/>
          </w:tcPr>
          <w:p w14:paraId="27D9918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60B0960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179386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22</w:t>
            </w:r>
          </w:p>
        </w:tc>
        <w:tc>
          <w:tcPr>
            <w:tcW w:w="3808" w:type="dxa"/>
            <w:vAlign w:val="center"/>
            <w:hideMark/>
          </w:tcPr>
          <w:p w14:paraId="5276A748"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Biological richness index</w:t>
            </w:r>
          </w:p>
        </w:tc>
        <w:tc>
          <w:tcPr>
            <w:tcW w:w="3014" w:type="dxa"/>
            <w:vAlign w:val="center"/>
          </w:tcPr>
          <w:p w14:paraId="2CFC4E66"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The Ministry of Ecology and Environment of China (MEE)</w:t>
            </w:r>
          </w:p>
        </w:tc>
        <w:tc>
          <w:tcPr>
            <w:tcW w:w="4536" w:type="dxa"/>
            <w:vAlign w:val="center"/>
          </w:tcPr>
          <w:p w14:paraId="66585F57"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sidRPr="00620C26">
              <w:rPr>
                <w:rFonts w:ascii="Times New Roman" w:hAnsi="Times New Roman" w:cs="Times New Roman" w:hint="eastAsia"/>
                <w:color w:val="000000"/>
                <w:sz w:val="18"/>
                <w:szCs w:val="18"/>
              </w:rPr>
              <w:t xml:space="preserve">eed to apply to the </w:t>
            </w:r>
            <w:r>
              <w:rPr>
                <w:rFonts w:ascii="Times New Roman" w:hAnsi="Times New Roman" w:cs="Times New Roman" w:hint="eastAsia"/>
                <w:color w:val="000000"/>
                <w:sz w:val="18"/>
                <w:szCs w:val="18"/>
              </w:rPr>
              <w:t>MEE</w:t>
            </w:r>
            <w:r w:rsidRPr="00620C26">
              <w:rPr>
                <w:rFonts w:ascii="Times New Roman" w:hAnsi="Times New Roman" w:cs="Times New Roman" w:hint="eastAsia"/>
                <w:color w:val="000000"/>
                <w:sz w:val="18"/>
                <w:szCs w:val="18"/>
              </w:rPr>
              <w:t xml:space="preserve"> for</w:t>
            </w:r>
            <w:r>
              <w:rPr>
                <w:rFonts w:ascii="Times New Roman" w:hAnsi="Times New Roman" w:cs="Times New Roman" w:hint="eastAsia"/>
                <w:color w:val="000000"/>
                <w:sz w:val="18"/>
                <w:szCs w:val="18"/>
              </w:rPr>
              <w:t xml:space="preserve"> the raw data. </w:t>
            </w:r>
            <w:r w:rsidRPr="00620C26">
              <w:rPr>
                <w:rFonts w:ascii="Times New Roman" w:hAnsi="Times New Roman" w:cs="Times New Roman" w:hint="eastAsia"/>
                <w:color w:val="000000"/>
                <w:sz w:val="18"/>
                <w:szCs w:val="18"/>
              </w:rPr>
              <w:t>The definition and calculation method of the biological richness index is specified in the Technical Criterion for Ecosystem Status Evaluation (HJ 192</w:t>
            </w:r>
            <w:r>
              <w:rPr>
                <w:rFonts w:ascii="Times New Roman" w:hAnsi="Times New Roman" w:cs="Times New Roman" w:hint="eastAsia"/>
                <w:color w:val="000000"/>
                <w:sz w:val="18"/>
                <w:szCs w:val="18"/>
              </w:rPr>
              <w:t>-</w:t>
            </w:r>
            <w:r w:rsidRPr="00620C26">
              <w:rPr>
                <w:rFonts w:ascii="Times New Roman" w:hAnsi="Times New Roman" w:cs="Times New Roman" w:hint="eastAsia"/>
                <w:color w:val="000000"/>
                <w:sz w:val="18"/>
                <w:szCs w:val="18"/>
              </w:rPr>
              <w:t>2015) issued by the MEE.</w:t>
            </w:r>
          </w:p>
        </w:tc>
      </w:tr>
      <w:tr w:rsidR="007C0283" w:rsidRPr="006757BF" w14:paraId="3570D58D" w14:textId="77777777" w:rsidTr="00053CB3">
        <w:trPr>
          <w:trHeight w:val="20"/>
          <w:jc w:val="center"/>
        </w:trPr>
        <w:tc>
          <w:tcPr>
            <w:tcW w:w="1302" w:type="dxa"/>
            <w:vMerge/>
            <w:vAlign w:val="center"/>
            <w:hideMark/>
          </w:tcPr>
          <w:p w14:paraId="4A9C7CF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7072AAE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7A1443D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23</w:t>
            </w:r>
          </w:p>
        </w:tc>
        <w:tc>
          <w:tcPr>
            <w:tcW w:w="3808" w:type="dxa"/>
            <w:vAlign w:val="center"/>
            <w:hideMark/>
          </w:tcPr>
          <w:p w14:paraId="767AEE0F"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NDVI</w:t>
            </w:r>
          </w:p>
        </w:tc>
        <w:tc>
          <w:tcPr>
            <w:tcW w:w="3014" w:type="dxa"/>
            <w:vAlign w:val="center"/>
          </w:tcPr>
          <w:p w14:paraId="650BB1C1"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B53A3F">
              <w:rPr>
                <w:rFonts w:ascii="Times New Roman" w:eastAsia="等线" w:hAnsi="Times New Roman" w:cs="Times New Roman" w:hint="eastAsia"/>
                <w:color w:val="000000"/>
                <w:sz w:val="18"/>
                <w:szCs w:val="18"/>
              </w:rPr>
              <w:t>A Chinese local NDVI dataset with a spatial resolution of 1 km</w:t>
            </w:r>
          </w:p>
        </w:tc>
        <w:tc>
          <w:tcPr>
            <w:tcW w:w="4536" w:type="dxa"/>
            <w:vAlign w:val="center"/>
          </w:tcPr>
          <w:p w14:paraId="0CAF2025"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Pr>
                <w:rFonts w:ascii="Times New Roman" w:hAnsi="Times New Roman" w:cs="Times New Roman" w:hint="eastAsia"/>
                <w:color w:val="000000"/>
                <w:sz w:val="18"/>
                <w:szCs w:val="18"/>
              </w:rPr>
              <w:t xml:space="preserve">The raw data </w:t>
            </w:r>
            <w:r w:rsidRPr="00B53A3F">
              <w:rPr>
                <w:rFonts w:ascii="Times New Roman" w:eastAsia="等线" w:hAnsi="Times New Roman" w:cs="Times New Roman" w:hint="eastAsia"/>
                <w:color w:val="000000"/>
                <w:sz w:val="18"/>
                <w:szCs w:val="18"/>
              </w:rPr>
              <w:t>is provided by the Ecological Meteorological Cloud Service Platform, operated by the Chinese Academy of Meteorological Sciences</w:t>
            </w:r>
            <w:r>
              <w:rPr>
                <w:rFonts w:ascii="Times New Roman" w:eastAsia="等线" w:hAnsi="Times New Roman" w:cs="Times New Roman" w:hint="eastAsia"/>
                <w:color w:val="000000"/>
                <w:sz w:val="18"/>
                <w:szCs w:val="18"/>
              </w:rPr>
              <w:t xml:space="preserve"> (</w:t>
            </w:r>
            <w:r w:rsidRPr="00E328F8">
              <w:rPr>
                <w:rFonts w:ascii="Times New Roman" w:eastAsia="等线" w:hAnsi="Times New Roman" w:cs="Times New Roman" w:hint="eastAsia"/>
                <w:color w:val="000000"/>
                <w:sz w:val="18"/>
                <w:szCs w:val="18"/>
              </w:rPr>
              <w:t>https://em.cams.cma.cn/#/dashhome</w:t>
            </w:r>
            <w:r>
              <w:rPr>
                <w:rFonts w:ascii="Times New Roman" w:eastAsia="等线" w:hAnsi="Times New Roman" w:cs="Times New Roman" w:hint="eastAsia"/>
                <w:color w:val="000000"/>
                <w:sz w:val="18"/>
                <w:szCs w:val="18"/>
              </w:rPr>
              <w:t>).</w:t>
            </w:r>
          </w:p>
        </w:tc>
      </w:tr>
      <w:tr w:rsidR="007C0283" w:rsidRPr="006757BF" w14:paraId="02D58C4D" w14:textId="77777777" w:rsidTr="00053CB3">
        <w:trPr>
          <w:trHeight w:val="20"/>
          <w:jc w:val="center"/>
        </w:trPr>
        <w:tc>
          <w:tcPr>
            <w:tcW w:w="1302" w:type="dxa"/>
            <w:vMerge/>
            <w:vAlign w:val="center"/>
            <w:hideMark/>
          </w:tcPr>
          <w:p w14:paraId="44BD5F3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2FFA5E0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Ecological protection and construction activities in rural areas</w:t>
            </w:r>
          </w:p>
        </w:tc>
        <w:tc>
          <w:tcPr>
            <w:tcW w:w="492" w:type="dxa"/>
            <w:vAlign w:val="center"/>
            <w:hideMark/>
          </w:tcPr>
          <w:p w14:paraId="32F704D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24</w:t>
            </w:r>
          </w:p>
        </w:tc>
        <w:tc>
          <w:tcPr>
            <w:tcW w:w="3808" w:type="dxa"/>
            <w:vAlign w:val="center"/>
            <w:hideMark/>
          </w:tcPr>
          <w:p w14:paraId="4981B06E"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The proportion of nature reserves to the land area</w:t>
            </w:r>
          </w:p>
        </w:tc>
        <w:tc>
          <w:tcPr>
            <w:tcW w:w="3014" w:type="dxa"/>
            <w:vAlign w:val="center"/>
          </w:tcPr>
          <w:p w14:paraId="0F5A3D43"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 and China Agricultural and Rural Statistical Yearbook</w:t>
            </w:r>
          </w:p>
        </w:tc>
        <w:tc>
          <w:tcPr>
            <w:tcW w:w="4536" w:type="dxa"/>
            <w:vAlign w:val="center"/>
          </w:tcPr>
          <w:p w14:paraId="13ECE9E4"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403459DC" w14:textId="77777777" w:rsidTr="00053CB3">
        <w:trPr>
          <w:trHeight w:val="20"/>
          <w:jc w:val="center"/>
        </w:trPr>
        <w:tc>
          <w:tcPr>
            <w:tcW w:w="1302" w:type="dxa"/>
            <w:vMerge/>
            <w:vAlign w:val="center"/>
            <w:hideMark/>
          </w:tcPr>
          <w:p w14:paraId="5574097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5F9CDDFF"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1FFD6B7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25</w:t>
            </w:r>
          </w:p>
        </w:tc>
        <w:tc>
          <w:tcPr>
            <w:tcW w:w="3808" w:type="dxa"/>
            <w:vAlign w:val="center"/>
            <w:hideMark/>
          </w:tcPr>
          <w:p w14:paraId="58104FF4"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ecological protection red line to land area</w:t>
            </w:r>
          </w:p>
        </w:tc>
        <w:tc>
          <w:tcPr>
            <w:tcW w:w="3014" w:type="dxa"/>
            <w:vAlign w:val="center"/>
          </w:tcPr>
          <w:p w14:paraId="04D8256D" w14:textId="77777777" w:rsidR="007C0283" w:rsidRPr="006757BF" w:rsidRDefault="007C0283" w:rsidP="00053CB3">
            <w:pPr>
              <w:adjustRightInd w:val="0"/>
              <w:snapToGrid w:val="0"/>
              <w:rPr>
                <w:rFonts w:ascii="Times New Roman" w:hAnsi="Times New Roman" w:cs="Times New Roman"/>
                <w:color w:val="000000"/>
                <w:sz w:val="18"/>
                <w:szCs w:val="18"/>
              </w:rPr>
            </w:pPr>
            <w:r w:rsidRPr="009A52AC">
              <w:rPr>
                <w:rFonts w:ascii="Times New Roman" w:hAnsi="Times New Roman" w:cs="Times New Roman" w:hint="eastAsia"/>
                <w:color w:val="000000"/>
                <w:sz w:val="18"/>
                <w:szCs w:val="18"/>
              </w:rPr>
              <w:t xml:space="preserve">Planning documents or bulletins issued by </w:t>
            </w:r>
            <w:r>
              <w:rPr>
                <w:rFonts w:ascii="Times New Roman" w:hAnsi="Times New Roman" w:cs="Times New Roman" w:hint="eastAsia"/>
                <w:color w:val="000000"/>
                <w:sz w:val="18"/>
                <w:szCs w:val="18"/>
              </w:rPr>
              <w:t xml:space="preserve">Chinese </w:t>
            </w:r>
            <w:r w:rsidRPr="009A52AC">
              <w:rPr>
                <w:rFonts w:ascii="Times New Roman" w:hAnsi="Times New Roman" w:cs="Times New Roman" w:hint="eastAsia"/>
                <w:color w:val="000000"/>
                <w:sz w:val="18"/>
                <w:szCs w:val="18"/>
              </w:rPr>
              <w:t>provinces</w:t>
            </w:r>
          </w:p>
        </w:tc>
        <w:tc>
          <w:tcPr>
            <w:tcW w:w="4536" w:type="dxa"/>
            <w:vAlign w:val="center"/>
          </w:tcPr>
          <w:p w14:paraId="73207BA5"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 xml:space="preserve">Public data, </w:t>
            </w:r>
            <w:r>
              <w:rPr>
                <w:rFonts w:ascii="Times New Roman" w:hAnsi="Times New Roman" w:cs="Times New Roman" w:hint="eastAsia"/>
                <w:color w:val="000000"/>
                <w:sz w:val="18"/>
                <w:szCs w:val="18"/>
              </w:rPr>
              <w:t>c</w:t>
            </w:r>
            <w:r w:rsidRPr="00466D09">
              <w:rPr>
                <w:rFonts w:ascii="Times New Roman" w:hAnsi="Times New Roman" w:cs="Times New Roman" w:hint="eastAsia"/>
                <w:color w:val="000000"/>
                <w:sz w:val="18"/>
                <w:szCs w:val="18"/>
              </w:rPr>
              <w:t>an be searched directly on the Internet</w:t>
            </w:r>
            <w:r>
              <w:rPr>
                <w:rFonts w:ascii="Times New Roman" w:hAnsi="Times New Roman" w:cs="Times New Roman" w:hint="eastAsia"/>
                <w:color w:val="000000"/>
                <w:sz w:val="18"/>
                <w:szCs w:val="18"/>
              </w:rPr>
              <w:t>.</w:t>
            </w:r>
          </w:p>
        </w:tc>
      </w:tr>
      <w:tr w:rsidR="007C0283" w:rsidRPr="006757BF" w14:paraId="74C62C6E" w14:textId="77777777" w:rsidTr="00053CB3">
        <w:trPr>
          <w:trHeight w:val="20"/>
          <w:jc w:val="center"/>
        </w:trPr>
        <w:tc>
          <w:tcPr>
            <w:tcW w:w="1302" w:type="dxa"/>
            <w:vMerge/>
            <w:vAlign w:val="center"/>
            <w:hideMark/>
          </w:tcPr>
          <w:p w14:paraId="33681C92"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3C1CEA1A"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C4DB1DA"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26</w:t>
            </w:r>
          </w:p>
        </w:tc>
        <w:tc>
          <w:tcPr>
            <w:tcW w:w="3808" w:type="dxa"/>
            <w:vAlign w:val="center"/>
            <w:hideMark/>
          </w:tcPr>
          <w:p w14:paraId="0BACB9D6"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greening rate, per capita park green area in rural areas</w:t>
            </w:r>
          </w:p>
        </w:tc>
        <w:tc>
          <w:tcPr>
            <w:tcW w:w="3014" w:type="dxa"/>
            <w:vAlign w:val="center"/>
          </w:tcPr>
          <w:p w14:paraId="7C61FEB6"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56758041"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0DFF6593" w14:textId="77777777" w:rsidTr="00053CB3">
        <w:trPr>
          <w:trHeight w:val="20"/>
          <w:jc w:val="center"/>
        </w:trPr>
        <w:tc>
          <w:tcPr>
            <w:tcW w:w="1302" w:type="dxa"/>
            <w:vMerge/>
            <w:vAlign w:val="center"/>
            <w:hideMark/>
          </w:tcPr>
          <w:p w14:paraId="71A36A99"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253D6C7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4077C97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27</w:t>
            </w:r>
          </w:p>
        </w:tc>
        <w:tc>
          <w:tcPr>
            <w:tcW w:w="3808" w:type="dxa"/>
            <w:vAlign w:val="center"/>
            <w:hideMark/>
          </w:tcPr>
          <w:p w14:paraId="4E78635F"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afforestation to regional area</w:t>
            </w:r>
          </w:p>
        </w:tc>
        <w:tc>
          <w:tcPr>
            <w:tcW w:w="3014" w:type="dxa"/>
            <w:vAlign w:val="center"/>
          </w:tcPr>
          <w:p w14:paraId="7B89137E"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Statistical Yearbook</w:t>
            </w:r>
          </w:p>
        </w:tc>
        <w:tc>
          <w:tcPr>
            <w:tcW w:w="4536" w:type="dxa"/>
            <w:vAlign w:val="center"/>
          </w:tcPr>
          <w:p w14:paraId="54BDBCC3"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74B50574" w14:textId="77777777" w:rsidTr="00053CB3">
        <w:trPr>
          <w:trHeight w:val="20"/>
          <w:jc w:val="center"/>
        </w:trPr>
        <w:tc>
          <w:tcPr>
            <w:tcW w:w="1302" w:type="dxa"/>
            <w:vMerge w:val="restart"/>
            <w:vAlign w:val="center"/>
            <w:hideMark/>
          </w:tcPr>
          <w:p w14:paraId="19E87EF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Quality and sustainability of rural residential environment</w:t>
            </w:r>
          </w:p>
        </w:tc>
        <w:tc>
          <w:tcPr>
            <w:tcW w:w="1302" w:type="dxa"/>
            <w:vMerge w:val="restart"/>
            <w:vAlign w:val="center"/>
            <w:hideMark/>
          </w:tcPr>
          <w:p w14:paraId="075C677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Environmental pressures associated with rural lives</w:t>
            </w:r>
          </w:p>
        </w:tc>
        <w:tc>
          <w:tcPr>
            <w:tcW w:w="492" w:type="dxa"/>
            <w:vAlign w:val="center"/>
            <w:hideMark/>
          </w:tcPr>
          <w:p w14:paraId="7EF8D7A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28</w:t>
            </w:r>
          </w:p>
        </w:tc>
        <w:tc>
          <w:tcPr>
            <w:tcW w:w="3808" w:type="dxa"/>
            <w:vAlign w:val="center"/>
            <w:hideMark/>
          </w:tcPr>
          <w:p w14:paraId="2B7602B4"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Domestic sewage treatment pressure</w:t>
            </w:r>
          </w:p>
        </w:tc>
        <w:tc>
          <w:tcPr>
            <w:tcW w:w="3014" w:type="dxa"/>
            <w:vAlign w:val="center"/>
          </w:tcPr>
          <w:p w14:paraId="69526F8E"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r>
              <w:rPr>
                <w:rFonts w:ascii="Times New Roman" w:hAnsi="Times New Roman" w:cs="Times New Roman" w:hint="eastAsia"/>
                <w:color w:val="000000"/>
                <w:sz w:val="18"/>
                <w:szCs w:val="18"/>
              </w:rPr>
              <w:t xml:space="preserve">, </w:t>
            </w:r>
            <w:r w:rsidRPr="006757BF">
              <w:rPr>
                <w:rFonts w:ascii="Times New Roman" w:hAnsi="Times New Roman" w:cs="Times New Roman"/>
                <w:color w:val="000000"/>
                <w:sz w:val="18"/>
                <w:szCs w:val="18"/>
              </w:rPr>
              <w:t>China Statistical Yearbook</w:t>
            </w:r>
            <w:r>
              <w:rPr>
                <w:rFonts w:ascii="Times New Roman" w:hAnsi="Times New Roman" w:cs="Times New Roman" w:hint="eastAsia"/>
                <w:color w:val="000000"/>
                <w:sz w:val="18"/>
                <w:szCs w:val="18"/>
              </w:rPr>
              <w:t xml:space="preserve">, and the </w:t>
            </w:r>
            <w:r w:rsidRPr="00EE710F">
              <w:rPr>
                <w:rFonts w:ascii="Times New Roman" w:hAnsi="Times New Roman" w:cs="Times New Roman" w:hint="eastAsia"/>
                <w:color w:val="000000"/>
                <w:sz w:val="18"/>
                <w:szCs w:val="18"/>
              </w:rPr>
              <w:t xml:space="preserve">Manual on </w:t>
            </w:r>
            <w:r>
              <w:rPr>
                <w:rFonts w:ascii="Times New Roman" w:hAnsi="Times New Roman" w:cs="Times New Roman" w:hint="eastAsia"/>
                <w:color w:val="000000"/>
                <w:sz w:val="18"/>
                <w:szCs w:val="18"/>
              </w:rPr>
              <w:t>M</w:t>
            </w:r>
            <w:r w:rsidRPr="00EE710F">
              <w:rPr>
                <w:rFonts w:ascii="Times New Roman" w:hAnsi="Times New Roman" w:cs="Times New Roman" w:hint="eastAsia"/>
                <w:color w:val="000000"/>
                <w:sz w:val="18"/>
                <w:szCs w:val="18"/>
              </w:rPr>
              <w:t xml:space="preserve">ethods and </w:t>
            </w:r>
            <w:r>
              <w:rPr>
                <w:rFonts w:ascii="Times New Roman" w:hAnsi="Times New Roman" w:cs="Times New Roman" w:hint="eastAsia"/>
                <w:color w:val="000000"/>
                <w:sz w:val="18"/>
                <w:szCs w:val="18"/>
              </w:rPr>
              <w:t>C</w:t>
            </w:r>
            <w:r w:rsidRPr="00EE710F">
              <w:rPr>
                <w:rFonts w:ascii="Times New Roman" w:hAnsi="Times New Roman" w:cs="Times New Roman" w:hint="eastAsia"/>
                <w:color w:val="000000"/>
                <w:sz w:val="18"/>
                <w:szCs w:val="18"/>
              </w:rPr>
              <w:t xml:space="preserve">oefficients for </w:t>
            </w:r>
            <w:r>
              <w:rPr>
                <w:rFonts w:ascii="Times New Roman" w:hAnsi="Times New Roman" w:cs="Times New Roman" w:hint="eastAsia"/>
                <w:color w:val="000000"/>
                <w:sz w:val="18"/>
                <w:szCs w:val="18"/>
              </w:rPr>
              <w:t>C</w:t>
            </w:r>
            <w:r w:rsidRPr="00EE710F">
              <w:rPr>
                <w:rFonts w:ascii="Times New Roman" w:hAnsi="Times New Roman" w:cs="Times New Roman" w:hint="eastAsia"/>
                <w:color w:val="000000"/>
                <w:sz w:val="18"/>
                <w:szCs w:val="18"/>
              </w:rPr>
              <w:t xml:space="preserve">alculating </w:t>
            </w:r>
            <w:r>
              <w:rPr>
                <w:rFonts w:ascii="Times New Roman" w:hAnsi="Times New Roman" w:cs="Times New Roman" w:hint="eastAsia"/>
                <w:color w:val="000000"/>
                <w:sz w:val="18"/>
                <w:szCs w:val="18"/>
              </w:rPr>
              <w:t>P</w:t>
            </w:r>
            <w:r w:rsidRPr="00EE710F">
              <w:rPr>
                <w:rFonts w:ascii="Times New Roman" w:hAnsi="Times New Roman" w:cs="Times New Roman" w:hint="eastAsia"/>
                <w:color w:val="000000"/>
                <w:sz w:val="18"/>
                <w:szCs w:val="18"/>
              </w:rPr>
              <w:t xml:space="preserve">ollution </w:t>
            </w:r>
            <w:r>
              <w:rPr>
                <w:rFonts w:ascii="Times New Roman" w:hAnsi="Times New Roman" w:cs="Times New Roman" w:hint="eastAsia"/>
                <w:color w:val="000000"/>
                <w:sz w:val="18"/>
                <w:szCs w:val="18"/>
              </w:rPr>
              <w:t>P</w:t>
            </w:r>
            <w:r w:rsidRPr="00EE710F">
              <w:rPr>
                <w:rFonts w:ascii="Times New Roman" w:hAnsi="Times New Roman" w:cs="Times New Roman" w:hint="eastAsia"/>
                <w:color w:val="000000"/>
                <w:sz w:val="18"/>
                <w:szCs w:val="18"/>
              </w:rPr>
              <w:t xml:space="preserve">roduction and </w:t>
            </w:r>
            <w:r>
              <w:rPr>
                <w:rFonts w:ascii="Times New Roman" w:hAnsi="Times New Roman" w:cs="Times New Roman" w:hint="eastAsia"/>
                <w:color w:val="000000"/>
                <w:sz w:val="18"/>
                <w:szCs w:val="18"/>
              </w:rPr>
              <w:t>E</w:t>
            </w:r>
            <w:r w:rsidRPr="00EE710F">
              <w:rPr>
                <w:rFonts w:ascii="Times New Roman" w:hAnsi="Times New Roman" w:cs="Times New Roman" w:hint="eastAsia"/>
                <w:color w:val="000000"/>
                <w:sz w:val="18"/>
                <w:szCs w:val="18"/>
              </w:rPr>
              <w:t xml:space="preserve">mission from </w:t>
            </w:r>
            <w:r>
              <w:rPr>
                <w:rFonts w:ascii="Times New Roman" w:hAnsi="Times New Roman" w:cs="Times New Roman" w:hint="eastAsia"/>
                <w:color w:val="000000"/>
                <w:sz w:val="18"/>
                <w:szCs w:val="18"/>
              </w:rPr>
              <w:t>E</w:t>
            </w:r>
            <w:r w:rsidRPr="00EE710F">
              <w:rPr>
                <w:rFonts w:ascii="Times New Roman" w:hAnsi="Times New Roman" w:cs="Times New Roman" w:hint="eastAsia"/>
                <w:color w:val="000000"/>
                <w:sz w:val="18"/>
                <w:szCs w:val="18"/>
              </w:rPr>
              <w:t xml:space="preserve">mission </w:t>
            </w:r>
            <w:r>
              <w:rPr>
                <w:rFonts w:ascii="Times New Roman" w:hAnsi="Times New Roman" w:cs="Times New Roman" w:hint="eastAsia"/>
                <w:color w:val="000000"/>
                <w:sz w:val="18"/>
                <w:szCs w:val="18"/>
              </w:rPr>
              <w:t>S</w:t>
            </w:r>
            <w:r w:rsidRPr="00EE710F">
              <w:rPr>
                <w:rFonts w:ascii="Times New Roman" w:hAnsi="Times New Roman" w:cs="Times New Roman" w:hint="eastAsia"/>
                <w:color w:val="000000"/>
                <w:sz w:val="18"/>
                <w:szCs w:val="18"/>
              </w:rPr>
              <w:t xml:space="preserve">ource </w:t>
            </w:r>
            <w:r>
              <w:rPr>
                <w:rFonts w:ascii="Times New Roman" w:hAnsi="Times New Roman" w:cs="Times New Roman" w:hint="eastAsia"/>
                <w:color w:val="000000"/>
                <w:sz w:val="18"/>
                <w:szCs w:val="18"/>
              </w:rPr>
              <w:t>S</w:t>
            </w:r>
            <w:r w:rsidRPr="00EE710F">
              <w:rPr>
                <w:rFonts w:ascii="Times New Roman" w:hAnsi="Times New Roman" w:cs="Times New Roman" w:hint="eastAsia"/>
                <w:color w:val="000000"/>
                <w:sz w:val="18"/>
                <w:szCs w:val="18"/>
              </w:rPr>
              <w:t xml:space="preserve">tatistics </w:t>
            </w:r>
            <w:r>
              <w:rPr>
                <w:rFonts w:ascii="Times New Roman" w:hAnsi="Times New Roman" w:cs="Times New Roman" w:hint="eastAsia"/>
                <w:color w:val="000000"/>
                <w:sz w:val="18"/>
                <w:szCs w:val="18"/>
              </w:rPr>
              <w:t>S</w:t>
            </w:r>
            <w:r w:rsidRPr="00EE710F">
              <w:rPr>
                <w:rFonts w:ascii="Times New Roman" w:hAnsi="Times New Roman" w:cs="Times New Roman" w:hint="eastAsia"/>
                <w:color w:val="000000"/>
                <w:sz w:val="18"/>
                <w:szCs w:val="18"/>
              </w:rPr>
              <w:t>urvey</w:t>
            </w:r>
            <w:r>
              <w:rPr>
                <w:rFonts w:ascii="Times New Roman" w:hAnsi="Times New Roman" w:cs="Times New Roman" w:hint="eastAsia"/>
                <w:color w:val="000000"/>
                <w:sz w:val="18"/>
                <w:szCs w:val="18"/>
              </w:rPr>
              <w:t xml:space="preserve"> issued by the MEE</w:t>
            </w:r>
          </w:p>
        </w:tc>
        <w:tc>
          <w:tcPr>
            <w:tcW w:w="4536" w:type="dxa"/>
            <w:vAlign w:val="center"/>
          </w:tcPr>
          <w:p w14:paraId="1A8E9552"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6B03327E" w14:textId="77777777" w:rsidR="007C0283" w:rsidRPr="006757BF" w:rsidRDefault="007C0283" w:rsidP="00053CB3">
            <w:pPr>
              <w:adjustRightInd w:val="0"/>
              <w:snapToGrid w:val="0"/>
              <w:rPr>
                <w:rFonts w:ascii="Times New Roman" w:hAnsi="Times New Roman" w:cs="Times New Roman"/>
                <w:color w:val="000000"/>
                <w:sz w:val="18"/>
                <w:szCs w:val="18"/>
              </w:rPr>
            </w:pPr>
            <w:r w:rsidRPr="000C1D48">
              <w:rPr>
                <w:rFonts w:ascii="Times New Roman" w:hAnsi="Times New Roman" w:cs="Times New Roman" w:hint="eastAsia"/>
                <w:color w:val="000000"/>
                <w:sz w:val="18"/>
                <w:szCs w:val="18"/>
              </w:rPr>
              <w:t>The pressure of domestic sewage treatment is assessed by the ratio of rural domestic sewage generation to the available treatment capacity. Rural domestic sewage generation is estimated using province-specific rural population data and corresponding per capita sewage generation coefficients.</w:t>
            </w:r>
          </w:p>
        </w:tc>
      </w:tr>
      <w:tr w:rsidR="007C0283" w:rsidRPr="006757BF" w14:paraId="46B09322" w14:textId="77777777" w:rsidTr="00053CB3">
        <w:trPr>
          <w:trHeight w:val="20"/>
          <w:jc w:val="center"/>
        </w:trPr>
        <w:tc>
          <w:tcPr>
            <w:tcW w:w="1302" w:type="dxa"/>
            <w:vMerge/>
            <w:vAlign w:val="center"/>
            <w:hideMark/>
          </w:tcPr>
          <w:p w14:paraId="5F9F32B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796A89BF"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073365B7"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29</w:t>
            </w:r>
          </w:p>
        </w:tc>
        <w:tc>
          <w:tcPr>
            <w:tcW w:w="3808" w:type="dxa"/>
            <w:vAlign w:val="center"/>
            <w:hideMark/>
          </w:tcPr>
          <w:p w14:paraId="59D1E4BC"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 xml:space="preserve">Pressure </w:t>
            </w:r>
            <w:r>
              <w:rPr>
                <w:rFonts w:ascii="Times New Roman" w:hAnsi="Times New Roman" w:cs="Times New Roman" w:hint="eastAsia"/>
                <w:color w:val="000000"/>
                <w:sz w:val="18"/>
                <w:szCs w:val="18"/>
              </w:rPr>
              <w:t>of</w:t>
            </w:r>
            <w:r w:rsidRPr="006757BF">
              <w:rPr>
                <w:rFonts w:ascii="Times New Roman" w:hAnsi="Times New Roman" w:cs="Times New Roman"/>
                <w:color w:val="000000"/>
                <w:sz w:val="18"/>
                <w:szCs w:val="18"/>
              </w:rPr>
              <w:t xml:space="preserve"> domestic waste collection and transportation</w:t>
            </w:r>
          </w:p>
        </w:tc>
        <w:tc>
          <w:tcPr>
            <w:tcW w:w="3014" w:type="dxa"/>
            <w:vAlign w:val="center"/>
          </w:tcPr>
          <w:p w14:paraId="6440F688"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r>
              <w:rPr>
                <w:rFonts w:ascii="Times New Roman" w:hAnsi="Times New Roman" w:cs="Times New Roman" w:hint="eastAsia"/>
                <w:color w:val="000000"/>
                <w:sz w:val="18"/>
                <w:szCs w:val="18"/>
              </w:rPr>
              <w:t>,</w:t>
            </w:r>
            <w:r w:rsidRPr="006757BF">
              <w:rPr>
                <w:rFonts w:ascii="Times New Roman" w:hAnsi="Times New Roman" w:cs="Times New Roman"/>
                <w:color w:val="000000"/>
                <w:sz w:val="18"/>
                <w:szCs w:val="18"/>
              </w:rPr>
              <w:t xml:space="preserve"> China Statistical Yearbook</w:t>
            </w:r>
            <w:r>
              <w:rPr>
                <w:rFonts w:ascii="Times New Roman" w:hAnsi="Times New Roman" w:cs="Times New Roman" w:hint="eastAsia"/>
                <w:color w:val="000000"/>
                <w:sz w:val="18"/>
                <w:szCs w:val="18"/>
              </w:rPr>
              <w:t>, and Li et al. (2018).</w:t>
            </w:r>
          </w:p>
        </w:tc>
        <w:tc>
          <w:tcPr>
            <w:tcW w:w="4536" w:type="dxa"/>
            <w:vAlign w:val="center"/>
          </w:tcPr>
          <w:p w14:paraId="2B3EB160"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1F276DEB" w14:textId="77777777" w:rsidR="007C0283" w:rsidRPr="006757BF" w:rsidRDefault="007C0283" w:rsidP="00053CB3">
            <w:pPr>
              <w:adjustRightInd w:val="0"/>
              <w:snapToGrid w:val="0"/>
              <w:rPr>
                <w:rFonts w:ascii="Times New Roman" w:hAnsi="Times New Roman" w:cs="Times New Roman"/>
                <w:color w:val="000000"/>
                <w:sz w:val="18"/>
                <w:szCs w:val="18"/>
              </w:rPr>
            </w:pPr>
            <w:r w:rsidRPr="002343DD">
              <w:rPr>
                <w:rFonts w:ascii="Times New Roman" w:hAnsi="Times New Roman" w:cs="Times New Roman" w:hint="eastAsia"/>
                <w:color w:val="000000"/>
                <w:sz w:val="18"/>
                <w:szCs w:val="18"/>
              </w:rPr>
              <w:t xml:space="preserve">The pressure associated with domestic waste collection and transportation is evaluated based on the total volume of domestic waste generated in rural areas and the number of collection and transportation stations. Rural domestic waste generation is estimated using provincial data on rural population and per capita waste generation. The per capita domestic waste generation parameters are derived from high-quality survey statistics (Li et al., 2018), which closely align with the benchmark values recommended in the Guideline on Project Construction and Investment for Rural Garbage Classification </w:t>
            </w:r>
            <w:r w:rsidRPr="002343DD">
              <w:rPr>
                <w:rFonts w:ascii="Times New Roman" w:hAnsi="Times New Roman" w:cs="Times New Roman" w:hint="eastAsia"/>
                <w:color w:val="000000"/>
                <w:sz w:val="18"/>
                <w:szCs w:val="18"/>
              </w:rPr>
              <w:t>＆</w:t>
            </w:r>
            <w:r w:rsidRPr="002343DD">
              <w:rPr>
                <w:rFonts w:ascii="Times New Roman" w:hAnsi="Times New Roman" w:cs="Times New Roman" w:hint="eastAsia"/>
                <w:color w:val="000000"/>
                <w:sz w:val="18"/>
                <w:szCs w:val="18"/>
              </w:rPr>
              <w:t xml:space="preserve"> Click-Transport and Treatment</w:t>
            </w:r>
            <w:r>
              <w:rPr>
                <w:rFonts w:ascii="Times New Roman" w:hAnsi="Times New Roman" w:cs="Times New Roman" w:hint="eastAsia"/>
                <w:color w:val="000000"/>
                <w:sz w:val="18"/>
                <w:szCs w:val="18"/>
              </w:rPr>
              <w:t xml:space="preserve"> (</w:t>
            </w:r>
            <w:r w:rsidRPr="002343DD">
              <w:rPr>
                <w:rFonts w:ascii="Times New Roman" w:hAnsi="Times New Roman" w:cs="Times New Roman" w:hint="eastAsia"/>
                <w:color w:val="000000"/>
                <w:sz w:val="18"/>
                <w:szCs w:val="18"/>
              </w:rPr>
              <w:t>issued by the MEE</w:t>
            </w:r>
            <w:r>
              <w:rPr>
                <w:rFonts w:ascii="Times New Roman" w:hAnsi="Times New Roman" w:cs="Times New Roman" w:hint="eastAsia"/>
                <w:color w:val="000000"/>
                <w:sz w:val="18"/>
                <w:szCs w:val="18"/>
              </w:rPr>
              <w:t>)</w:t>
            </w:r>
            <w:r w:rsidRPr="002343DD">
              <w:rPr>
                <w:rFonts w:ascii="Times New Roman" w:hAnsi="Times New Roman" w:cs="Times New Roman" w:hint="eastAsia"/>
                <w:color w:val="000000"/>
                <w:sz w:val="18"/>
                <w:szCs w:val="18"/>
              </w:rPr>
              <w:t>.</w:t>
            </w:r>
          </w:p>
        </w:tc>
      </w:tr>
      <w:tr w:rsidR="007C0283" w:rsidRPr="006757BF" w14:paraId="222B2991" w14:textId="77777777" w:rsidTr="00053CB3">
        <w:trPr>
          <w:trHeight w:val="20"/>
          <w:jc w:val="center"/>
        </w:trPr>
        <w:tc>
          <w:tcPr>
            <w:tcW w:w="1302" w:type="dxa"/>
            <w:vMerge/>
            <w:vAlign w:val="center"/>
            <w:hideMark/>
          </w:tcPr>
          <w:p w14:paraId="7F09531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23C6A8F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174C404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30</w:t>
            </w:r>
          </w:p>
        </w:tc>
        <w:tc>
          <w:tcPr>
            <w:tcW w:w="3808" w:type="dxa"/>
            <w:vAlign w:val="center"/>
            <w:hideMark/>
          </w:tcPr>
          <w:p w14:paraId="634AC100"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CO</w:t>
            </w:r>
            <w:r w:rsidRPr="006757BF">
              <w:rPr>
                <w:rFonts w:ascii="Times New Roman" w:hAnsi="Times New Roman" w:cs="Times New Roman"/>
                <w:color w:val="000000"/>
                <w:sz w:val="18"/>
                <w:szCs w:val="18"/>
                <w:vertAlign w:val="subscript"/>
              </w:rPr>
              <w:t>2</w:t>
            </w:r>
            <w:r w:rsidRPr="006757BF">
              <w:rPr>
                <w:rFonts w:ascii="Times New Roman" w:hAnsi="Times New Roman" w:cs="Times New Roman"/>
                <w:color w:val="000000"/>
                <w:sz w:val="18"/>
                <w:szCs w:val="18"/>
              </w:rPr>
              <w:t xml:space="preserve"> emissions per capita</w:t>
            </w:r>
          </w:p>
        </w:tc>
        <w:tc>
          <w:tcPr>
            <w:tcW w:w="3014" w:type="dxa"/>
            <w:vAlign w:val="center"/>
          </w:tcPr>
          <w:p w14:paraId="45DB1BB4"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Carbon Emission Accounts and Datasets (CEADs) (Guan et al., 2021; Shan et al., 2016; Shan et al., 2018; Shan et al., 2020; Xu et al., 2024)</w:t>
            </w:r>
          </w:p>
        </w:tc>
        <w:tc>
          <w:tcPr>
            <w:tcW w:w="4536" w:type="dxa"/>
            <w:vAlign w:val="center"/>
          </w:tcPr>
          <w:p w14:paraId="01C2A827"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23B998E4"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The CEADs do not provide CO</w:t>
            </w:r>
            <w:r w:rsidRPr="00A11565">
              <w:rPr>
                <w:rFonts w:ascii="Times New Roman" w:hAnsi="Times New Roman" w:cs="Times New Roman" w:hint="eastAsia"/>
                <w:color w:val="000000"/>
                <w:sz w:val="18"/>
                <w:szCs w:val="18"/>
                <w:vertAlign w:val="subscript"/>
              </w:rPr>
              <w:t>2</w:t>
            </w:r>
            <w:r>
              <w:rPr>
                <w:rFonts w:ascii="Times New Roman" w:hAnsi="Times New Roman" w:cs="Times New Roman" w:hint="eastAsia"/>
                <w:color w:val="000000"/>
                <w:sz w:val="18"/>
                <w:szCs w:val="18"/>
              </w:rPr>
              <w:t xml:space="preserve"> emission data for 2022 and 2023. Therefore, this study estimates </w:t>
            </w:r>
            <w:r>
              <w:rPr>
                <w:rFonts w:ascii="Times New Roman" w:hAnsi="Times New Roman" w:cs="Times New Roman"/>
                <w:color w:val="000000"/>
                <w:sz w:val="18"/>
                <w:szCs w:val="18"/>
              </w:rPr>
              <w:t>the</w:t>
            </w:r>
            <w:r>
              <w:rPr>
                <w:rFonts w:ascii="Times New Roman" w:hAnsi="Times New Roman" w:cs="Times New Roman" w:hint="eastAsia"/>
                <w:color w:val="000000"/>
                <w:sz w:val="18"/>
                <w:szCs w:val="18"/>
              </w:rPr>
              <w:t xml:space="preserve"> data based on the trend data obtained from t</w:t>
            </w:r>
            <w:r w:rsidRPr="009F2D8B">
              <w:rPr>
                <w:rFonts w:ascii="Times New Roman" w:hAnsi="Times New Roman" w:cs="Times New Roman" w:hint="eastAsia"/>
                <w:color w:val="000000"/>
                <w:sz w:val="18"/>
                <w:szCs w:val="18"/>
              </w:rPr>
              <w:t>he Open-source Data Inventory for Anthropogenic CO</w:t>
            </w:r>
            <w:r w:rsidRPr="009F2D8B">
              <w:rPr>
                <w:rFonts w:ascii="Times New Roman" w:hAnsi="Times New Roman" w:cs="Times New Roman" w:hint="eastAsia"/>
                <w:color w:val="000000"/>
                <w:sz w:val="18"/>
                <w:szCs w:val="18"/>
                <w:vertAlign w:val="subscript"/>
              </w:rPr>
              <w:t>2</w:t>
            </w:r>
            <w:r>
              <w:rPr>
                <w:rFonts w:ascii="Times New Roman" w:hAnsi="Times New Roman" w:cs="Times New Roman" w:hint="eastAsia"/>
                <w:color w:val="000000"/>
                <w:sz w:val="18"/>
                <w:szCs w:val="18"/>
                <w:vertAlign w:val="subscript"/>
              </w:rPr>
              <w:t xml:space="preserve"> </w:t>
            </w:r>
            <w:r>
              <w:rPr>
                <w:rFonts w:ascii="Times New Roman" w:hAnsi="Times New Roman" w:cs="Times New Roman" w:hint="eastAsia"/>
                <w:color w:val="000000"/>
                <w:sz w:val="18"/>
                <w:szCs w:val="18"/>
              </w:rPr>
              <w:t>(ODIAC) (Oda et al., 2018).</w:t>
            </w:r>
          </w:p>
        </w:tc>
      </w:tr>
      <w:tr w:rsidR="007C0283" w:rsidRPr="006757BF" w14:paraId="32652308" w14:textId="77777777" w:rsidTr="00053CB3">
        <w:trPr>
          <w:trHeight w:val="20"/>
          <w:jc w:val="center"/>
        </w:trPr>
        <w:tc>
          <w:tcPr>
            <w:tcW w:w="1302" w:type="dxa"/>
            <w:vMerge/>
            <w:vAlign w:val="center"/>
            <w:hideMark/>
          </w:tcPr>
          <w:p w14:paraId="6CE655C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5B756C5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environmental quality</w:t>
            </w:r>
          </w:p>
        </w:tc>
        <w:tc>
          <w:tcPr>
            <w:tcW w:w="492" w:type="dxa"/>
            <w:vAlign w:val="center"/>
            <w:hideMark/>
          </w:tcPr>
          <w:p w14:paraId="42C91BBE"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31</w:t>
            </w:r>
          </w:p>
        </w:tc>
        <w:tc>
          <w:tcPr>
            <w:tcW w:w="3808" w:type="dxa"/>
            <w:vAlign w:val="center"/>
            <w:hideMark/>
          </w:tcPr>
          <w:p w14:paraId="383A2A55"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City average concentration of ambient PM</w:t>
            </w:r>
            <w:r w:rsidRPr="006757BF">
              <w:rPr>
                <w:rFonts w:ascii="Times New Roman" w:hAnsi="Times New Roman" w:cs="Times New Roman"/>
                <w:color w:val="000000"/>
                <w:sz w:val="18"/>
                <w:szCs w:val="18"/>
                <w:vertAlign w:val="subscript"/>
              </w:rPr>
              <w:t>2.5</w:t>
            </w:r>
            <w:r w:rsidRPr="006757BF">
              <w:rPr>
                <w:rFonts w:ascii="Times New Roman" w:hAnsi="Times New Roman" w:cs="Times New Roman"/>
                <w:color w:val="000000"/>
                <w:sz w:val="18"/>
                <w:szCs w:val="18"/>
              </w:rPr>
              <w:t xml:space="preserve"> and ozone in rural areas</w:t>
            </w:r>
          </w:p>
        </w:tc>
        <w:tc>
          <w:tcPr>
            <w:tcW w:w="3014" w:type="dxa"/>
            <w:vAlign w:val="center"/>
          </w:tcPr>
          <w:p w14:paraId="2A76BE58"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The </w:t>
            </w:r>
            <w:r w:rsidRPr="00136D74">
              <w:rPr>
                <w:rFonts w:ascii="Times New Roman" w:hAnsi="Times New Roman" w:cs="Times New Roman"/>
                <w:color w:val="000000"/>
                <w:sz w:val="18"/>
                <w:szCs w:val="18"/>
              </w:rPr>
              <w:t>ChinaHighPM</w:t>
            </w:r>
            <w:r w:rsidRPr="00136D74">
              <w:rPr>
                <w:rFonts w:ascii="Times New Roman" w:hAnsi="Times New Roman" w:cs="Times New Roman" w:hint="eastAsia"/>
                <w:color w:val="000000"/>
                <w:sz w:val="18"/>
                <w:szCs w:val="18"/>
                <w:vertAlign w:val="subscript"/>
              </w:rPr>
              <w:t>2.5</w:t>
            </w:r>
            <w:r>
              <w:rPr>
                <w:rFonts w:ascii="Times New Roman" w:hAnsi="Times New Roman" w:cs="Times New Roman" w:hint="eastAsia"/>
                <w:color w:val="000000"/>
                <w:sz w:val="18"/>
                <w:szCs w:val="18"/>
              </w:rPr>
              <w:t xml:space="preserve"> dataset (Wei et al., 2020; Wei et al., 2021) and the </w:t>
            </w:r>
            <w:r w:rsidRPr="00136D74">
              <w:rPr>
                <w:rFonts w:ascii="Times New Roman" w:hAnsi="Times New Roman" w:cs="Times New Roman"/>
                <w:color w:val="000000"/>
                <w:sz w:val="18"/>
                <w:szCs w:val="18"/>
              </w:rPr>
              <w:t>ChinaHigh</w:t>
            </w:r>
            <w:r>
              <w:rPr>
                <w:rFonts w:ascii="Times New Roman" w:hAnsi="Times New Roman" w:cs="Times New Roman" w:hint="eastAsia"/>
                <w:color w:val="000000"/>
                <w:sz w:val="18"/>
                <w:szCs w:val="18"/>
              </w:rPr>
              <w:t>O</w:t>
            </w:r>
            <w:r>
              <w:rPr>
                <w:rFonts w:ascii="Times New Roman" w:hAnsi="Times New Roman" w:cs="Times New Roman" w:hint="eastAsia"/>
                <w:color w:val="000000"/>
                <w:sz w:val="18"/>
                <w:szCs w:val="18"/>
                <w:vertAlign w:val="subscript"/>
              </w:rPr>
              <w:t>3</w:t>
            </w:r>
            <w:r>
              <w:rPr>
                <w:rFonts w:ascii="Times New Roman" w:hAnsi="Times New Roman" w:cs="Times New Roman" w:hint="eastAsia"/>
                <w:color w:val="000000"/>
                <w:sz w:val="18"/>
                <w:szCs w:val="18"/>
              </w:rPr>
              <w:t xml:space="preserve"> dataset (Wei et al., 2022; Yang et al., 2025)</w:t>
            </w:r>
          </w:p>
        </w:tc>
        <w:tc>
          <w:tcPr>
            <w:tcW w:w="4536" w:type="dxa"/>
            <w:vAlign w:val="center"/>
          </w:tcPr>
          <w:p w14:paraId="28710A0A"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139AF3D5" w14:textId="77777777" w:rsidR="007C0283" w:rsidRDefault="007C0283" w:rsidP="00053CB3">
            <w:pPr>
              <w:adjustRightInd w:val="0"/>
              <w:snapToGrid w:val="0"/>
              <w:rPr>
                <w:rFonts w:ascii="Times New Roman" w:hAnsi="Times New Roman" w:cs="Times New Roman"/>
                <w:color w:val="000000"/>
                <w:sz w:val="18"/>
                <w:szCs w:val="18"/>
              </w:rPr>
            </w:pPr>
            <w:r w:rsidRPr="00F70DE1">
              <w:rPr>
                <w:rFonts w:ascii="Times New Roman" w:hAnsi="Times New Roman" w:cs="Times New Roman" w:hint="eastAsia"/>
                <w:color w:val="000000"/>
                <w:sz w:val="18"/>
                <w:szCs w:val="18"/>
              </w:rPr>
              <w:t xml:space="preserve">The original </w:t>
            </w:r>
            <w:r>
              <w:rPr>
                <w:rFonts w:ascii="Times New Roman" w:hAnsi="Times New Roman" w:cs="Times New Roman" w:hint="eastAsia"/>
                <w:color w:val="000000"/>
                <w:sz w:val="18"/>
                <w:szCs w:val="18"/>
              </w:rPr>
              <w:t>PM</w:t>
            </w:r>
            <w:r w:rsidRPr="00203D8A">
              <w:rPr>
                <w:rFonts w:ascii="Times New Roman" w:hAnsi="Times New Roman" w:cs="Times New Roman" w:hint="eastAsia"/>
                <w:color w:val="000000"/>
                <w:sz w:val="18"/>
                <w:szCs w:val="18"/>
                <w:vertAlign w:val="subscript"/>
              </w:rPr>
              <w:t>2.5</w:t>
            </w:r>
            <w:r>
              <w:rPr>
                <w:rFonts w:ascii="Times New Roman" w:hAnsi="Times New Roman" w:cs="Times New Roman" w:hint="eastAsia"/>
                <w:color w:val="000000"/>
                <w:sz w:val="18"/>
                <w:szCs w:val="18"/>
              </w:rPr>
              <w:t xml:space="preserve"> </w:t>
            </w:r>
            <w:r w:rsidRPr="00F70DE1">
              <w:rPr>
                <w:rFonts w:ascii="Times New Roman" w:hAnsi="Times New Roman" w:cs="Times New Roman" w:hint="eastAsia"/>
                <w:color w:val="000000"/>
                <w:sz w:val="18"/>
                <w:szCs w:val="18"/>
              </w:rPr>
              <w:t>data consists of daily average values on a 1-km grid. In this study, the data are aggregated into annual averages at the city level, followed by the calculation of provincial averages based on the mean values of cities within each province.</w:t>
            </w:r>
          </w:p>
          <w:p w14:paraId="3A88EFD2" w14:textId="77777777" w:rsidR="007C0283" w:rsidRPr="006757BF" w:rsidRDefault="007C0283" w:rsidP="00053CB3">
            <w:pPr>
              <w:adjustRightInd w:val="0"/>
              <w:snapToGrid w:val="0"/>
              <w:rPr>
                <w:rFonts w:ascii="Times New Roman" w:hAnsi="Times New Roman" w:cs="Times New Roman"/>
                <w:color w:val="000000"/>
                <w:sz w:val="18"/>
                <w:szCs w:val="18"/>
              </w:rPr>
            </w:pPr>
            <w:r w:rsidRPr="00F70DE1">
              <w:rPr>
                <w:rFonts w:ascii="Times New Roman" w:hAnsi="Times New Roman" w:cs="Times New Roman" w:hint="eastAsia"/>
                <w:color w:val="000000"/>
                <w:sz w:val="18"/>
                <w:szCs w:val="18"/>
              </w:rPr>
              <w:t xml:space="preserve">The original data consists of daily average values on a 1-km grid. In this study, the data are aggregated into </w:t>
            </w:r>
            <w:r>
              <w:rPr>
                <w:rFonts w:ascii="Times New Roman" w:hAnsi="Times New Roman" w:cs="Times New Roman" w:hint="eastAsia"/>
                <w:color w:val="000000"/>
                <w:sz w:val="18"/>
                <w:szCs w:val="18"/>
              </w:rPr>
              <w:t>DMA8</w:t>
            </w:r>
            <w:r w:rsidRPr="00F70DE1">
              <w:rPr>
                <w:rFonts w:ascii="Times New Roman" w:hAnsi="Times New Roman" w:cs="Times New Roman" w:hint="eastAsia"/>
                <w:color w:val="000000"/>
                <w:sz w:val="18"/>
                <w:szCs w:val="18"/>
              </w:rPr>
              <w:t xml:space="preserve"> </w:t>
            </w:r>
            <w:r>
              <w:rPr>
                <w:rFonts w:ascii="Times New Roman" w:hAnsi="Times New Roman" w:cs="Times New Roman" w:hint="eastAsia"/>
                <w:color w:val="000000"/>
                <w:sz w:val="18"/>
                <w:szCs w:val="18"/>
              </w:rPr>
              <w:t>and peak-season average values</w:t>
            </w:r>
            <w:r w:rsidRPr="00F70DE1">
              <w:rPr>
                <w:rFonts w:ascii="Times New Roman" w:hAnsi="Times New Roman" w:cs="Times New Roman" w:hint="eastAsia"/>
                <w:color w:val="000000"/>
                <w:sz w:val="18"/>
                <w:szCs w:val="18"/>
              </w:rPr>
              <w:t xml:space="preserve"> at the city level, followed by the calculation of provincial averages based on the mean values of cities within each province.</w:t>
            </w:r>
          </w:p>
        </w:tc>
      </w:tr>
      <w:tr w:rsidR="007C0283" w:rsidRPr="006757BF" w14:paraId="5D1B55C9" w14:textId="77777777" w:rsidTr="00053CB3">
        <w:trPr>
          <w:trHeight w:val="20"/>
          <w:jc w:val="center"/>
        </w:trPr>
        <w:tc>
          <w:tcPr>
            <w:tcW w:w="1302" w:type="dxa"/>
            <w:vMerge/>
            <w:vAlign w:val="center"/>
            <w:hideMark/>
          </w:tcPr>
          <w:p w14:paraId="6CFDB847"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5C937BD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2102F7A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32</w:t>
            </w:r>
          </w:p>
        </w:tc>
        <w:tc>
          <w:tcPr>
            <w:tcW w:w="3808" w:type="dxa"/>
            <w:vAlign w:val="center"/>
            <w:hideMark/>
          </w:tcPr>
          <w:p w14:paraId="09E3372F"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The proportion of surface water where the water quality reaches national standard level-3 or above</w:t>
            </w:r>
          </w:p>
        </w:tc>
        <w:tc>
          <w:tcPr>
            <w:tcW w:w="3014" w:type="dxa"/>
            <w:vAlign w:val="center"/>
          </w:tcPr>
          <w:p w14:paraId="6CC8A910"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The </w:t>
            </w:r>
            <w:r w:rsidRPr="007C581D">
              <w:rPr>
                <w:rFonts w:ascii="Times New Roman" w:hAnsi="Times New Roman" w:cs="Times New Roman" w:hint="eastAsia"/>
                <w:color w:val="000000"/>
                <w:sz w:val="18"/>
                <w:szCs w:val="18"/>
              </w:rPr>
              <w:t>China National Environmental Monitoring Center</w:t>
            </w:r>
          </w:p>
        </w:tc>
        <w:tc>
          <w:tcPr>
            <w:tcW w:w="4536" w:type="dxa"/>
            <w:vAlign w:val="center"/>
          </w:tcPr>
          <w:p w14:paraId="690AC458" w14:textId="77777777" w:rsidR="007C0283" w:rsidRPr="006757BF" w:rsidRDefault="007C0283" w:rsidP="00053CB3">
            <w:pPr>
              <w:adjustRightInd w:val="0"/>
              <w:snapToGrid w:val="0"/>
              <w:rPr>
                <w:rFonts w:ascii="Times New Roman" w:hAnsi="Times New Roman" w:cs="Times New Roman"/>
                <w:color w:val="000000"/>
                <w:sz w:val="18"/>
                <w:szCs w:val="18"/>
              </w:rPr>
            </w:pPr>
            <w:r w:rsidRPr="004A3DE3">
              <w:rPr>
                <w:rFonts w:ascii="Times New Roman" w:hAnsi="Times New Roman" w:cs="Times New Roman" w:hint="eastAsia"/>
                <w:color w:val="000000"/>
                <w:sz w:val="18"/>
                <w:szCs w:val="18"/>
              </w:rPr>
              <w:t xml:space="preserve">The </w:t>
            </w:r>
            <w:r>
              <w:rPr>
                <w:rFonts w:ascii="Times New Roman" w:hAnsi="Times New Roman" w:cs="Times New Roman" w:hint="eastAsia"/>
                <w:color w:val="000000"/>
                <w:sz w:val="18"/>
                <w:szCs w:val="18"/>
              </w:rPr>
              <w:t>approach for</w:t>
            </w:r>
            <w:r w:rsidRPr="004A3DE3">
              <w:rPr>
                <w:rFonts w:ascii="Times New Roman" w:hAnsi="Times New Roman" w:cs="Times New Roman" w:hint="eastAsia"/>
                <w:color w:val="000000"/>
                <w:sz w:val="18"/>
                <w:szCs w:val="18"/>
              </w:rPr>
              <w:t xml:space="preserve"> obtaining data</w:t>
            </w:r>
            <w:r>
              <w:rPr>
                <w:rFonts w:ascii="Times New Roman" w:hAnsi="Times New Roman" w:cs="Times New Roman" w:hint="eastAsia"/>
                <w:color w:val="000000"/>
                <w:sz w:val="18"/>
                <w:szCs w:val="18"/>
              </w:rPr>
              <w:t xml:space="preserve"> is introduced in</w:t>
            </w:r>
            <w:r w:rsidRPr="004A3DE3">
              <w:rPr>
                <w:rFonts w:ascii="Times New Roman" w:hAnsi="Times New Roman" w:cs="Times New Roman" w:hint="eastAsia"/>
                <w:color w:val="000000"/>
                <w:sz w:val="18"/>
                <w:szCs w:val="18"/>
              </w:rPr>
              <w:t xml:space="preserve"> our published </w:t>
            </w:r>
            <w:r>
              <w:rPr>
                <w:rFonts w:ascii="Times New Roman" w:hAnsi="Times New Roman" w:cs="Times New Roman" w:hint="eastAsia"/>
                <w:color w:val="000000"/>
                <w:sz w:val="18"/>
                <w:szCs w:val="18"/>
              </w:rPr>
              <w:t xml:space="preserve">work (Guan et al., 2024). The </w:t>
            </w:r>
            <w:r w:rsidRPr="006757BF">
              <w:rPr>
                <w:rFonts w:ascii="Times New Roman" w:hAnsi="Times New Roman" w:cs="Times New Roman"/>
                <w:color w:val="000000"/>
                <w:sz w:val="18"/>
                <w:szCs w:val="18"/>
              </w:rPr>
              <w:t>national standard</w:t>
            </w:r>
            <w:r>
              <w:rPr>
                <w:rFonts w:ascii="Times New Roman" w:hAnsi="Times New Roman" w:cs="Times New Roman" w:hint="eastAsia"/>
                <w:color w:val="000000"/>
                <w:sz w:val="18"/>
                <w:szCs w:val="18"/>
              </w:rPr>
              <w:t xml:space="preserve"> is the </w:t>
            </w:r>
            <w:r w:rsidRPr="004A3DE3">
              <w:rPr>
                <w:rFonts w:ascii="Times New Roman" w:hAnsi="Times New Roman" w:cs="Times New Roman" w:hint="eastAsia"/>
                <w:color w:val="000000"/>
                <w:sz w:val="18"/>
                <w:szCs w:val="18"/>
              </w:rPr>
              <w:t xml:space="preserve">Environmental </w:t>
            </w:r>
            <w:r>
              <w:rPr>
                <w:rFonts w:ascii="Times New Roman" w:hAnsi="Times New Roman" w:cs="Times New Roman" w:hint="eastAsia"/>
                <w:color w:val="000000"/>
                <w:sz w:val="18"/>
                <w:szCs w:val="18"/>
              </w:rPr>
              <w:t>Q</w:t>
            </w:r>
            <w:r w:rsidRPr="004A3DE3">
              <w:rPr>
                <w:rFonts w:ascii="Times New Roman" w:hAnsi="Times New Roman" w:cs="Times New Roman" w:hint="eastAsia"/>
                <w:color w:val="000000"/>
                <w:sz w:val="18"/>
                <w:szCs w:val="18"/>
              </w:rPr>
              <w:t xml:space="preserve">uality </w:t>
            </w:r>
            <w:r>
              <w:rPr>
                <w:rFonts w:ascii="Times New Roman" w:hAnsi="Times New Roman" w:cs="Times New Roman" w:hint="eastAsia"/>
                <w:color w:val="000000"/>
                <w:sz w:val="18"/>
                <w:szCs w:val="18"/>
              </w:rPr>
              <w:t>S</w:t>
            </w:r>
            <w:r w:rsidRPr="004A3DE3">
              <w:rPr>
                <w:rFonts w:ascii="Times New Roman" w:hAnsi="Times New Roman" w:cs="Times New Roman" w:hint="eastAsia"/>
                <w:color w:val="000000"/>
                <w:sz w:val="18"/>
                <w:szCs w:val="18"/>
              </w:rPr>
              <w:t xml:space="preserve">tandards for </w:t>
            </w:r>
            <w:r>
              <w:rPr>
                <w:rFonts w:ascii="Times New Roman" w:hAnsi="Times New Roman" w:cs="Times New Roman" w:hint="eastAsia"/>
                <w:color w:val="000000"/>
                <w:sz w:val="18"/>
                <w:szCs w:val="18"/>
              </w:rPr>
              <w:t>S</w:t>
            </w:r>
            <w:r w:rsidRPr="004A3DE3">
              <w:rPr>
                <w:rFonts w:ascii="Times New Roman" w:hAnsi="Times New Roman" w:cs="Times New Roman" w:hint="eastAsia"/>
                <w:color w:val="000000"/>
                <w:sz w:val="18"/>
                <w:szCs w:val="18"/>
              </w:rPr>
              <w:t xml:space="preserve">urface </w:t>
            </w:r>
            <w:r>
              <w:rPr>
                <w:rFonts w:ascii="Times New Roman" w:hAnsi="Times New Roman" w:cs="Times New Roman" w:hint="eastAsia"/>
                <w:color w:val="000000"/>
                <w:sz w:val="18"/>
                <w:szCs w:val="18"/>
              </w:rPr>
              <w:t>W</w:t>
            </w:r>
            <w:r w:rsidRPr="004A3DE3">
              <w:rPr>
                <w:rFonts w:ascii="Times New Roman" w:hAnsi="Times New Roman" w:cs="Times New Roman" w:hint="eastAsia"/>
                <w:color w:val="000000"/>
                <w:sz w:val="18"/>
                <w:szCs w:val="18"/>
              </w:rPr>
              <w:t>ater</w:t>
            </w:r>
            <w:r>
              <w:rPr>
                <w:rFonts w:ascii="Times New Roman" w:hAnsi="Times New Roman" w:cs="Times New Roman" w:hint="eastAsia"/>
                <w:color w:val="000000"/>
                <w:sz w:val="18"/>
                <w:szCs w:val="18"/>
              </w:rPr>
              <w:t xml:space="preserve"> (</w:t>
            </w:r>
            <w:r w:rsidRPr="004A3DE3">
              <w:rPr>
                <w:rFonts w:ascii="Times New Roman" w:hAnsi="Times New Roman" w:cs="Times New Roman" w:hint="eastAsia"/>
                <w:color w:val="000000"/>
                <w:sz w:val="18"/>
                <w:szCs w:val="18"/>
              </w:rPr>
              <w:t>GB 3838-2002</w:t>
            </w:r>
            <w:r>
              <w:rPr>
                <w:rFonts w:ascii="Times New Roman" w:hAnsi="Times New Roman" w:cs="Times New Roman" w:hint="eastAsia"/>
                <w:color w:val="000000"/>
                <w:sz w:val="18"/>
                <w:szCs w:val="18"/>
              </w:rPr>
              <w:t>) issued by the MEE.</w:t>
            </w:r>
          </w:p>
        </w:tc>
      </w:tr>
      <w:tr w:rsidR="007C0283" w:rsidRPr="006757BF" w14:paraId="4DFAFF05" w14:textId="77777777" w:rsidTr="00053CB3">
        <w:trPr>
          <w:trHeight w:val="20"/>
          <w:jc w:val="center"/>
        </w:trPr>
        <w:tc>
          <w:tcPr>
            <w:tcW w:w="1302" w:type="dxa"/>
            <w:vMerge/>
            <w:vAlign w:val="center"/>
            <w:hideMark/>
          </w:tcPr>
          <w:p w14:paraId="7CB6D67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0D4F446B"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500699B"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33</w:t>
            </w:r>
          </w:p>
        </w:tc>
        <w:tc>
          <w:tcPr>
            <w:tcW w:w="3808" w:type="dxa"/>
            <w:vAlign w:val="center"/>
            <w:hideMark/>
          </w:tcPr>
          <w:p w14:paraId="6BE023A4"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coastal water where the seawater quality reaches national standard level-2 or above</w:t>
            </w:r>
          </w:p>
        </w:tc>
        <w:tc>
          <w:tcPr>
            <w:tcW w:w="3014" w:type="dxa"/>
            <w:vAlign w:val="center"/>
          </w:tcPr>
          <w:p w14:paraId="10C43D99"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The </w:t>
            </w:r>
            <w:r w:rsidRPr="007C581D">
              <w:rPr>
                <w:rFonts w:ascii="Times New Roman" w:hAnsi="Times New Roman" w:cs="Times New Roman" w:hint="eastAsia"/>
                <w:color w:val="000000"/>
                <w:sz w:val="18"/>
                <w:szCs w:val="18"/>
              </w:rPr>
              <w:t>National Marine Environmental Monitoring Center</w:t>
            </w:r>
          </w:p>
        </w:tc>
        <w:tc>
          <w:tcPr>
            <w:tcW w:w="4536" w:type="dxa"/>
            <w:vAlign w:val="center"/>
          </w:tcPr>
          <w:p w14:paraId="537BC32A" w14:textId="77777777" w:rsidR="007C0283" w:rsidRPr="006757BF" w:rsidRDefault="007C0283" w:rsidP="00053CB3">
            <w:pPr>
              <w:adjustRightInd w:val="0"/>
              <w:snapToGrid w:val="0"/>
              <w:rPr>
                <w:rFonts w:ascii="Times New Roman" w:hAnsi="Times New Roman" w:cs="Times New Roman"/>
                <w:color w:val="000000"/>
                <w:sz w:val="18"/>
                <w:szCs w:val="18"/>
              </w:rPr>
            </w:pPr>
            <w:r w:rsidRPr="004A3DE3">
              <w:rPr>
                <w:rFonts w:ascii="Times New Roman" w:hAnsi="Times New Roman" w:cs="Times New Roman" w:hint="eastAsia"/>
                <w:color w:val="000000"/>
                <w:sz w:val="18"/>
                <w:szCs w:val="18"/>
              </w:rPr>
              <w:t xml:space="preserve">The </w:t>
            </w:r>
            <w:r>
              <w:rPr>
                <w:rFonts w:ascii="Times New Roman" w:hAnsi="Times New Roman" w:cs="Times New Roman" w:hint="eastAsia"/>
                <w:color w:val="000000"/>
                <w:sz w:val="18"/>
                <w:szCs w:val="18"/>
              </w:rPr>
              <w:t>approach for</w:t>
            </w:r>
            <w:r w:rsidRPr="004A3DE3">
              <w:rPr>
                <w:rFonts w:ascii="Times New Roman" w:hAnsi="Times New Roman" w:cs="Times New Roman" w:hint="eastAsia"/>
                <w:color w:val="000000"/>
                <w:sz w:val="18"/>
                <w:szCs w:val="18"/>
              </w:rPr>
              <w:t xml:space="preserve"> obtaining data</w:t>
            </w:r>
            <w:r>
              <w:rPr>
                <w:rFonts w:ascii="Times New Roman" w:hAnsi="Times New Roman" w:cs="Times New Roman" w:hint="eastAsia"/>
                <w:color w:val="000000"/>
                <w:sz w:val="18"/>
                <w:szCs w:val="18"/>
              </w:rPr>
              <w:t xml:space="preserve"> is introduced in</w:t>
            </w:r>
            <w:r w:rsidRPr="004A3DE3">
              <w:rPr>
                <w:rFonts w:ascii="Times New Roman" w:hAnsi="Times New Roman" w:cs="Times New Roman" w:hint="eastAsia"/>
                <w:color w:val="000000"/>
                <w:sz w:val="18"/>
                <w:szCs w:val="18"/>
              </w:rPr>
              <w:t xml:space="preserve"> our published </w:t>
            </w:r>
            <w:r>
              <w:rPr>
                <w:rFonts w:ascii="Times New Roman" w:hAnsi="Times New Roman" w:cs="Times New Roman" w:hint="eastAsia"/>
                <w:color w:val="000000"/>
                <w:sz w:val="18"/>
                <w:szCs w:val="18"/>
              </w:rPr>
              <w:t xml:space="preserve">work (Guan et al., 2025). The </w:t>
            </w:r>
            <w:r w:rsidRPr="006757BF">
              <w:rPr>
                <w:rFonts w:ascii="Times New Roman" w:hAnsi="Times New Roman" w:cs="Times New Roman"/>
                <w:color w:val="000000"/>
                <w:sz w:val="18"/>
                <w:szCs w:val="18"/>
              </w:rPr>
              <w:t>national standard</w:t>
            </w:r>
            <w:r>
              <w:rPr>
                <w:rFonts w:ascii="Times New Roman" w:hAnsi="Times New Roman" w:cs="Times New Roman" w:hint="eastAsia"/>
                <w:color w:val="000000"/>
                <w:sz w:val="18"/>
                <w:szCs w:val="18"/>
              </w:rPr>
              <w:t xml:space="preserve"> is the </w:t>
            </w:r>
            <w:r w:rsidRPr="005E4181">
              <w:rPr>
                <w:rFonts w:ascii="Times New Roman" w:hAnsi="Times New Roman" w:cs="Times New Roman" w:hint="eastAsia"/>
                <w:color w:val="000000"/>
                <w:sz w:val="18"/>
                <w:szCs w:val="18"/>
              </w:rPr>
              <w:t xml:space="preserve">Sea </w:t>
            </w:r>
            <w:r>
              <w:rPr>
                <w:rFonts w:ascii="Times New Roman" w:hAnsi="Times New Roman" w:cs="Times New Roman" w:hint="eastAsia"/>
                <w:color w:val="000000"/>
                <w:sz w:val="18"/>
                <w:szCs w:val="18"/>
              </w:rPr>
              <w:t>W</w:t>
            </w:r>
            <w:r w:rsidRPr="005E4181">
              <w:rPr>
                <w:rFonts w:ascii="Times New Roman" w:hAnsi="Times New Roman" w:cs="Times New Roman" w:hint="eastAsia"/>
                <w:color w:val="000000"/>
                <w:sz w:val="18"/>
                <w:szCs w:val="18"/>
              </w:rPr>
              <w:t xml:space="preserve">ater </w:t>
            </w:r>
            <w:r>
              <w:rPr>
                <w:rFonts w:ascii="Times New Roman" w:hAnsi="Times New Roman" w:cs="Times New Roman" w:hint="eastAsia"/>
                <w:color w:val="000000"/>
                <w:sz w:val="18"/>
                <w:szCs w:val="18"/>
              </w:rPr>
              <w:t>Q</w:t>
            </w:r>
            <w:r w:rsidRPr="005E4181">
              <w:rPr>
                <w:rFonts w:ascii="Times New Roman" w:hAnsi="Times New Roman" w:cs="Times New Roman" w:hint="eastAsia"/>
                <w:color w:val="000000"/>
                <w:sz w:val="18"/>
                <w:szCs w:val="18"/>
              </w:rPr>
              <w:t xml:space="preserve">uality </w:t>
            </w:r>
            <w:r>
              <w:rPr>
                <w:rFonts w:ascii="Times New Roman" w:hAnsi="Times New Roman" w:cs="Times New Roman" w:hint="eastAsia"/>
                <w:color w:val="000000"/>
                <w:sz w:val="18"/>
                <w:szCs w:val="18"/>
              </w:rPr>
              <w:t>S</w:t>
            </w:r>
            <w:r w:rsidRPr="005E4181">
              <w:rPr>
                <w:rFonts w:ascii="Times New Roman" w:hAnsi="Times New Roman" w:cs="Times New Roman" w:hint="eastAsia"/>
                <w:color w:val="000000"/>
                <w:sz w:val="18"/>
                <w:szCs w:val="18"/>
              </w:rPr>
              <w:t>tandard</w:t>
            </w:r>
            <w:r>
              <w:rPr>
                <w:rFonts w:ascii="Times New Roman" w:hAnsi="Times New Roman" w:cs="Times New Roman" w:hint="eastAsia"/>
                <w:color w:val="000000"/>
                <w:sz w:val="18"/>
                <w:szCs w:val="18"/>
              </w:rPr>
              <w:t xml:space="preserve"> (</w:t>
            </w:r>
            <w:r w:rsidRPr="005E4181">
              <w:rPr>
                <w:rFonts w:ascii="Times New Roman" w:hAnsi="Times New Roman" w:cs="Times New Roman" w:hint="eastAsia"/>
                <w:color w:val="000000"/>
                <w:sz w:val="18"/>
                <w:szCs w:val="18"/>
              </w:rPr>
              <w:t>GB 3097-1997</w:t>
            </w:r>
            <w:r>
              <w:rPr>
                <w:rFonts w:ascii="Times New Roman" w:hAnsi="Times New Roman" w:cs="Times New Roman" w:hint="eastAsia"/>
                <w:color w:val="000000"/>
                <w:sz w:val="18"/>
                <w:szCs w:val="18"/>
              </w:rPr>
              <w:t>) issued by the MEE.</w:t>
            </w:r>
          </w:p>
        </w:tc>
      </w:tr>
      <w:tr w:rsidR="007C0283" w:rsidRPr="006757BF" w14:paraId="3035EA75" w14:textId="77777777" w:rsidTr="00053CB3">
        <w:trPr>
          <w:trHeight w:val="20"/>
          <w:jc w:val="center"/>
        </w:trPr>
        <w:tc>
          <w:tcPr>
            <w:tcW w:w="1302" w:type="dxa"/>
            <w:vMerge/>
            <w:vAlign w:val="center"/>
            <w:hideMark/>
          </w:tcPr>
          <w:p w14:paraId="311637B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3C64133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6642E7FF"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34</w:t>
            </w:r>
          </w:p>
        </w:tc>
        <w:tc>
          <w:tcPr>
            <w:tcW w:w="3808" w:type="dxa"/>
            <w:vAlign w:val="center"/>
            <w:hideMark/>
          </w:tcPr>
          <w:p w14:paraId="2FCAFD80"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Accumulation levels of eight major heavy metal(loid)s in soil environment</w:t>
            </w:r>
          </w:p>
        </w:tc>
        <w:tc>
          <w:tcPr>
            <w:tcW w:w="3014" w:type="dxa"/>
            <w:vAlign w:val="center"/>
          </w:tcPr>
          <w:p w14:paraId="196BE581"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97617E">
              <w:rPr>
                <w:rFonts w:ascii="Times New Roman" w:eastAsia="等线" w:hAnsi="Times New Roman" w:cs="Times New Roman" w:hint="eastAsia"/>
                <w:color w:val="000000"/>
                <w:sz w:val="18"/>
                <w:szCs w:val="18"/>
              </w:rPr>
              <w:t xml:space="preserve">A </w:t>
            </w:r>
            <w:r>
              <w:rPr>
                <w:rFonts w:ascii="Times New Roman" w:eastAsia="等线" w:hAnsi="Times New Roman" w:cs="Times New Roman" w:hint="eastAsia"/>
                <w:color w:val="000000"/>
                <w:sz w:val="18"/>
                <w:szCs w:val="18"/>
              </w:rPr>
              <w:t>li</w:t>
            </w:r>
            <w:r w:rsidRPr="0097617E">
              <w:rPr>
                <w:rFonts w:ascii="Times New Roman" w:eastAsia="等线" w:hAnsi="Times New Roman" w:cs="Times New Roman" w:hint="eastAsia"/>
                <w:color w:val="000000"/>
                <w:sz w:val="18"/>
                <w:szCs w:val="18"/>
              </w:rPr>
              <w:t>t</w:t>
            </w:r>
            <w:r>
              <w:rPr>
                <w:rFonts w:ascii="Times New Roman" w:eastAsia="等线" w:hAnsi="Times New Roman" w:cs="Times New Roman" w:hint="eastAsia"/>
                <w:color w:val="000000"/>
                <w:sz w:val="18"/>
                <w:szCs w:val="18"/>
              </w:rPr>
              <w:t>erature</w:t>
            </w:r>
            <w:r w:rsidRPr="0097617E">
              <w:rPr>
                <w:rFonts w:ascii="Times New Roman" w:eastAsia="等线" w:hAnsi="Times New Roman" w:cs="Times New Roman" w:hint="eastAsia"/>
                <w:color w:val="000000"/>
                <w:sz w:val="18"/>
                <w:szCs w:val="18"/>
              </w:rPr>
              <w:t xml:space="preserve"> providing part </w:t>
            </w:r>
            <w:r>
              <w:rPr>
                <w:rFonts w:ascii="Times New Roman" w:eastAsia="等线" w:hAnsi="Times New Roman" w:cs="Times New Roman" w:hint="eastAsia"/>
                <w:color w:val="000000"/>
                <w:sz w:val="18"/>
                <w:szCs w:val="18"/>
              </w:rPr>
              <w:t>data from the</w:t>
            </w:r>
            <w:r w:rsidRPr="0097617E">
              <w:rPr>
                <w:rFonts w:ascii="Times New Roman" w:eastAsia="等线" w:hAnsi="Times New Roman" w:cs="Times New Roman" w:hint="eastAsia"/>
                <w:color w:val="000000"/>
                <w:sz w:val="18"/>
                <w:szCs w:val="18"/>
              </w:rPr>
              <w:t xml:space="preserve"> first national soil pollution survey data </w:t>
            </w:r>
            <w:r>
              <w:rPr>
                <w:rFonts w:ascii="Times New Roman" w:eastAsia="等线" w:hAnsi="Times New Roman" w:cs="Times New Roman" w:hint="eastAsia"/>
                <w:color w:val="000000"/>
                <w:sz w:val="18"/>
                <w:szCs w:val="18"/>
              </w:rPr>
              <w:t>(Chen et al., 2015)</w:t>
            </w:r>
          </w:p>
        </w:tc>
        <w:tc>
          <w:tcPr>
            <w:tcW w:w="4536" w:type="dxa"/>
            <w:vAlign w:val="center"/>
          </w:tcPr>
          <w:p w14:paraId="5B503CB6"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0AF5ED8E" w14:textId="77777777" w:rsidTr="00053CB3">
        <w:trPr>
          <w:trHeight w:val="20"/>
          <w:jc w:val="center"/>
        </w:trPr>
        <w:tc>
          <w:tcPr>
            <w:tcW w:w="1302" w:type="dxa"/>
            <w:vMerge/>
            <w:vAlign w:val="center"/>
            <w:hideMark/>
          </w:tcPr>
          <w:p w14:paraId="1F706A44"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restart"/>
            <w:vAlign w:val="center"/>
            <w:hideMark/>
          </w:tcPr>
          <w:p w14:paraId="36A96B6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Rural environmental infrastructure</w:t>
            </w:r>
          </w:p>
        </w:tc>
        <w:tc>
          <w:tcPr>
            <w:tcW w:w="492" w:type="dxa"/>
            <w:vAlign w:val="center"/>
            <w:hideMark/>
          </w:tcPr>
          <w:p w14:paraId="1C8AFB55"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35</w:t>
            </w:r>
          </w:p>
        </w:tc>
        <w:tc>
          <w:tcPr>
            <w:tcW w:w="3808" w:type="dxa"/>
            <w:vAlign w:val="center"/>
            <w:hideMark/>
          </w:tcPr>
          <w:p w14:paraId="1AD8B157"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Penetration rate of sanitary toilets in rural areas</w:t>
            </w:r>
          </w:p>
        </w:tc>
        <w:tc>
          <w:tcPr>
            <w:tcW w:w="3014" w:type="dxa"/>
            <w:vAlign w:val="center"/>
          </w:tcPr>
          <w:p w14:paraId="061818B2"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China Agricultural and Rural Statistical Yearbook</w:t>
            </w:r>
            <w:r>
              <w:rPr>
                <w:rFonts w:ascii="Times New Roman" w:hAnsi="Times New Roman" w:cs="Times New Roman" w:hint="eastAsia"/>
                <w:color w:val="000000"/>
                <w:sz w:val="18"/>
                <w:szCs w:val="18"/>
              </w:rPr>
              <w:t xml:space="preserve"> and 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65782015"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4C73A10A" w14:textId="77777777" w:rsidR="007C0283" w:rsidRPr="006757BF" w:rsidRDefault="007C0283" w:rsidP="00053CB3">
            <w:pPr>
              <w:adjustRightInd w:val="0"/>
              <w:snapToGrid w:val="0"/>
              <w:rPr>
                <w:rFonts w:ascii="Times New Roman" w:hAnsi="Times New Roman" w:cs="Times New Roman"/>
                <w:color w:val="000000"/>
                <w:sz w:val="18"/>
                <w:szCs w:val="18"/>
              </w:rPr>
            </w:pPr>
            <w:r w:rsidRPr="00F25BE0">
              <w:rPr>
                <w:rFonts w:ascii="Times New Roman" w:hAnsi="Times New Roman" w:cs="Times New Roman" w:hint="eastAsia"/>
                <w:color w:val="000000"/>
                <w:sz w:val="18"/>
                <w:szCs w:val="18"/>
              </w:rPr>
              <w:t xml:space="preserve">After 2017, the China Agricultural and Rural Statistical Yearbook stopped providing data on rural sanitary toilets. Consequently, this study estimates the rural sanitary toilet penetration rates for subsequent years </w:t>
            </w:r>
            <w:r>
              <w:rPr>
                <w:rFonts w:ascii="Times New Roman" w:hAnsi="Times New Roman" w:cs="Times New Roman" w:hint="eastAsia"/>
                <w:color w:val="000000"/>
                <w:sz w:val="18"/>
                <w:szCs w:val="18"/>
              </w:rPr>
              <w:t>based on</w:t>
            </w:r>
            <w:r w:rsidRPr="00F25BE0">
              <w:rPr>
                <w:rFonts w:ascii="Times New Roman" w:hAnsi="Times New Roman" w:cs="Times New Roman" w:hint="eastAsia"/>
                <w:color w:val="000000"/>
                <w:sz w:val="18"/>
                <w:szCs w:val="18"/>
              </w:rPr>
              <w:t xml:space="preserve"> rural toilet quantity and investment data sourced from the China Urban and Rural Construction Statistical Yearbook.</w:t>
            </w:r>
          </w:p>
        </w:tc>
      </w:tr>
      <w:tr w:rsidR="007C0283" w:rsidRPr="006757BF" w14:paraId="09A628A7" w14:textId="77777777" w:rsidTr="00053CB3">
        <w:trPr>
          <w:trHeight w:val="20"/>
          <w:jc w:val="center"/>
        </w:trPr>
        <w:tc>
          <w:tcPr>
            <w:tcW w:w="1302" w:type="dxa"/>
            <w:vMerge/>
            <w:vAlign w:val="center"/>
            <w:hideMark/>
          </w:tcPr>
          <w:p w14:paraId="17A709C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7E2FAD33"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0614726B"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36</w:t>
            </w:r>
          </w:p>
        </w:tc>
        <w:tc>
          <w:tcPr>
            <w:tcW w:w="3808" w:type="dxa"/>
            <w:vAlign w:val="center"/>
            <w:hideMark/>
          </w:tcPr>
          <w:p w14:paraId="59763422"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Penetration rate of water supply, penetration rate of gas supply, and road area per capita in rural areas</w:t>
            </w:r>
          </w:p>
        </w:tc>
        <w:tc>
          <w:tcPr>
            <w:tcW w:w="3014" w:type="dxa"/>
            <w:vAlign w:val="center"/>
          </w:tcPr>
          <w:p w14:paraId="26BADE36"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69EB79A2"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453F7979" w14:textId="77777777" w:rsidTr="00053CB3">
        <w:trPr>
          <w:trHeight w:val="20"/>
          <w:jc w:val="center"/>
        </w:trPr>
        <w:tc>
          <w:tcPr>
            <w:tcW w:w="1302" w:type="dxa"/>
            <w:vMerge/>
            <w:vAlign w:val="center"/>
            <w:hideMark/>
          </w:tcPr>
          <w:p w14:paraId="46723841"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26E4E830"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6AC335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37</w:t>
            </w:r>
          </w:p>
        </w:tc>
        <w:tc>
          <w:tcPr>
            <w:tcW w:w="3808" w:type="dxa"/>
            <w:vAlign w:val="center"/>
            <w:hideMark/>
          </w:tcPr>
          <w:p w14:paraId="073B1390"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The proportion of towns and villages collecting and treating domestic sewage, density of drainage network</w:t>
            </w:r>
          </w:p>
        </w:tc>
        <w:tc>
          <w:tcPr>
            <w:tcW w:w="3014" w:type="dxa"/>
            <w:vAlign w:val="center"/>
          </w:tcPr>
          <w:p w14:paraId="006A2534" w14:textId="77777777" w:rsidR="007C0283" w:rsidRPr="006757BF" w:rsidRDefault="007C0283" w:rsidP="00053CB3">
            <w:pPr>
              <w:adjustRightInd w:val="0"/>
              <w:snapToGrid w:val="0"/>
              <w:rPr>
                <w:rFonts w:ascii="Times New Roman"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0321DD9D" w14:textId="77777777" w:rsidR="007C0283" w:rsidRPr="006757BF"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328BDD37" w14:textId="77777777" w:rsidTr="00053CB3">
        <w:trPr>
          <w:trHeight w:val="20"/>
          <w:jc w:val="center"/>
        </w:trPr>
        <w:tc>
          <w:tcPr>
            <w:tcW w:w="1302" w:type="dxa"/>
            <w:vMerge/>
            <w:vAlign w:val="center"/>
            <w:hideMark/>
          </w:tcPr>
          <w:p w14:paraId="2F23E71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0F653D91"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39F79FD8"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38</w:t>
            </w:r>
          </w:p>
        </w:tc>
        <w:tc>
          <w:tcPr>
            <w:tcW w:w="3808" w:type="dxa"/>
            <w:vAlign w:val="center"/>
            <w:hideMark/>
          </w:tcPr>
          <w:p w14:paraId="6BBBF5D6"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Treatment rate of rural domestic waste</w:t>
            </w:r>
          </w:p>
        </w:tc>
        <w:tc>
          <w:tcPr>
            <w:tcW w:w="3014" w:type="dxa"/>
            <w:vAlign w:val="center"/>
          </w:tcPr>
          <w:p w14:paraId="24D300D0"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4DD2FEF5"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tc>
      </w:tr>
      <w:tr w:rsidR="007C0283" w:rsidRPr="006757BF" w14:paraId="25336F16" w14:textId="77777777" w:rsidTr="00053CB3">
        <w:trPr>
          <w:trHeight w:val="20"/>
          <w:jc w:val="center"/>
        </w:trPr>
        <w:tc>
          <w:tcPr>
            <w:tcW w:w="1302" w:type="dxa"/>
            <w:vMerge/>
            <w:vAlign w:val="center"/>
            <w:hideMark/>
          </w:tcPr>
          <w:p w14:paraId="3AB24326"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1302" w:type="dxa"/>
            <w:vMerge/>
            <w:vAlign w:val="center"/>
            <w:hideMark/>
          </w:tcPr>
          <w:p w14:paraId="63C6DD2C"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p>
        </w:tc>
        <w:tc>
          <w:tcPr>
            <w:tcW w:w="492" w:type="dxa"/>
            <w:vAlign w:val="center"/>
            <w:hideMark/>
          </w:tcPr>
          <w:p w14:paraId="5F1FCF0D" w14:textId="77777777" w:rsidR="007C0283" w:rsidRPr="006757BF" w:rsidRDefault="007C0283" w:rsidP="00053CB3">
            <w:pPr>
              <w:adjustRightInd w:val="0"/>
              <w:snapToGrid w:val="0"/>
              <w:jc w:val="center"/>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39</w:t>
            </w:r>
          </w:p>
        </w:tc>
        <w:tc>
          <w:tcPr>
            <w:tcW w:w="3808" w:type="dxa"/>
            <w:vAlign w:val="center"/>
            <w:hideMark/>
          </w:tcPr>
          <w:p w14:paraId="62571F68"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6757BF">
              <w:rPr>
                <w:rFonts w:ascii="Times New Roman" w:eastAsia="等线" w:hAnsi="Times New Roman" w:cs="Times New Roman"/>
                <w:color w:val="000000"/>
                <w:sz w:val="18"/>
                <w:szCs w:val="18"/>
              </w:rPr>
              <w:t>Proportion of administrative villages that have finished rural environmental upgrading</w:t>
            </w:r>
          </w:p>
        </w:tc>
        <w:tc>
          <w:tcPr>
            <w:tcW w:w="3014" w:type="dxa"/>
            <w:vAlign w:val="center"/>
          </w:tcPr>
          <w:p w14:paraId="435CB205"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p>
        </w:tc>
        <w:tc>
          <w:tcPr>
            <w:tcW w:w="4536" w:type="dxa"/>
            <w:vAlign w:val="center"/>
          </w:tcPr>
          <w:p w14:paraId="56265078" w14:textId="77777777" w:rsidR="007C0283" w:rsidRDefault="007C0283" w:rsidP="00053CB3">
            <w:pPr>
              <w:adjustRightInd w:val="0"/>
              <w:snapToGrid w:val="0"/>
              <w:rPr>
                <w:rFonts w:ascii="Times New Roman" w:hAnsi="Times New Roman" w:cs="Times New Roman"/>
                <w:color w:val="000000"/>
                <w:sz w:val="18"/>
                <w:szCs w:val="18"/>
              </w:rPr>
            </w:pPr>
            <w:r w:rsidRPr="006757BF">
              <w:rPr>
                <w:rFonts w:ascii="Times New Roman" w:hAnsi="Times New Roman" w:cs="Times New Roman"/>
                <w:color w:val="000000"/>
                <w:sz w:val="18"/>
                <w:szCs w:val="18"/>
              </w:rPr>
              <w:t>Public data, directly accessible.</w:t>
            </w:r>
          </w:p>
          <w:p w14:paraId="16E9DF97" w14:textId="77777777" w:rsidR="007C0283" w:rsidRPr="006757BF" w:rsidRDefault="007C0283" w:rsidP="00053CB3">
            <w:pPr>
              <w:adjustRightInd w:val="0"/>
              <w:snapToGrid w:val="0"/>
              <w:rPr>
                <w:rFonts w:ascii="Times New Roman" w:eastAsia="等线" w:hAnsi="Times New Roman" w:cs="Times New Roman"/>
                <w:color w:val="000000"/>
                <w:sz w:val="18"/>
                <w:szCs w:val="18"/>
              </w:rPr>
            </w:pPr>
            <w:r w:rsidRPr="00F25BE0">
              <w:rPr>
                <w:rFonts w:ascii="Times New Roman" w:hAnsi="Times New Roman" w:cs="Times New Roman" w:hint="eastAsia"/>
                <w:color w:val="000000"/>
                <w:sz w:val="18"/>
                <w:szCs w:val="18"/>
              </w:rPr>
              <w:t xml:space="preserve">After 2017, the </w:t>
            </w:r>
            <w:r>
              <w:rPr>
                <w:rFonts w:ascii="Times New Roman" w:hAnsi="Times New Roman" w:cs="Times New Roman" w:hint="eastAsia"/>
                <w:color w:val="000000"/>
                <w:sz w:val="18"/>
                <w:szCs w:val="18"/>
              </w:rPr>
              <w:t xml:space="preserve">China </w:t>
            </w:r>
            <w:r w:rsidRPr="009767F7">
              <w:rPr>
                <w:rFonts w:ascii="Times New Roman" w:hAnsi="Times New Roman" w:cs="Times New Roman" w:hint="eastAsia"/>
                <w:color w:val="000000"/>
                <w:sz w:val="18"/>
                <w:szCs w:val="18"/>
              </w:rPr>
              <w:t>Urban and Rural Construction Statistical Yearbook</w:t>
            </w:r>
            <w:r w:rsidRPr="00F25BE0">
              <w:rPr>
                <w:rFonts w:ascii="Times New Roman" w:hAnsi="Times New Roman" w:cs="Times New Roman" w:hint="eastAsia"/>
                <w:color w:val="000000"/>
                <w:sz w:val="18"/>
                <w:szCs w:val="18"/>
              </w:rPr>
              <w:t xml:space="preserve"> stopped providing data on</w:t>
            </w:r>
            <w:r w:rsidRPr="006757BF">
              <w:rPr>
                <w:rFonts w:ascii="Times New Roman" w:eastAsia="等线" w:hAnsi="Times New Roman" w:cs="Times New Roman"/>
                <w:color w:val="000000"/>
                <w:sz w:val="18"/>
                <w:szCs w:val="18"/>
              </w:rPr>
              <w:t xml:space="preserve"> rural environmental upgrading</w:t>
            </w:r>
            <w:r w:rsidRPr="00F25BE0">
              <w:rPr>
                <w:rFonts w:ascii="Times New Roman" w:hAnsi="Times New Roman" w:cs="Times New Roman" w:hint="eastAsia"/>
                <w:color w:val="000000"/>
                <w:sz w:val="18"/>
                <w:szCs w:val="18"/>
              </w:rPr>
              <w:t xml:space="preserve">. Consequently, this study estimates the </w:t>
            </w:r>
            <w:r w:rsidRPr="006757BF">
              <w:rPr>
                <w:rFonts w:ascii="Times New Roman" w:eastAsia="等线" w:hAnsi="Times New Roman" w:cs="Times New Roman"/>
                <w:color w:val="000000"/>
                <w:sz w:val="18"/>
                <w:szCs w:val="18"/>
              </w:rPr>
              <w:t>rural environmental upgrading</w:t>
            </w:r>
            <w:r>
              <w:rPr>
                <w:rFonts w:ascii="Times New Roman" w:eastAsia="等线" w:hAnsi="Times New Roman" w:cs="Times New Roman" w:hint="eastAsia"/>
                <w:color w:val="000000"/>
                <w:sz w:val="18"/>
                <w:szCs w:val="18"/>
              </w:rPr>
              <w:t xml:space="preserve"> data</w:t>
            </w:r>
            <w:r w:rsidRPr="00F25BE0">
              <w:rPr>
                <w:rFonts w:ascii="Times New Roman" w:hAnsi="Times New Roman" w:cs="Times New Roman" w:hint="eastAsia"/>
                <w:color w:val="000000"/>
                <w:sz w:val="18"/>
                <w:szCs w:val="18"/>
              </w:rPr>
              <w:t xml:space="preserve"> for subsequent years </w:t>
            </w:r>
            <w:r>
              <w:rPr>
                <w:rFonts w:ascii="Times New Roman" w:hAnsi="Times New Roman" w:cs="Times New Roman" w:hint="eastAsia"/>
                <w:color w:val="000000"/>
                <w:sz w:val="18"/>
                <w:szCs w:val="18"/>
              </w:rPr>
              <w:t>based on</w:t>
            </w:r>
            <w:r w:rsidRPr="00F25BE0">
              <w:rPr>
                <w:rFonts w:ascii="Times New Roman" w:hAnsi="Times New Roman" w:cs="Times New Roman" w:hint="eastAsia"/>
                <w:color w:val="000000"/>
                <w:sz w:val="18"/>
                <w:szCs w:val="18"/>
              </w:rPr>
              <w:t xml:space="preserve"> </w:t>
            </w:r>
            <w:r w:rsidRPr="006757BF">
              <w:rPr>
                <w:rFonts w:ascii="Times New Roman" w:eastAsia="等线" w:hAnsi="Times New Roman" w:cs="Times New Roman"/>
                <w:color w:val="000000"/>
                <w:sz w:val="18"/>
                <w:szCs w:val="18"/>
              </w:rPr>
              <w:t>rural environmental upgrading</w:t>
            </w:r>
            <w:r w:rsidRPr="00F25BE0">
              <w:rPr>
                <w:rFonts w:ascii="Times New Roman" w:hAnsi="Times New Roman" w:cs="Times New Roman" w:hint="eastAsia"/>
                <w:color w:val="000000"/>
                <w:sz w:val="18"/>
                <w:szCs w:val="18"/>
              </w:rPr>
              <w:t xml:space="preserve"> investment data</w:t>
            </w:r>
            <w:r>
              <w:rPr>
                <w:rFonts w:ascii="Times New Roman" w:hAnsi="Times New Roman" w:cs="Times New Roman" w:hint="eastAsia"/>
                <w:color w:val="000000"/>
                <w:sz w:val="18"/>
                <w:szCs w:val="18"/>
              </w:rPr>
              <w:t>.</w:t>
            </w:r>
          </w:p>
        </w:tc>
      </w:tr>
    </w:tbl>
    <w:p w14:paraId="4139608E" w14:textId="77777777" w:rsidR="007C0283" w:rsidRDefault="007C0283" w:rsidP="007C0283">
      <w:pPr>
        <w:widowControl/>
        <w:jc w:val="center"/>
        <w:rPr>
          <w:rFonts w:ascii="Times New Roman" w:eastAsia="仿宋_GB2312" w:hAnsi="Times New Roman" w:cs="Times New Roman"/>
          <w:b/>
          <w:bCs/>
          <w:sz w:val="28"/>
          <w:szCs w:val="28"/>
        </w:rPr>
      </w:pPr>
    </w:p>
    <w:p w14:paraId="5139FEF4" w14:textId="77777777" w:rsidR="007C0283" w:rsidRDefault="007C0283" w:rsidP="007C0283">
      <w:pPr>
        <w:widowControl/>
        <w:jc w:val="center"/>
        <w:rPr>
          <w:rFonts w:ascii="Times New Roman" w:eastAsia="仿宋_GB2312" w:hAnsi="Times New Roman" w:cs="Times New Roman"/>
          <w:b/>
          <w:bCs/>
          <w:sz w:val="28"/>
          <w:szCs w:val="28"/>
        </w:rPr>
      </w:pPr>
    </w:p>
    <w:p w14:paraId="017595B6" w14:textId="77777777" w:rsidR="00A2056B" w:rsidRDefault="00A2056B" w:rsidP="007C0283">
      <w:pPr>
        <w:widowControl/>
        <w:jc w:val="center"/>
        <w:rPr>
          <w:rFonts w:ascii="Times New Roman" w:hAnsi="Times New Roman" w:cs="Times New Roman"/>
          <w:b/>
          <w:bCs/>
          <w:noProof/>
          <w:sz w:val="28"/>
          <w:szCs w:val="28"/>
        </w:rPr>
      </w:pPr>
    </w:p>
    <w:p w14:paraId="38F6A88A" w14:textId="3B21242D" w:rsidR="007C0283" w:rsidRPr="0095186A" w:rsidRDefault="00A2056B" w:rsidP="007C0283">
      <w:pPr>
        <w:widowControl/>
        <w:jc w:val="center"/>
        <w:rPr>
          <w:rFonts w:ascii="Times New Roman" w:eastAsia="仿宋_GB2312" w:hAnsi="Times New Roman" w:cs="Times New Roman"/>
          <w:b/>
          <w:bCs/>
          <w:sz w:val="28"/>
          <w:szCs w:val="28"/>
        </w:rPr>
      </w:pPr>
      <w:r>
        <w:rPr>
          <w:rFonts w:ascii="Times New Roman" w:eastAsia="仿宋_GB2312" w:hAnsi="Times New Roman" w:cs="Times New Roman"/>
          <w:b/>
          <w:bCs/>
          <w:noProof/>
          <w:sz w:val="28"/>
          <w:szCs w:val="28"/>
        </w:rPr>
        <w:drawing>
          <wp:inline distT="0" distB="0" distL="0" distR="0" wp14:anchorId="22FF5151" wp14:editId="3E01ACA8">
            <wp:extent cx="9397202" cy="4719711"/>
            <wp:effectExtent l="0" t="0" r="0" b="5080"/>
            <wp:docPr id="726404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04788" name="图片 726404788"/>
                    <pic:cNvPicPr/>
                  </pic:nvPicPr>
                  <pic:blipFill rotWithShape="1">
                    <a:blip r:embed="rId4" cstate="print">
                      <a:extLst>
                        <a:ext uri="{28A0092B-C50C-407E-A947-70E740481C1C}">
                          <a14:useLocalDpi xmlns:a14="http://schemas.microsoft.com/office/drawing/2010/main" val="0"/>
                        </a:ext>
                      </a:extLst>
                    </a:blip>
                    <a:srcRect t="14923" b="14059"/>
                    <a:stretch>
                      <a:fillRect/>
                    </a:stretch>
                  </pic:blipFill>
                  <pic:spPr bwMode="auto">
                    <a:xfrm>
                      <a:off x="0" y="0"/>
                      <a:ext cx="9397365" cy="4719793"/>
                    </a:xfrm>
                    <a:prstGeom prst="rect">
                      <a:avLst/>
                    </a:prstGeom>
                    <a:ln>
                      <a:noFill/>
                    </a:ln>
                    <a:extLst>
                      <a:ext uri="{53640926-AAD7-44D8-BBD7-CCE9431645EC}">
                        <a14:shadowObscured xmlns:a14="http://schemas.microsoft.com/office/drawing/2010/main"/>
                      </a:ext>
                    </a:extLst>
                  </pic:spPr>
                </pic:pic>
              </a:graphicData>
            </a:graphic>
          </wp:inline>
        </w:drawing>
      </w:r>
    </w:p>
    <w:p w14:paraId="69AC7E10" w14:textId="3377ABB1" w:rsidR="007C0283" w:rsidRDefault="007C0283" w:rsidP="007C0283">
      <w:pPr>
        <w:widowControl/>
        <w:jc w:val="center"/>
        <w:rPr>
          <w:rFonts w:ascii="Times New Roman" w:eastAsia="仿宋_GB2312" w:hAnsi="Times New Roman" w:cs="Times New Roman"/>
          <w:szCs w:val="21"/>
        </w:rPr>
      </w:pPr>
      <w:r w:rsidRPr="0095186A">
        <w:rPr>
          <w:rFonts w:ascii="Times New Roman" w:eastAsia="黑体" w:hAnsi="Times New Roman" w:cs="Times New Roman"/>
          <w:b/>
          <w:bCs/>
          <w:szCs w:val="21"/>
        </w:rPr>
        <w:t xml:space="preserve"> </w:t>
      </w:r>
      <w:r w:rsidRPr="00387A03">
        <w:rPr>
          <w:rFonts w:ascii="Times New Roman" w:eastAsia="黑体" w:hAnsi="Times New Roman" w:cs="Times New Roman"/>
          <w:b/>
          <w:bCs/>
          <w:szCs w:val="21"/>
        </w:rPr>
        <w:t xml:space="preserve">Supplementary </w:t>
      </w:r>
      <w:r w:rsidRPr="00387A03">
        <w:rPr>
          <w:rFonts w:ascii="Times New Roman" w:eastAsia="黑体" w:hAnsi="Times New Roman" w:cs="Times New Roman" w:hint="eastAsia"/>
          <w:b/>
          <w:bCs/>
          <w:szCs w:val="21"/>
        </w:rPr>
        <w:t>Fig.</w:t>
      </w:r>
      <w:r w:rsidRPr="00387A03">
        <w:rPr>
          <w:rFonts w:ascii="Times New Roman" w:eastAsia="黑体" w:hAnsi="Times New Roman" w:cs="Times New Roman"/>
          <w:b/>
          <w:bCs/>
          <w:szCs w:val="21"/>
        </w:rPr>
        <w:t>1</w:t>
      </w:r>
      <w:r w:rsidRPr="00387A03">
        <w:rPr>
          <w:rFonts w:ascii="Times New Roman" w:eastAsia="黑体" w:hAnsi="Times New Roman" w:cs="Times New Roman" w:hint="eastAsia"/>
          <w:b/>
          <w:bCs/>
          <w:szCs w:val="21"/>
        </w:rPr>
        <w:t xml:space="preserve"> Correlation of indicators between subsystems</w:t>
      </w:r>
    </w:p>
    <w:p w14:paraId="196D140A" w14:textId="77777777" w:rsidR="007C0283" w:rsidRDefault="007C0283" w:rsidP="007C0283">
      <w:pPr>
        <w:tabs>
          <w:tab w:val="left" w:pos="1780"/>
        </w:tabs>
        <w:jc w:val="center"/>
        <w:rPr>
          <w:rFonts w:ascii="Times New Roman" w:hAnsi="Times New Roman" w:cs="Times New Roman"/>
          <w:sz w:val="28"/>
          <w:szCs w:val="28"/>
          <w:lang w:val="en-GB"/>
        </w:rPr>
      </w:pPr>
    </w:p>
    <w:p w14:paraId="08A69083" w14:textId="77777777" w:rsidR="007C0283" w:rsidRDefault="007C0283" w:rsidP="007C0283">
      <w:pPr>
        <w:tabs>
          <w:tab w:val="left" w:pos="1780"/>
        </w:tabs>
        <w:jc w:val="center"/>
        <w:rPr>
          <w:rFonts w:ascii="Times New Roman" w:hAnsi="Times New Roman" w:cs="Times New Roman"/>
          <w:sz w:val="28"/>
          <w:szCs w:val="28"/>
          <w:lang w:val="en-GB"/>
        </w:rPr>
      </w:pPr>
    </w:p>
    <w:p w14:paraId="7902B300" w14:textId="77777777" w:rsidR="007C0283" w:rsidRDefault="007C0283" w:rsidP="007C0283">
      <w:pPr>
        <w:tabs>
          <w:tab w:val="left" w:pos="1780"/>
        </w:tabs>
        <w:jc w:val="center"/>
        <w:rPr>
          <w:rFonts w:ascii="Times New Roman" w:hAnsi="Times New Roman" w:cs="Times New Roman"/>
          <w:sz w:val="28"/>
          <w:szCs w:val="28"/>
          <w:lang w:val="en-GB"/>
        </w:rPr>
      </w:pPr>
    </w:p>
    <w:p w14:paraId="3A8C85F3" w14:textId="77777777" w:rsidR="00A2056B" w:rsidRDefault="00A2056B" w:rsidP="007C0283">
      <w:pPr>
        <w:tabs>
          <w:tab w:val="left" w:pos="1780"/>
        </w:tabs>
        <w:jc w:val="center"/>
        <w:rPr>
          <w:rFonts w:ascii="Times New Roman" w:eastAsia="黑体" w:hAnsi="Times New Roman" w:cs="Times New Roman"/>
          <w:noProof/>
          <w:szCs w:val="21"/>
        </w:rPr>
      </w:pPr>
    </w:p>
    <w:p w14:paraId="7799F6CA" w14:textId="66753C05" w:rsidR="007C0283" w:rsidRPr="000B1278" w:rsidRDefault="00A2056B" w:rsidP="007C0283">
      <w:pPr>
        <w:tabs>
          <w:tab w:val="left" w:pos="1780"/>
        </w:tabs>
        <w:jc w:val="center"/>
        <w:rPr>
          <w:rFonts w:ascii="Times New Roman" w:hAnsi="Times New Roman" w:cs="Times New Roman"/>
          <w:sz w:val="28"/>
          <w:szCs w:val="28"/>
          <w:lang w:val="en-GB"/>
        </w:rPr>
      </w:pPr>
      <w:r>
        <w:rPr>
          <w:rFonts w:ascii="Times New Roman" w:eastAsia="黑体" w:hAnsi="Times New Roman" w:cs="Times New Roman"/>
          <w:noProof/>
          <w:szCs w:val="21"/>
        </w:rPr>
        <w:drawing>
          <wp:inline distT="0" distB="0" distL="0" distR="0" wp14:anchorId="04EA0B57" wp14:editId="3BFB97F7">
            <wp:extent cx="9399075" cy="4712677"/>
            <wp:effectExtent l="0" t="0" r="0" b="0"/>
            <wp:docPr id="11482698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69886" name="图片 1148269886"/>
                    <pic:cNvPicPr/>
                  </pic:nvPicPr>
                  <pic:blipFill rotWithShape="1">
                    <a:blip r:embed="rId5" cstate="print">
                      <a:extLst>
                        <a:ext uri="{28A0092B-C50C-407E-A947-70E740481C1C}">
                          <a14:useLocalDpi xmlns:a14="http://schemas.microsoft.com/office/drawing/2010/main" val="0"/>
                        </a:ext>
                      </a:extLst>
                    </a:blip>
                    <a:srcRect t="16828" b="12255"/>
                    <a:stretch>
                      <a:fillRect/>
                    </a:stretch>
                  </pic:blipFill>
                  <pic:spPr bwMode="auto">
                    <a:xfrm>
                      <a:off x="0" y="0"/>
                      <a:ext cx="9399905" cy="4713093"/>
                    </a:xfrm>
                    <a:prstGeom prst="rect">
                      <a:avLst/>
                    </a:prstGeom>
                    <a:ln>
                      <a:noFill/>
                    </a:ln>
                    <a:extLst>
                      <a:ext uri="{53640926-AAD7-44D8-BBD7-CCE9431645EC}">
                        <a14:shadowObscured xmlns:a14="http://schemas.microsoft.com/office/drawing/2010/main"/>
                      </a:ext>
                    </a:extLst>
                  </pic:spPr>
                </pic:pic>
              </a:graphicData>
            </a:graphic>
          </wp:inline>
        </w:drawing>
      </w:r>
      <w:r w:rsidR="007C0283" w:rsidRPr="0095186A">
        <w:rPr>
          <w:rFonts w:ascii="Times New Roman" w:eastAsia="黑体" w:hAnsi="Times New Roman" w:cs="Times New Roman"/>
          <w:szCs w:val="21"/>
        </w:rPr>
        <w:t xml:space="preserve"> </w:t>
      </w:r>
      <w:r w:rsidR="007C0283" w:rsidRPr="00387A03">
        <w:rPr>
          <w:rFonts w:ascii="Times New Roman" w:eastAsia="黑体" w:hAnsi="Times New Roman" w:cs="Times New Roman"/>
          <w:b/>
          <w:bCs/>
          <w:szCs w:val="21"/>
        </w:rPr>
        <w:t xml:space="preserve">Supplementary </w:t>
      </w:r>
      <w:r w:rsidR="007C0283" w:rsidRPr="00387A03">
        <w:rPr>
          <w:rFonts w:ascii="Times New Roman" w:eastAsia="黑体" w:hAnsi="Times New Roman" w:cs="Times New Roman" w:hint="eastAsia"/>
          <w:b/>
          <w:bCs/>
          <w:szCs w:val="21"/>
        </w:rPr>
        <w:t>Fig.2 Correlation of indicators within the subsystem</w:t>
      </w:r>
    </w:p>
    <w:p w14:paraId="689DA3E2" w14:textId="77777777" w:rsidR="007C0283" w:rsidRDefault="007C0283" w:rsidP="007C0283">
      <w:pPr>
        <w:widowControl/>
        <w:jc w:val="left"/>
        <w:rPr>
          <w:rFonts w:ascii="Times New Roman" w:eastAsia="仿宋_GB2312" w:hAnsi="Times New Roman" w:cs="Times New Roman"/>
          <w:szCs w:val="21"/>
          <w:lang w:val="en-GB"/>
        </w:rPr>
      </w:pPr>
      <w:r>
        <w:rPr>
          <w:rFonts w:ascii="Times New Roman" w:eastAsia="仿宋_GB2312" w:hAnsi="Times New Roman" w:cs="Times New Roman"/>
          <w:szCs w:val="21"/>
          <w:lang w:val="en-GB"/>
        </w:rPr>
        <w:br w:type="page"/>
      </w:r>
    </w:p>
    <w:p w14:paraId="02A502BA" w14:textId="77777777" w:rsidR="007C0283" w:rsidRDefault="007C0283" w:rsidP="007C0283">
      <w:pPr>
        <w:tabs>
          <w:tab w:val="left" w:pos="1780"/>
        </w:tabs>
        <w:jc w:val="center"/>
        <w:rPr>
          <w:rFonts w:ascii="Times New Roman" w:eastAsia="黑体" w:hAnsi="Times New Roman" w:cs="Times New Roman"/>
          <w:szCs w:val="21"/>
          <w:lang w:val="en-GB"/>
        </w:rPr>
      </w:pPr>
    </w:p>
    <w:p w14:paraId="0F664315" w14:textId="77777777" w:rsidR="007C0283" w:rsidRPr="0095186A" w:rsidRDefault="007C0283" w:rsidP="007C0283">
      <w:pPr>
        <w:tabs>
          <w:tab w:val="left" w:pos="1780"/>
        </w:tabs>
        <w:jc w:val="center"/>
        <w:rPr>
          <w:rFonts w:ascii="Times New Roman" w:hAnsi="Times New Roman" w:cs="Times New Roman"/>
          <w:b/>
          <w:bCs/>
          <w:sz w:val="28"/>
          <w:szCs w:val="28"/>
          <w:lang w:val="en-GB"/>
        </w:rPr>
      </w:pPr>
      <w:r w:rsidRPr="0095186A">
        <w:rPr>
          <w:rFonts w:ascii="Times New Roman" w:eastAsia="黑体" w:hAnsi="Times New Roman" w:cs="Times New Roman"/>
          <w:b/>
          <w:bCs/>
          <w:szCs w:val="21"/>
        </w:rPr>
        <w:t xml:space="preserve">Supplementary Table </w:t>
      </w:r>
      <w:r w:rsidRPr="0095186A">
        <w:rPr>
          <w:rFonts w:ascii="Times New Roman" w:eastAsia="黑体" w:hAnsi="Times New Roman" w:cs="Times New Roman" w:hint="eastAsia"/>
          <w:b/>
          <w:bCs/>
          <w:szCs w:val="21"/>
        </w:rPr>
        <w:t xml:space="preserve">2 Socio-economic indicators </w:t>
      </w:r>
    </w:p>
    <w:tbl>
      <w:tblPr>
        <w:tblW w:w="15388" w:type="dxa"/>
        <w:jc w:val="center"/>
        <w:tblLook w:val="04A0" w:firstRow="1" w:lastRow="0" w:firstColumn="1" w:lastColumn="0" w:noHBand="0" w:noVBand="1"/>
      </w:tblPr>
      <w:tblGrid>
        <w:gridCol w:w="1333"/>
        <w:gridCol w:w="2405"/>
        <w:gridCol w:w="11650"/>
      </w:tblGrid>
      <w:tr w:rsidR="007C0283" w:rsidRPr="00C06695" w14:paraId="703A21D9" w14:textId="77777777" w:rsidTr="00053CB3">
        <w:trPr>
          <w:trHeight w:val="517"/>
          <w:jc w:val="center"/>
        </w:trPr>
        <w:tc>
          <w:tcPr>
            <w:tcW w:w="1333" w:type="dxa"/>
            <w:tcBorders>
              <w:top w:val="single" w:sz="4" w:space="0" w:color="auto"/>
              <w:left w:val="single" w:sz="4" w:space="0" w:color="auto"/>
              <w:bottom w:val="single" w:sz="4" w:space="0" w:color="auto"/>
              <w:right w:val="single" w:sz="4" w:space="0" w:color="auto"/>
            </w:tcBorders>
          </w:tcPr>
          <w:p w14:paraId="6128483B" w14:textId="77777777" w:rsidR="007C0283" w:rsidRPr="006757BF" w:rsidRDefault="007C0283" w:rsidP="00053CB3">
            <w:pPr>
              <w:jc w:val="center"/>
              <w:rPr>
                <w:rFonts w:ascii="Times New Roman" w:hAnsi="Times New Roman" w:cs="Times New Roman"/>
                <w:b/>
                <w:bCs/>
                <w:color w:val="000000"/>
                <w:sz w:val="18"/>
                <w:szCs w:val="18"/>
              </w:rPr>
            </w:pPr>
            <w:r w:rsidRPr="006757BF">
              <w:rPr>
                <w:rFonts w:ascii="Times New Roman" w:hAnsi="Times New Roman" w:cs="Times New Roman"/>
                <w:b/>
                <w:bCs/>
                <w:color w:val="000000"/>
                <w:sz w:val="18"/>
                <w:szCs w:val="18"/>
              </w:rPr>
              <w:t>system</w:t>
            </w:r>
          </w:p>
        </w:tc>
        <w:tc>
          <w:tcPr>
            <w:tcW w:w="2405" w:type="dxa"/>
            <w:tcBorders>
              <w:top w:val="single" w:sz="4" w:space="0" w:color="auto"/>
              <w:left w:val="single" w:sz="4" w:space="0" w:color="auto"/>
              <w:bottom w:val="single" w:sz="4" w:space="0" w:color="auto"/>
              <w:right w:val="single" w:sz="4" w:space="0" w:color="auto"/>
            </w:tcBorders>
            <w:noWrap/>
            <w:vAlign w:val="center"/>
          </w:tcPr>
          <w:p w14:paraId="6167FAD7" w14:textId="77777777" w:rsidR="007C0283" w:rsidRPr="0095186A" w:rsidRDefault="007C0283" w:rsidP="00053CB3">
            <w:pPr>
              <w:jc w:val="center"/>
              <w:rPr>
                <w:rFonts w:ascii="Times New Roman" w:eastAsia="等线" w:hAnsi="Times New Roman" w:cs="Times New Roman"/>
                <w:color w:val="000000"/>
                <w:sz w:val="18"/>
                <w:szCs w:val="18"/>
              </w:rPr>
            </w:pPr>
            <w:r w:rsidRPr="006757BF">
              <w:rPr>
                <w:rFonts w:ascii="Times New Roman" w:hAnsi="Times New Roman" w:cs="Times New Roman"/>
                <w:b/>
                <w:bCs/>
                <w:color w:val="000000"/>
                <w:sz w:val="18"/>
                <w:szCs w:val="18"/>
              </w:rPr>
              <w:t>No.</w:t>
            </w:r>
          </w:p>
        </w:tc>
        <w:tc>
          <w:tcPr>
            <w:tcW w:w="11650" w:type="dxa"/>
            <w:tcBorders>
              <w:top w:val="single" w:sz="4" w:space="0" w:color="auto"/>
              <w:left w:val="nil"/>
              <w:bottom w:val="single" w:sz="4" w:space="0" w:color="auto"/>
              <w:right w:val="single" w:sz="4" w:space="0" w:color="auto"/>
            </w:tcBorders>
            <w:noWrap/>
            <w:vAlign w:val="center"/>
          </w:tcPr>
          <w:p w14:paraId="6D0EEA29" w14:textId="77777777" w:rsidR="007C0283" w:rsidRPr="0095186A" w:rsidRDefault="007C0283" w:rsidP="00053CB3">
            <w:pPr>
              <w:jc w:val="center"/>
              <w:rPr>
                <w:rFonts w:ascii="Times New Roman" w:eastAsia="等线" w:hAnsi="Times New Roman" w:cs="Times New Roman"/>
                <w:color w:val="000000"/>
                <w:sz w:val="18"/>
                <w:szCs w:val="18"/>
              </w:rPr>
            </w:pPr>
            <w:r w:rsidRPr="006757BF">
              <w:rPr>
                <w:rFonts w:ascii="Times New Roman" w:hAnsi="Times New Roman" w:cs="Times New Roman"/>
                <w:b/>
                <w:bCs/>
                <w:color w:val="000000"/>
                <w:sz w:val="18"/>
                <w:szCs w:val="18"/>
              </w:rPr>
              <w:t>Indicator</w:t>
            </w:r>
          </w:p>
        </w:tc>
      </w:tr>
      <w:tr w:rsidR="007C0283" w:rsidRPr="00C06695" w14:paraId="4382D893" w14:textId="77777777" w:rsidTr="00053CB3">
        <w:trPr>
          <w:trHeight w:val="517"/>
          <w:jc w:val="center"/>
        </w:trPr>
        <w:tc>
          <w:tcPr>
            <w:tcW w:w="1333" w:type="dxa"/>
            <w:vMerge w:val="restart"/>
            <w:tcBorders>
              <w:top w:val="single" w:sz="4" w:space="0" w:color="auto"/>
              <w:left w:val="single" w:sz="4" w:space="0" w:color="auto"/>
              <w:right w:val="single" w:sz="4" w:space="0" w:color="auto"/>
            </w:tcBorders>
          </w:tcPr>
          <w:p w14:paraId="013184E3" w14:textId="77777777" w:rsidR="007C0283" w:rsidRDefault="007C0283" w:rsidP="00053CB3">
            <w:pPr>
              <w:jc w:val="center"/>
              <w:rPr>
                <w:rFonts w:ascii="Times New Roman" w:eastAsia="黑体" w:hAnsi="Times New Roman" w:cs="Times New Roman"/>
                <w:b/>
                <w:bCs/>
                <w:szCs w:val="21"/>
              </w:rPr>
            </w:pPr>
          </w:p>
          <w:p w14:paraId="63C3A01A" w14:textId="77777777" w:rsidR="007C0283" w:rsidRDefault="007C0283" w:rsidP="00053CB3">
            <w:pPr>
              <w:jc w:val="center"/>
              <w:rPr>
                <w:rFonts w:ascii="Times New Roman" w:eastAsia="黑体" w:hAnsi="Times New Roman" w:cs="Times New Roman"/>
                <w:b/>
                <w:bCs/>
                <w:szCs w:val="21"/>
              </w:rPr>
            </w:pPr>
          </w:p>
          <w:p w14:paraId="62E1E2A8" w14:textId="77777777" w:rsidR="007C0283" w:rsidRDefault="007C0283" w:rsidP="00053CB3">
            <w:pPr>
              <w:jc w:val="center"/>
              <w:rPr>
                <w:rFonts w:ascii="Times New Roman" w:eastAsia="黑体" w:hAnsi="Times New Roman" w:cs="Times New Roman"/>
                <w:b/>
                <w:bCs/>
                <w:szCs w:val="21"/>
              </w:rPr>
            </w:pPr>
          </w:p>
          <w:p w14:paraId="0EC12AD7" w14:textId="77777777" w:rsidR="007C0283" w:rsidRDefault="007C0283" w:rsidP="00053CB3">
            <w:pPr>
              <w:jc w:val="center"/>
              <w:rPr>
                <w:rFonts w:ascii="Times New Roman" w:eastAsia="黑体" w:hAnsi="Times New Roman" w:cs="Times New Roman"/>
                <w:b/>
                <w:bCs/>
                <w:szCs w:val="21"/>
              </w:rPr>
            </w:pPr>
          </w:p>
          <w:p w14:paraId="23952B7C" w14:textId="77777777" w:rsidR="007C0283" w:rsidRDefault="007C0283" w:rsidP="00053CB3">
            <w:pPr>
              <w:jc w:val="center"/>
              <w:rPr>
                <w:rFonts w:ascii="Times New Roman" w:eastAsia="黑体" w:hAnsi="Times New Roman" w:cs="Times New Roman"/>
                <w:b/>
                <w:bCs/>
                <w:szCs w:val="21"/>
              </w:rPr>
            </w:pPr>
          </w:p>
          <w:p w14:paraId="2CB2026C" w14:textId="77777777" w:rsidR="007C0283" w:rsidRDefault="007C0283" w:rsidP="00053CB3">
            <w:pPr>
              <w:jc w:val="center"/>
              <w:rPr>
                <w:rFonts w:ascii="Times New Roman" w:eastAsia="黑体" w:hAnsi="Times New Roman" w:cs="Times New Roman"/>
                <w:b/>
                <w:bCs/>
                <w:szCs w:val="21"/>
              </w:rPr>
            </w:pPr>
          </w:p>
          <w:p w14:paraId="4413C2EC" w14:textId="77777777" w:rsidR="007C0283" w:rsidRDefault="007C0283" w:rsidP="00053CB3">
            <w:pPr>
              <w:jc w:val="center"/>
              <w:rPr>
                <w:rFonts w:ascii="Times New Roman" w:eastAsia="黑体" w:hAnsi="Times New Roman" w:cs="Times New Roman"/>
                <w:b/>
                <w:bCs/>
                <w:szCs w:val="21"/>
              </w:rPr>
            </w:pPr>
          </w:p>
          <w:p w14:paraId="4529C1D5" w14:textId="77777777" w:rsidR="007C0283" w:rsidRDefault="007C0283" w:rsidP="00053CB3">
            <w:pPr>
              <w:jc w:val="center"/>
              <w:rPr>
                <w:rFonts w:ascii="Times New Roman" w:eastAsia="黑体" w:hAnsi="Times New Roman" w:cs="Times New Roman"/>
                <w:b/>
                <w:bCs/>
                <w:szCs w:val="21"/>
              </w:rPr>
            </w:pPr>
          </w:p>
          <w:p w14:paraId="6DFDEA02" w14:textId="77777777" w:rsidR="007C0283" w:rsidRDefault="007C0283" w:rsidP="00053CB3">
            <w:pPr>
              <w:jc w:val="center"/>
              <w:rPr>
                <w:rFonts w:ascii="Times New Roman" w:eastAsia="黑体" w:hAnsi="Times New Roman" w:cs="Times New Roman"/>
                <w:b/>
                <w:bCs/>
                <w:szCs w:val="21"/>
              </w:rPr>
            </w:pPr>
          </w:p>
          <w:p w14:paraId="41074291" w14:textId="77777777" w:rsidR="007C0283" w:rsidRPr="0095186A" w:rsidRDefault="007C0283" w:rsidP="00053CB3">
            <w:pPr>
              <w:jc w:val="center"/>
              <w:rPr>
                <w:rFonts w:ascii="Times New Roman" w:eastAsia="等线" w:hAnsi="Times New Roman" w:cs="Times New Roman"/>
                <w:color w:val="000000"/>
                <w:sz w:val="18"/>
                <w:szCs w:val="18"/>
              </w:rPr>
            </w:pPr>
            <w:r w:rsidRPr="00DA26CE">
              <w:rPr>
                <w:rFonts w:ascii="Times New Roman" w:eastAsia="等线" w:hAnsi="Times New Roman" w:cs="Times New Roman" w:hint="eastAsia"/>
                <w:color w:val="000000"/>
                <w:sz w:val="18"/>
                <w:szCs w:val="18"/>
              </w:rPr>
              <w:t>Socio-economic indicators</w:t>
            </w:r>
          </w:p>
        </w:tc>
        <w:tc>
          <w:tcPr>
            <w:tcW w:w="2405" w:type="dxa"/>
            <w:tcBorders>
              <w:top w:val="single" w:sz="4" w:space="0" w:color="auto"/>
              <w:left w:val="single" w:sz="4" w:space="0" w:color="auto"/>
              <w:bottom w:val="single" w:sz="4" w:space="0" w:color="auto"/>
              <w:right w:val="single" w:sz="4" w:space="0" w:color="auto"/>
            </w:tcBorders>
            <w:noWrap/>
            <w:vAlign w:val="center"/>
            <w:hideMark/>
          </w:tcPr>
          <w:p w14:paraId="4E91879F"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E1</w:t>
            </w:r>
          </w:p>
        </w:tc>
        <w:tc>
          <w:tcPr>
            <w:tcW w:w="11650" w:type="dxa"/>
            <w:tcBorders>
              <w:top w:val="single" w:sz="4" w:space="0" w:color="auto"/>
              <w:left w:val="nil"/>
              <w:bottom w:val="single" w:sz="4" w:space="0" w:color="auto"/>
              <w:right w:val="single" w:sz="4" w:space="0" w:color="auto"/>
            </w:tcBorders>
            <w:noWrap/>
            <w:vAlign w:val="center"/>
            <w:hideMark/>
          </w:tcPr>
          <w:p w14:paraId="400CBB86"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GDP per capita</w:t>
            </w:r>
          </w:p>
        </w:tc>
      </w:tr>
      <w:tr w:rsidR="007C0283" w:rsidRPr="00C06695" w14:paraId="1AF424EE" w14:textId="77777777" w:rsidTr="00053CB3">
        <w:trPr>
          <w:trHeight w:val="517"/>
          <w:jc w:val="center"/>
        </w:trPr>
        <w:tc>
          <w:tcPr>
            <w:tcW w:w="1333" w:type="dxa"/>
            <w:vMerge/>
            <w:tcBorders>
              <w:left w:val="single" w:sz="4" w:space="0" w:color="auto"/>
              <w:right w:val="single" w:sz="4" w:space="0" w:color="auto"/>
            </w:tcBorders>
          </w:tcPr>
          <w:p w14:paraId="0DBB5187"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66335E84"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E2</w:t>
            </w:r>
          </w:p>
        </w:tc>
        <w:tc>
          <w:tcPr>
            <w:tcW w:w="11650" w:type="dxa"/>
            <w:tcBorders>
              <w:top w:val="nil"/>
              <w:left w:val="nil"/>
              <w:bottom w:val="single" w:sz="4" w:space="0" w:color="auto"/>
              <w:right w:val="single" w:sz="4" w:space="0" w:color="auto"/>
            </w:tcBorders>
            <w:noWrap/>
            <w:vAlign w:val="center"/>
            <w:hideMark/>
          </w:tcPr>
          <w:p w14:paraId="5BBDC9D0"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Per capita disposable income of rural residents</w:t>
            </w:r>
          </w:p>
        </w:tc>
      </w:tr>
      <w:tr w:rsidR="007C0283" w:rsidRPr="00C06695" w14:paraId="248A0E90" w14:textId="77777777" w:rsidTr="00053CB3">
        <w:trPr>
          <w:trHeight w:val="517"/>
          <w:jc w:val="center"/>
        </w:trPr>
        <w:tc>
          <w:tcPr>
            <w:tcW w:w="1333" w:type="dxa"/>
            <w:vMerge/>
            <w:tcBorders>
              <w:left w:val="single" w:sz="4" w:space="0" w:color="auto"/>
              <w:right w:val="single" w:sz="4" w:space="0" w:color="auto"/>
            </w:tcBorders>
          </w:tcPr>
          <w:p w14:paraId="2339754F"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6E56300A"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E3</w:t>
            </w:r>
          </w:p>
        </w:tc>
        <w:tc>
          <w:tcPr>
            <w:tcW w:w="11650" w:type="dxa"/>
            <w:tcBorders>
              <w:top w:val="nil"/>
              <w:left w:val="nil"/>
              <w:bottom w:val="single" w:sz="4" w:space="0" w:color="auto"/>
              <w:right w:val="single" w:sz="4" w:space="0" w:color="auto"/>
            </w:tcBorders>
            <w:noWrap/>
            <w:vAlign w:val="center"/>
            <w:hideMark/>
          </w:tcPr>
          <w:p w14:paraId="7B7DCF63"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Per capita consumption expenditure of rural residents</w:t>
            </w:r>
          </w:p>
        </w:tc>
      </w:tr>
      <w:tr w:rsidR="007C0283" w:rsidRPr="00C06695" w14:paraId="221EFA93" w14:textId="77777777" w:rsidTr="00053CB3">
        <w:trPr>
          <w:trHeight w:val="517"/>
          <w:jc w:val="center"/>
        </w:trPr>
        <w:tc>
          <w:tcPr>
            <w:tcW w:w="1333" w:type="dxa"/>
            <w:vMerge/>
            <w:tcBorders>
              <w:left w:val="single" w:sz="4" w:space="0" w:color="auto"/>
              <w:right w:val="single" w:sz="4" w:space="0" w:color="auto"/>
            </w:tcBorders>
          </w:tcPr>
          <w:p w14:paraId="5F5D7F0E"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20E026A3"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E4</w:t>
            </w:r>
          </w:p>
        </w:tc>
        <w:tc>
          <w:tcPr>
            <w:tcW w:w="11650" w:type="dxa"/>
            <w:tcBorders>
              <w:top w:val="nil"/>
              <w:left w:val="nil"/>
              <w:bottom w:val="single" w:sz="4" w:space="0" w:color="auto"/>
              <w:right w:val="single" w:sz="4" w:space="0" w:color="auto"/>
            </w:tcBorders>
            <w:noWrap/>
            <w:vAlign w:val="center"/>
            <w:hideMark/>
          </w:tcPr>
          <w:p w14:paraId="5236F9EE"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Urban-rural income ratio</w:t>
            </w:r>
          </w:p>
        </w:tc>
      </w:tr>
      <w:tr w:rsidR="007C0283" w:rsidRPr="00C06695" w14:paraId="6ABA1ED5" w14:textId="77777777" w:rsidTr="00053CB3">
        <w:trPr>
          <w:trHeight w:val="517"/>
          <w:jc w:val="center"/>
        </w:trPr>
        <w:tc>
          <w:tcPr>
            <w:tcW w:w="1333" w:type="dxa"/>
            <w:vMerge/>
            <w:tcBorders>
              <w:left w:val="single" w:sz="4" w:space="0" w:color="auto"/>
              <w:right w:val="single" w:sz="4" w:space="0" w:color="auto"/>
            </w:tcBorders>
          </w:tcPr>
          <w:p w14:paraId="197FAE73"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52542B79"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E5</w:t>
            </w:r>
          </w:p>
        </w:tc>
        <w:tc>
          <w:tcPr>
            <w:tcW w:w="11650" w:type="dxa"/>
            <w:tcBorders>
              <w:top w:val="nil"/>
              <w:left w:val="nil"/>
              <w:bottom w:val="single" w:sz="4" w:space="0" w:color="auto"/>
              <w:right w:val="single" w:sz="4" w:space="0" w:color="auto"/>
            </w:tcBorders>
            <w:noWrap/>
            <w:vAlign w:val="center"/>
            <w:hideMark/>
          </w:tcPr>
          <w:p w14:paraId="0214958E"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Urbanization rate of permanent population</w:t>
            </w:r>
          </w:p>
        </w:tc>
      </w:tr>
      <w:tr w:rsidR="007C0283" w:rsidRPr="00C06695" w14:paraId="613FD04F" w14:textId="77777777" w:rsidTr="00053CB3">
        <w:trPr>
          <w:trHeight w:val="517"/>
          <w:jc w:val="center"/>
        </w:trPr>
        <w:tc>
          <w:tcPr>
            <w:tcW w:w="1333" w:type="dxa"/>
            <w:vMerge/>
            <w:tcBorders>
              <w:left w:val="single" w:sz="4" w:space="0" w:color="auto"/>
              <w:right w:val="single" w:sz="4" w:space="0" w:color="auto"/>
            </w:tcBorders>
          </w:tcPr>
          <w:p w14:paraId="013DBEB5"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38C9CA65"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E6</w:t>
            </w:r>
          </w:p>
        </w:tc>
        <w:tc>
          <w:tcPr>
            <w:tcW w:w="11650" w:type="dxa"/>
            <w:tcBorders>
              <w:top w:val="nil"/>
              <w:left w:val="nil"/>
              <w:bottom w:val="single" w:sz="4" w:space="0" w:color="auto"/>
              <w:right w:val="single" w:sz="4" w:space="0" w:color="auto"/>
            </w:tcBorders>
            <w:noWrap/>
            <w:vAlign w:val="center"/>
            <w:hideMark/>
          </w:tcPr>
          <w:p w14:paraId="306657B7"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The proportion of added value of the secondary industry to GDP</w:t>
            </w:r>
          </w:p>
        </w:tc>
      </w:tr>
      <w:tr w:rsidR="007C0283" w:rsidRPr="00C06695" w14:paraId="5BC447E1" w14:textId="77777777" w:rsidTr="00053CB3">
        <w:trPr>
          <w:trHeight w:val="517"/>
          <w:jc w:val="center"/>
        </w:trPr>
        <w:tc>
          <w:tcPr>
            <w:tcW w:w="1333" w:type="dxa"/>
            <w:vMerge/>
            <w:tcBorders>
              <w:left w:val="single" w:sz="4" w:space="0" w:color="auto"/>
              <w:right w:val="single" w:sz="4" w:space="0" w:color="auto"/>
            </w:tcBorders>
          </w:tcPr>
          <w:p w14:paraId="682755D1"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48141B13"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E7</w:t>
            </w:r>
          </w:p>
        </w:tc>
        <w:tc>
          <w:tcPr>
            <w:tcW w:w="11650" w:type="dxa"/>
            <w:tcBorders>
              <w:top w:val="nil"/>
              <w:left w:val="nil"/>
              <w:bottom w:val="single" w:sz="4" w:space="0" w:color="auto"/>
              <w:right w:val="single" w:sz="4" w:space="0" w:color="auto"/>
            </w:tcBorders>
            <w:noWrap/>
            <w:vAlign w:val="center"/>
            <w:hideMark/>
          </w:tcPr>
          <w:p w14:paraId="465F942C"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The proportion of added value of the tertiary industry to GDP</w:t>
            </w:r>
          </w:p>
        </w:tc>
      </w:tr>
      <w:tr w:rsidR="007C0283" w:rsidRPr="00C06695" w14:paraId="2676E4E4" w14:textId="77777777" w:rsidTr="00053CB3">
        <w:trPr>
          <w:trHeight w:val="517"/>
          <w:jc w:val="center"/>
        </w:trPr>
        <w:tc>
          <w:tcPr>
            <w:tcW w:w="1333" w:type="dxa"/>
            <w:vMerge/>
            <w:tcBorders>
              <w:left w:val="single" w:sz="4" w:space="0" w:color="auto"/>
              <w:right w:val="single" w:sz="4" w:space="0" w:color="auto"/>
            </w:tcBorders>
          </w:tcPr>
          <w:p w14:paraId="14067229"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56564631"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E8</w:t>
            </w:r>
          </w:p>
        </w:tc>
        <w:tc>
          <w:tcPr>
            <w:tcW w:w="11650" w:type="dxa"/>
            <w:tcBorders>
              <w:top w:val="nil"/>
              <w:left w:val="nil"/>
              <w:bottom w:val="single" w:sz="4" w:space="0" w:color="auto"/>
              <w:right w:val="single" w:sz="4" w:space="0" w:color="auto"/>
            </w:tcBorders>
            <w:noWrap/>
            <w:vAlign w:val="center"/>
            <w:hideMark/>
          </w:tcPr>
          <w:p w14:paraId="46CFA196"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Local fiscal pressure</w:t>
            </w:r>
          </w:p>
        </w:tc>
      </w:tr>
      <w:tr w:rsidR="007C0283" w:rsidRPr="00C06695" w14:paraId="64A9FB66" w14:textId="77777777" w:rsidTr="00053CB3">
        <w:trPr>
          <w:trHeight w:val="517"/>
          <w:jc w:val="center"/>
        </w:trPr>
        <w:tc>
          <w:tcPr>
            <w:tcW w:w="1333" w:type="dxa"/>
            <w:vMerge/>
            <w:tcBorders>
              <w:left w:val="single" w:sz="4" w:space="0" w:color="auto"/>
              <w:right w:val="single" w:sz="4" w:space="0" w:color="auto"/>
            </w:tcBorders>
          </w:tcPr>
          <w:p w14:paraId="3A37B9CC"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06DF9F14"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E9</w:t>
            </w:r>
          </w:p>
        </w:tc>
        <w:tc>
          <w:tcPr>
            <w:tcW w:w="11650" w:type="dxa"/>
            <w:tcBorders>
              <w:top w:val="nil"/>
              <w:left w:val="nil"/>
              <w:bottom w:val="single" w:sz="4" w:space="0" w:color="auto"/>
              <w:right w:val="single" w:sz="4" w:space="0" w:color="auto"/>
            </w:tcBorders>
            <w:noWrap/>
            <w:vAlign w:val="center"/>
            <w:hideMark/>
          </w:tcPr>
          <w:p w14:paraId="4BE67F2F"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Average number of household cars owned by rural residents per hundred households at the end of the year (per hundred households)</w:t>
            </w:r>
          </w:p>
        </w:tc>
      </w:tr>
      <w:tr w:rsidR="007C0283" w:rsidRPr="00C06695" w14:paraId="47A76C30" w14:textId="77777777" w:rsidTr="00053CB3">
        <w:trPr>
          <w:trHeight w:val="517"/>
          <w:jc w:val="center"/>
        </w:trPr>
        <w:tc>
          <w:tcPr>
            <w:tcW w:w="1333" w:type="dxa"/>
            <w:vMerge/>
            <w:tcBorders>
              <w:left w:val="single" w:sz="4" w:space="0" w:color="auto"/>
              <w:right w:val="single" w:sz="4" w:space="0" w:color="auto"/>
            </w:tcBorders>
          </w:tcPr>
          <w:p w14:paraId="681E6346"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70D371DB"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E10</w:t>
            </w:r>
          </w:p>
        </w:tc>
        <w:tc>
          <w:tcPr>
            <w:tcW w:w="11650" w:type="dxa"/>
            <w:tcBorders>
              <w:top w:val="nil"/>
              <w:left w:val="nil"/>
              <w:bottom w:val="single" w:sz="4" w:space="0" w:color="auto"/>
              <w:right w:val="single" w:sz="4" w:space="0" w:color="auto"/>
            </w:tcBorders>
            <w:noWrap/>
            <w:vAlign w:val="center"/>
            <w:hideMark/>
          </w:tcPr>
          <w:p w14:paraId="7AC3E14E"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Average number of computers owned by rural residents per 100 households at the end of the year (units)</w:t>
            </w:r>
          </w:p>
        </w:tc>
      </w:tr>
      <w:tr w:rsidR="007C0283" w:rsidRPr="00C06695" w14:paraId="6F546DEC" w14:textId="77777777" w:rsidTr="00053CB3">
        <w:trPr>
          <w:trHeight w:val="517"/>
          <w:jc w:val="center"/>
        </w:trPr>
        <w:tc>
          <w:tcPr>
            <w:tcW w:w="1333" w:type="dxa"/>
            <w:vMerge/>
            <w:tcBorders>
              <w:left w:val="single" w:sz="4" w:space="0" w:color="auto"/>
              <w:right w:val="single" w:sz="4" w:space="0" w:color="auto"/>
            </w:tcBorders>
          </w:tcPr>
          <w:p w14:paraId="7CEE5B34"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5F2DDE10"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E11</w:t>
            </w:r>
          </w:p>
        </w:tc>
        <w:tc>
          <w:tcPr>
            <w:tcW w:w="11650" w:type="dxa"/>
            <w:tcBorders>
              <w:top w:val="nil"/>
              <w:left w:val="nil"/>
              <w:bottom w:val="single" w:sz="4" w:space="0" w:color="auto"/>
              <w:right w:val="single" w:sz="4" w:space="0" w:color="auto"/>
            </w:tcBorders>
            <w:noWrap/>
            <w:vAlign w:val="center"/>
            <w:hideMark/>
          </w:tcPr>
          <w:p w14:paraId="7DACF588"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Per capita grain consumption of rural residents (kg)</w:t>
            </w:r>
          </w:p>
        </w:tc>
      </w:tr>
      <w:tr w:rsidR="007C0283" w:rsidRPr="00C06695" w14:paraId="1723A713" w14:textId="77777777" w:rsidTr="00053CB3">
        <w:trPr>
          <w:trHeight w:val="517"/>
          <w:jc w:val="center"/>
        </w:trPr>
        <w:tc>
          <w:tcPr>
            <w:tcW w:w="1333" w:type="dxa"/>
            <w:vMerge/>
            <w:tcBorders>
              <w:left w:val="single" w:sz="4" w:space="0" w:color="auto"/>
              <w:right w:val="single" w:sz="4" w:space="0" w:color="auto"/>
            </w:tcBorders>
          </w:tcPr>
          <w:p w14:paraId="1509D8F8"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35D55AAA"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E12</w:t>
            </w:r>
          </w:p>
        </w:tc>
        <w:tc>
          <w:tcPr>
            <w:tcW w:w="11650" w:type="dxa"/>
            <w:tcBorders>
              <w:top w:val="nil"/>
              <w:left w:val="nil"/>
              <w:bottom w:val="single" w:sz="4" w:space="0" w:color="auto"/>
              <w:right w:val="single" w:sz="4" w:space="0" w:color="auto"/>
            </w:tcBorders>
            <w:noWrap/>
            <w:vAlign w:val="center"/>
            <w:hideMark/>
          </w:tcPr>
          <w:p w14:paraId="55040AEA"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Highway network density</w:t>
            </w:r>
          </w:p>
        </w:tc>
      </w:tr>
      <w:tr w:rsidR="007C0283" w:rsidRPr="00C06695" w14:paraId="418C0E02" w14:textId="77777777" w:rsidTr="00053CB3">
        <w:trPr>
          <w:trHeight w:val="517"/>
          <w:jc w:val="center"/>
        </w:trPr>
        <w:tc>
          <w:tcPr>
            <w:tcW w:w="1333" w:type="dxa"/>
            <w:vMerge/>
            <w:tcBorders>
              <w:left w:val="single" w:sz="4" w:space="0" w:color="auto"/>
              <w:bottom w:val="single" w:sz="4" w:space="0" w:color="auto"/>
              <w:right w:val="single" w:sz="4" w:space="0" w:color="auto"/>
            </w:tcBorders>
          </w:tcPr>
          <w:p w14:paraId="4DCD453D" w14:textId="77777777" w:rsidR="007C0283" w:rsidRPr="0095186A" w:rsidRDefault="007C0283" w:rsidP="00053CB3">
            <w:pPr>
              <w:jc w:val="center"/>
              <w:rPr>
                <w:rFonts w:ascii="Times New Roman" w:eastAsia="等线" w:hAnsi="Times New Roman" w:cs="Times New Roman"/>
                <w:color w:val="000000"/>
                <w:sz w:val="18"/>
                <w:szCs w:val="18"/>
              </w:rPr>
            </w:pPr>
          </w:p>
        </w:tc>
        <w:tc>
          <w:tcPr>
            <w:tcW w:w="2405" w:type="dxa"/>
            <w:tcBorders>
              <w:top w:val="nil"/>
              <w:left w:val="single" w:sz="4" w:space="0" w:color="auto"/>
              <w:bottom w:val="single" w:sz="4" w:space="0" w:color="auto"/>
              <w:right w:val="single" w:sz="4" w:space="0" w:color="auto"/>
            </w:tcBorders>
            <w:noWrap/>
            <w:vAlign w:val="center"/>
            <w:hideMark/>
          </w:tcPr>
          <w:p w14:paraId="56E61DFC"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E13</w:t>
            </w:r>
          </w:p>
        </w:tc>
        <w:tc>
          <w:tcPr>
            <w:tcW w:w="11650" w:type="dxa"/>
            <w:tcBorders>
              <w:top w:val="nil"/>
              <w:left w:val="nil"/>
              <w:bottom w:val="single" w:sz="4" w:space="0" w:color="auto"/>
              <w:right w:val="single" w:sz="4" w:space="0" w:color="auto"/>
            </w:tcBorders>
            <w:noWrap/>
            <w:vAlign w:val="center"/>
            <w:hideMark/>
          </w:tcPr>
          <w:p w14:paraId="55192ACE" w14:textId="77777777" w:rsidR="007C0283" w:rsidRPr="0095186A" w:rsidRDefault="007C0283" w:rsidP="00053CB3">
            <w:pPr>
              <w:jc w:val="center"/>
              <w:rPr>
                <w:rFonts w:ascii="Times New Roman" w:eastAsia="等线" w:hAnsi="Times New Roman" w:cs="Times New Roman"/>
                <w:color w:val="000000"/>
                <w:sz w:val="18"/>
                <w:szCs w:val="18"/>
              </w:rPr>
            </w:pPr>
            <w:r w:rsidRPr="0095186A">
              <w:rPr>
                <w:rFonts w:ascii="Times New Roman" w:eastAsia="等线" w:hAnsi="Times New Roman" w:cs="Times New Roman"/>
                <w:color w:val="000000"/>
                <w:sz w:val="18"/>
                <w:szCs w:val="18"/>
              </w:rPr>
              <w:t>Per capita express delivery volume</w:t>
            </w:r>
          </w:p>
        </w:tc>
      </w:tr>
    </w:tbl>
    <w:p w14:paraId="35022F28" w14:textId="77777777" w:rsidR="007C0283" w:rsidRDefault="007C0283" w:rsidP="007C0283">
      <w:pPr>
        <w:rPr>
          <w:rFonts w:hint="eastAsia"/>
        </w:rPr>
      </w:pPr>
    </w:p>
    <w:p w14:paraId="2FD7CF80" w14:textId="77777777" w:rsidR="007C0283" w:rsidRPr="0095186A" w:rsidRDefault="007C0283" w:rsidP="007C0283">
      <w:pPr>
        <w:widowControl/>
        <w:jc w:val="left"/>
        <w:rPr>
          <w:rFonts w:ascii="Times New Roman" w:eastAsia="仿宋_GB2312" w:hAnsi="Times New Roman" w:cs="Times New Roman"/>
          <w:szCs w:val="21"/>
        </w:rPr>
      </w:pPr>
    </w:p>
    <w:p w14:paraId="3FEB2F1E" w14:textId="77777777" w:rsidR="000E35D1" w:rsidRPr="007C0283" w:rsidRDefault="000E35D1">
      <w:pPr>
        <w:rPr>
          <w:rFonts w:hint="eastAsia"/>
        </w:rPr>
      </w:pPr>
    </w:p>
    <w:sectPr w:rsidR="000E35D1" w:rsidRPr="007C0283" w:rsidSect="007C0283">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83"/>
    <w:rsid w:val="000A2BDA"/>
    <w:rsid w:val="000E35D1"/>
    <w:rsid w:val="007C0283"/>
    <w:rsid w:val="00A2056B"/>
    <w:rsid w:val="00D95E57"/>
    <w:rsid w:val="00F61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99DE"/>
  <w15:chartTrackingRefBased/>
  <w15:docId w15:val="{331A5409-B7F6-4DDE-93C4-D06E2F9D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283"/>
    <w:pPr>
      <w:widowControl w:val="0"/>
      <w:jc w:val="both"/>
    </w:pPr>
  </w:style>
  <w:style w:type="paragraph" w:styleId="1">
    <w:name w:val="heading 1"/>
    <w:basedOn w:val="a"/>
    <w:next w:val="a"/>
    <w:link w:val="10"/>
    <w:uiPriority w:val="9"/>
    <w:qFormat/>
    <w:rsid w:val="007C028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C028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C028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C028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C028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C028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C028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C028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C028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028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C028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C028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C0283"/>
    <w:rPr>
      <w:rFonts w:cstheme="majorBidi"/>
      <w:color w:val="0F4761" w:themeColor="accent1" w:themeShade="BF"/>
      <w:sz w:val="28"/>
      <w:szCs w:val="28"/>
    </w:rPr>
  </w:style>
  <w:style w:type="character" w:customStyle="1" w:styleId="50">
    <w:name w:val="标题 5 字符"/>
    <w:basedOn w:val="a0"/>
    <w:link w:val="5"/>
    <w:uiPriority w:val="9"/>
    <w:semiHidden/>
    <w:rsid w:val="007C0283"/>
    <w:rPr>
      <w:rFonts w:cstheme="majorBidi"/>
      <w:color w:val="0F4761" w:themeColor="accent1" w:themeShade="BF"/>
      <w:sz w:val="24"/>
      <w:szCs w:val="24"/>
    </w:rPr>
  </w:style>
  <w:style w:type="character" w:customStyle="1" w:styleId="60">
    <w:name w:val="标题 6 字符"/>
    <w:basedOn w:val="a0"/>
    <w:link w:val="6"/>
    <w:uiPriority w:val="9"/>
    <w:semiHidden/>
    <w:rsid w:val="007C0283"/>
    <w:rPr>
      <w:rFonts w:cstheme="majorBidi"/>
      <w:b/>
      <w:bCs/>
      <w:color w:val="0F4761" w:themeColor="accent1" w:themeShade="BF"/>
    </w:rPr>
  </w:style>
  <w:style w:type="character" w:customStyle="1" w:styleId="70">
    <w:name w:val="标题 7 字符"/>
    <w:basedOn w:val="a0"/>
    <w:link w:val="7"/>
    <w:uiPriority w:val="9"/>
    <w:semiHidden/>
    <w:rsid w:val="007C0283"/>
    <w:rPr>
      <w:rFonts w:cstheme="majorBidi"/>
      <w:b/>
      <w:bCs/>
      <w:color w:val="595959" w:themeColor="text1" w:themeTint="A6"/>
    </w:rPr>
  </w:style>
  <w:style w:type="character" w:customStyle="1" w:styleId="80">
    <w:name w:val="标题 8 字符"/>
    <w:basedOn w:val="a0"/>
    <w:link w:val="8"/>
    <w:uiPriority w:val="9"/>
    <w:semiHidden/>
    <w:rsid w:val="007C0283"/>
    <w:rPr>
      <w:rFonts w:cstheme="majorBidi"/>
      <w:color w:val="595959" w:themeColor="text1" w:themeTint="A6"/>
    </w:rPr>
  </w:style>
  <w:style w:type="character" w:customStyle="1" w:styleId="90">
    <w:name w:val="标题 9 字符"/>
    <w:basedOn w:val="a0"/>
    <w:link w:val="9"/>
    <w:uiPriority w:val="9"/>
    <w:semiHidden/>
    <w:rsid w:val="007C0283"/>
    <w:rPr>
      <w:rFonts w:eastAsiaTheme="majorEastAsia" w:cstheme="majorBidi"/>
      <w:color w:val="595959" w:themeColor="text1" w:themeTint="A6"/>
    </w:rPr>
  </w:style>
  <w:style w:type="paragraph" w:styleId="a3">
    <w:name w:val="Title"/>
    <w:basedOn w:val="a"/>
    <w:next w:val="a"/>
    <w:link w:val="a4"/>
    <w:uiPriority w:val="10"/>
    <w:qFormat/>
    <w:rsid w:val="007C02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02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02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02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0283"/>
    <w:pPr>
      <w:spacing w:before="160" w:after="160"/>
      <w:jc w:val="center"/>
    </w:pPr>
    <w:rPr>
      <w:i/>
      <w:iCs/>
      <w:color w:val="404040" w:themeColor="text1" w:themeTint="BF"/>
    </w:rPr>
  </w:style>
  <w:style w:type="character" w:customStyle="1" w:styleId="a8">
    <w:name w:val="引用 字符"/>
    <w:basedOn w:val="a0"/>
    <w:link w:val="a7"/>
    <w:uiPriority w:val="29"/>
    <w:rsid w:val="007C0283"/>
    <w:rPr>
      <w:i/>
      <w:iCs/>
      <w:color w:val="404040" w:themeColor="text1" w:themeTint="BF"/>
    </w:rPr>
  </w:style>
  <w:style w:type="paragraph" w:styleId="a9">
    <w:name w:val="List Paragraph"/>
    <w:basedOn w:val="a"/>
    <w:uiPriority w:val="34"/>
    <w:qFormat/>
    <w:rsid w:val="007C0283"/>
    <w:pPr>
      <w:ind w:left="720"/>
      <w:contextualSpacing/>
    </w:pPr>
  </w:style>
  <w:style w:type="character" w:styleId="aa">
    <w:name w:val="Intense Emphasis"/>
    <w:basedOn w:val="a0"/>
    <w:uiPriority w:val="21"/>
    <w:qFormat/>
    <w:rsid w:val="007C0283"/>
    <w:rPr>
      <w:i/>
      <w:iCs/>
      <w:color w:val="0F4761" w:themeColor="accent1" w:themeShade="BF"/>
    </w:rPr>
  </w:style>
  <w:style w:type="paragraph" w:styleId="ab">
    <w:name w:val="Intense Quote"/>
    <w:basedOn w:val="a"/>
    <w:next w:val="a"/>
    <w:link w:val="ac"/>
    <w:uiPriority w:val="30"/>
    <w:qFormat/>
    <w:rsid w:val="007C0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C0283"/>
    <w:rPr>
      <w:i/>
      <w:iCs/>
      <w:color w:val="0F4761" w:themeColor="accent1" w:themeShade="BF"/>
    </w:rPr>
  </w:style>
  <w:style w:type="character" w:styleId="ad">
    <w:name w:val="Intense Reference"/>
    <w:basedOn w:val="a0"/>
    <w:uiPriority w:val="32"/>
    <w:qFormat/>
    <w:rsid w:val="007C02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1753</Words>
  <Characters>9995</Characters>
  <Application>Microsoft Office Word</Application>
  <DocSecurity>0</DocSecurity>
  <Lines>83</Lines>
  <Paragraphs>23</Paragraphs>
  <ScaleCrop>false</ScaleCrop>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Star</dc:creator>
  <cp:keywords/>
  <dc:description/>
  <cp:lastModifiedBy>Little Star</cp:lastModifiedBy>
  <cp:revision>3</cp:revision>
  <dcterms:created xsi:type="dcterms:W3CDTF">2026-04-09T08:05:00Z</dcterms:created>
  <dcterms:modified xsi:type="dcterms:W3CDTF">2026-04-11T08:55:00Z</dcterms:modified>
</cp:coreProperties>
</file>