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8274E" w14:textId="77777777" w:rsidR="006C7633" w:rsidRDefault="006C7633">
      <w:pPr>
        <w:spacing w:line="360" w:lineRule="auto"/>
        <w:rPr>
          <w:rFonts w:ascii="Arial" w:eastAsia="Arial" w:hAnsi="Arial" w:cs="Arial"/>
          <w:b/>
          <w:bCs/>
          <w:color w:val="000000"/>
        </w:rPr>
      </w:pPr>
      <w:r>
        <w:rPr>
          <w:rFonts w:ascii="Arial" w:eastAsia="Arial" w:hAnsi="Arial" w:cs="Arial"/>
          <w:b/>
          <w:bCs/>
          <w:color w:val="000000"/>
        </w:rPr>
        <w:t xml:space="preserve">Supplementary </w:t>
      </w:r>
      <w:r>
        <w:rPr>
          <w:rFonts w:ascii="Arial" w:eastAsia="Arial" w:hAnsi="Arial" w:cs="Arial"/>
          <w:b/>
          <w:bCs/>
        </w:rPr>
        <w:t>Information</w:t>
      </w:r>
    </w:p>
    <w:p w14:paraId="6B888BAA" w14:textId="77777777" w:rsidR="006C7633" w:rsidRDefault="006C7633">
      <w:pPr>
        <w:spacing w:line="360" w:lineRule="auto"/>
        <w:jc w:val="both"/>
        <w:rPr>
          <w:rFonts w:ascii="Arial" w:eastAsia="Arial" w:hAnsi="Arial" w:cs="Arial"/>
          <w:b/>
          <w:bCs/>
        </w:rPr>
      </w:pPr>
    </w:p>
    <w:p w14:paraId="7062D8AA" w14:textId="77777777" w:rsidR="006C7633" w:rsidRDefault="006C7633">
      <w:pPr>
        <w:spacing w:line="360" w:lineRule="auto"/>
        <w:jc w:val="both"/>
        <w:rPr>
          <w:rFonts w:ascii="Arial" w:eastAsia="Arial" w:hAnsi="Arial" w:cs="Arial"/>
          <w:b/>
          <w:bCs/>
        </w:rPr>
      </w:pPr>
      <w:r>
        <w:rPr>
          <w:rFonts w:ascii="Arial" w:eastAsia="Arial" w:hAnsi="Arial" w:cs="Arial"/>
          <w:b/>
          <w:bCs/>
        </w:rPr>
        <w:t>Antipsychotics Chlorpromazine and Clozapine Inhibit Membrane Fusion Through Direct Interaction with Lipid Bilayers</w:t>
      </w:r>
    </w:p>
    <w:p w14:paraId="1B1EDEC8" w14:textId="77777777" w:rsidR="006C7633" w:rsidRDefault="006C7633">
      <w:pPr>
        <w:spacing w:line="360" w:lineRule="auto"/>
        <w:jc w:val="both"/>
        <w:rPr>
          <w:rFonts w:ascii="Arial" w:eastAsia="Arial" w:hAnsi="Arial" w:cs="Arial"/>
          <w:color w:val="000000"/>
        </w:rPr>
      </w:pPr>
    </w:p>
    <w:p w14:paraId="0A555D3A" w14:textId="77777777" w:rsidR="006C7633" w:rsidRDefault="006C7633">
      <w:pPr>
        <w:spacing w:line="360" w:lineRule="auto"/>
        <w:jc w:val="both"/>
        <w:rPr>
          <w:rFonts w:ascii="Arial" w:eastAsia="Arial" w:hAnsi="Arial" w:cs="Arial"/>
          <w:vertAlign w:val="superscript"/>
        </w:rPr>
      </w:pPr>
      <w:r>
        <w:rPr>
          <w:rFonts w:ascii="Arial" w:eastAsia="Arial" w:hAnsi="Arial" w:cs="Arial"/>
        </w:rPr>
        <w:t xml:space="preserve">Hugo </w:t>
      </w:r>
      <w:proofErr w:type="gramStart"/>
      <w:r>
        <w:rPr>
          <w:rFonts w:ascii="Arial" w:eastAsia="Arial" w:hAnsi="Arial" w:cs="Arial"/>
        </w:rPr>
        <w:t>Fumat</w:t>
      </w:r>
      <w:r>
        <w:rPr>
          <w:rFonts w:ascii="Arial" w:eastAsia="Arial" w:hAnsi="Arial" w:cs="Arial"/>
          <w:vertAlign w:val="superscript"/>
        </w:rPr>
        <w:t>1#</w:t>
      </w:r>
      <w:r>
        <w:rPr>
          <w:rFonts w:ascii="Arial" w:eastAsia="Arial" w:hAnsi="Arial" w:cs="Arial"/>
        </w:rPr>
        <w:t>,</w:t>
      </w:r>
      <w:proofErr w:type="gramEnd"/>
      <w:r>
        <w:rPr>
          <w:rFonts w:ascii="Arial" w:eastAsia="Arial" w:hAnsi="Arial" w:cs="Arial"/>
        </w:rPr>
        <w:t xml:space="preserve"> Vladimir Adrien</w:t>
      </w:r>
      <w:r>
        <w:rPr>
          <w:rFonts w:ascii="Arial" w:eastAsia="Arial" w:hAnsi="Arial" w:cs="Arial"/>
          <w:vertAlign w:val="superscript"/>
        </w:rPr>
        <w:t>1,2,</w:t>
      </w:r>
      <w:proofErr w:type="gramStart"/>
      <w:r>
        <w:rPr>
          <w:rFonts w:ascii="Arial" w:eastAsia="Arial" w:hAnsi="Arial" w:cs="Arial"/>
          <w:vertAlign w:val="superscript"/>
        </w:rPr>
        <w:t>3,#</w:t>
      </w:r>
      <w:proofErr w:type="gramEnd"/>
      <w:r>
        <w:rPr>
          <w:rFonts w:ascii="Arial" w:eastAsia="Arial" w:hAnsi="Arial" w:cs="Arial"/>
        </w:rPr>
        <w:t>, Sébastien Nola</w:t>
      </w:r>
      <w:r>
        <w:rPr>
          <w:rFonts w:ascii="Arial" w:eastAsia="Arial" w:hAnsi="Arial" w:cs="Arial"/>
          <w:vertAlign w:val="superscript"/>
        </w:rPr>
        <w:t>1</w:t>
      </w:r>
      <w:r>
        <w:rPr>
          <w:rFonts w:ascii="Arial" w:eastAsia="Arial" w:hAnsi="Arial" w:cs="Arial"/>
        </w:rPr>
        <w:t>, Kristina Niort</w:t>
      </w:r>
      <w:r>
        <w:rPr>
          <w:rFonts w:ascii="Arial" w:eastAsia="Arial" w:hAnsi="Arial" w:cs="Arial"/>
          <w:vertAlign w:val="superscript"/>
        </w:rPr>
        <w:t>1,4</w:t>
      </w:r>
      <w:r>
        <w:rPr>
          <w:rFonts w:ascii="Arial" w:eastAsia="Arial" w:hAnsi="Arial" w:cs="Arial"/>
        </w:rPr>
        <w:t>, Thierry Galli</w:t>
      </w:r>
      <w:r>
        <w:rPr>
          <w:rFonts w:ascii="Arial" w:eastAsia="Arial" w:hAnsi="Arial" w:cs="Arial"/>
          <w:vertAlign w:val="superscript"/>
        </w:rPr>
        <w:t>1</w:t>
      </w:r>
      <w:r>
        <w:rPr>
          <w:rFonts w:ascii="Arial" w:eastAsia="Arial" w:hAnsi="Arial" w:cs="Arial"/>
        </w:rPr>
        <w:t>, Philippe Nuss</w:t>
      </w:r>
      <w:r>
        <w:rPr>
          <w:rFonts w:ascii="Arial" w:eastAsia="Arial" w:hAnsi="Arial" w:cs="Arial"/>
          <w:vertAlign w:val="superscript"/>
        </w:rPr>
        <w:t>5</w:t>
      </w:r>
      <w:r>
        <w:rPr>
          <w:rFonts w:ascii="Arial" w:eastAsia="Arial" w:hAnsi="Arial" w:cs="Arial"/>
        </w:rPr>
        <w:t>, David Tareste</w:t>
      </w:r>
      <w:r>
        <w:rPr>
          <w:rFonts w:ascii="Arial" w:eastAsia="Arial" w:hAnsi="Arial" w:cs="Arial"/>
          <w:vertAlign w:val="superscript"/>
        </w:rPr>
        <w:t>1,4*</w:t>
      </w:r>
    </w:p>
    <w:p w14:paraId="07E620E3" w14:textId="77777777" w:rsidR="006C7633" w:rsidRDefault="006C7633">
      <w:pPr>
        <w:spacing w:line="360" w:lineRule="auto"/>
        <w:jc w:val="both"/>
        <w:rPr>
          <w:rFonts w:ascii="Arial" w:eastAsia="Arial" w:hAnsi="Arial" w:cs="Arial"/>
          <w:b/>
          <w:bCs/>
        </w:rPr>
      </w:pPr>
    </w:p>
    <w:p w14:paraId="22885B64" w14:textId="77777777" w:rsidR="006C7633" w:rsidRDefault="006C7633">
      <w:pPr>
        <w:spacing w:line="360" w:lineRule="auto"/>
        <w:jc w:val="both"/>
        <w:rPr>
          <w:rFonts w:ascii="Arial" w:eastAsia="Arial" w:hAnsi="Arial" w:cs="Arial"/>
        </w:rPr>
      </w:pPr>
      <w:r>
        <w:rPr>
          <w:rFonts w:ascii="Arial" w:eastAsia="Arial" w:hAnsi="Arial" w:cs="Arial"/>
          <w:vertAlign w:val="superscript"/>
        </w:rPr>
        <w:t xml:space="preserve">1 </w:t>
      </w:r>
      <w:r>
        <w:rPr>
          <w:rFonts w:ascii="Arial" w:eastAsia="Arial" w:hAnsi="Arial" w:cs="Arial"/>
        </w:rPr>
        <w:t>Université Paris Cité, Institute of Psychiatry and Neuroscience of Paris (IPNP), INSERM U1266, Team Membrane Traffic in Healthy &amp; Diseased Brain, 75014 Paris, France.</w:t>
      </w:r>
    </w:p>
    <w:p w14:paraId="6426C446" w14:textId="77777777" w:rsidR="006C7633" w:rsidRDefault="006C7633">
      <w:pPr>
        <w:spacing w:line="360" w:lineRule="auto"/>
        <w:jc w:val="both"/>
        <w:rPr>
          <w:rFonts w:ascii="Arial" w:eastAsia="Arial" w:hAnsi="Arial" w:cs="Arial"/>
        </w:rPr>
      </w:pPr>
      <w:r>
        <w:rPr>
          <w:rFonts w:ascii="Arial" w:eastAsia="Arial" w:hAnsi="Arial" w:cs="Arial"/>
          <w:vertAlign w:val="superscript"/>
        </w:rPr>
        <w:t>2</w:t>
      </w:r>
      <w:r>
        <w:rPr>
          <w:rFonts w:ascii="Arial" w:eastAsia="Arial" w:hAnsi="Arial" w:cs="Arial"/>
        </w:rPr>
        <w:t xml:space="preserve"> AP-HP, </w:t>
      </w:r>
      <w:proofErr w:type="spellStart"/>
      <w:r>
        <w:rPr>
          <w:rFonts w:ascii="Arial" w:eastAsia="Arial" w:hAnsi="Arial" w:cs="Arial"/>
        </w:rPr>
        <w:t>Avicenne</w:t>
      </w:r>
      <w:proofErr w:type="spellEnd"/>
      <w:r>
        <w:rPr>
          <w:rFonts w:ascii="Arial" w:eastAsia="Arial" w:hAnsi="Arial" w:cs="Arial"/>
        </w:rPr>
        <w:t xml:space="preserve"> Hospital, Department of Child, Adolescent and General Psychiatry, F-93009, </w:t>
      </w:r>
      <w:proofErr w:type="spellStart"/>
      <w:r>
        <w:rPr>
          <w:rFonts w:ascii="Arial" w:eastAsia="Arial" w:hAnsi="Arial" w:cs="Arial"/>
        </w:rPr>
        <w:t>Bobigny</w:t>
      </w:r>
      <w:proofErr w:type="spellEnd"/>
      <w:r>
        <w:rPr>
          <w:rFonts w:ascii="Arial" w:eastAsia="Arial" w:hAnsi="Arial" w:cs="Arial"/>
        </w:rPr>
        <w:t>, France.</w:t>
      </w:r>
    </w:p>
    <w:p w14:paraId="3E448D11" w14:textId="77777777" w:rsidR="006C7633" w:rsidRPr="00D53730" w:rsidRDefault="006C7633">
      <w:pPr>
        <w:spacing w:line="360" w:lineRule="auto"/>
        <w:jc w:val="both"/>
        <w:rPr>
          <w:rFonts w:ascii="Arial" w:eastAsia="Arial" w:hAnsi="Arial" w:cs="Arial"/>
          <w:lang w:val="fr-FR"/>
        </w:rPr>
      </w:pPr>
      <w:r w:rsidRPr="00D53730">
        <w:rPr>
          <w:rFonts w:ascii="Arial" w:eastAsia="Arial" w:hAnsi="Arial" w:cs="Arial"/>
          <w:vertAlign w:val="superscript"/>
          <w:lang w:val="fr-FR"/>
        </w:rPr>
        <w:t>3</w:t>
      </w:r>
      <w:r w:rsidRPr="00D53730">
        <w:rPr>
          <w:rFonts w:ascii="Arial" w:eastAsia="Arial" w:hAnsi="Arial" w:cs="Arial"/>
          <w:lang w:val="fr-FR"/>
        </w:rPr>
        <w:t xml:space="preserve"> Université Sorbonne Paris Nord, Laboratoire Éducations et Promotion de la Santé, UR 3412, Bobigny, France.</w:t>
      </w:r>
    </w:p>
    <w:p w14:paraId="66E4A4A2" w14:textId="77777777" w:rsidR="006C7633" w:rsidRDefault="006C7633">
      <w:pPr>
        <w:spacing w:line="360" w:lineRule="auto"/>
        <w:jc w:val="both"/>
        <w:rPr>
          <w:rFonts w:ascii="Arial" w:eastAsia="Arial" w:hAnsi="Arial" w:cs="Arial"/>
        </w:rPr>
      </w:pPr>
      <w:r>
        <w:rPr>
          <w:rFonts w:ascii="Arial" w:eastAsia="Arial" w:hAnsi="Arial" w:cs="Arial"/>
          <w:vertAlign w:val="superscript"/>
        </w:rPr>
        <w:t xml:space="preserve">4 </w:t>
      </w:r>
      <w:r>
        <w:rPr>
          <w:rFonts w:ascii="Arial" w:eastAsia="Arial" w:hAnsi="Arial" w:cs="Arial"/>
        </w:rPr>
        <w:t>Université Paris Cité, Institute of Psychiatry and Neuroscience of Paris (IPNP), INSERM U1266, Biochemistry and Biophysics (B&amp;B) Core Facility, 75014 Paris, France.</w:t>
      </w:r>
    </w:p>
    <w:p w14:paraId="6C8CC46C" w14:textId="77777777" w:rsidR="006C7633" w:rsidRPr="00D53730" w:rsidRDefault="006C7633">
      <w:pPr>
        <w:spacing w:line="360" w:lineRule="auto"/>
        <w:jc w:val="both"/>
        <w:rPr>
          <w:rFonts w:ascii="Arial" w:eastAsia="Arial" w:hAnsi="Arial" w:cs="Arial"/>
          <w:lang w:val="fr-FR"/>
        </w:rPr>
      </w:pPr>
      <w:r w:rsidRPr="00D53730">
        <w:rPr>
          <w:rFonts w:ascii="Arial" w:eastAsia="Arial" w:hAnsi="Arial" w:cs="Arial"/>
          <w:vertAlign w:val="superscript"/>
          <w:lang w:val="fr-FR"/>
        </w:rPr>
        <w:t>5</w:t>
      </w:r>
      <w:r w:rsidRPr="00D53730">
        <w:rPr>
          <w:rFonts w:ascii="Arial" w:eastAsia="Arial" w:hAnsi="Arial" w:cs="Arial"/>
          <w:lang w:val="fr-FR"/>
        </w:rPr>
        <w:t xml:space="preserve"> Sorbonne Université, Centre de Recherche Saint-Antoine, INSERM UMR-S 938, </w:t>
      </w:r>
      <w:proofErr w:type="spellStart"/>
      <w:r w:rsidRPr="00D53730">
        <w:rPr>
          <w:rFonts w:ascii="Arial" w:eastAsia="Arial" w:hAnsi="Arial" w:cs="Arial"/>
          <w:lang w:val="fr-FR"/>
        </w:rPr>
        <w:t>Department</w:t>
      </w:r>
      <w:proofErr w:type="spellEnd"/>
      <w:r w:rsidRPr="00D53730">
        <w:rPr>
          <w:rFonts w:ascii="Arial" w:eastAsia="Arial" w:hAnsi="Arial" w:cs="Arial"/>
          <w:lang w:val="fr-FR"/>
        </w:rPr>
        <w:t xml:space="preserve"> of </w:t>
      </w:r>
      <w:proofErr w:type="spellStart"/>
      <w:r w:rsidRPr="00D53730">
        <w:rPr>
          <w:rFonts w:ascii="Arial" w:eastAsia="Arial" w:hAnsi="Arial" w:cs="Arial"/>
          <w:lang w:val="fr-FR"/>
        </w:rPr>
        <w:t>Psychiatry</w:t>
      </w:r>
      <w:proofErr w:type="spellEnd"/>
      <w:r w:rsidRPr="00D53730">
        <w:rPr>
          <w:rFonts w:ascii="Arial" w:eastAsia="Arial" w:hAnsi="Arial" w:cs="Arial"/>
          <w:lang w:val="fr-FR"/>
        </w:rPr>
        <w:t>, Hôpital Saint-Antoine, Paris, France.</w:t>
      </w:r>
    </w:p>
    <w:p w14:paraId="6F5860D0" w14:textId="77777777" w:rsidR="006C7633" w:rsidRPr="00D53730" w:rsidRDefault="006C7633">
      <w:pPr>
        <w:spacing w:line="360" w:lineRule="auto"/>
        <w:jc w:val="both"/>
        <w:rPr>
          <w:rFonts w:ascii="Arial" w:eastAsia="Arial" w:hAnsi="Arial" w:cs="Arial"/>
          <w:lang w:val="fr-FR"/>
        </w:rPr>
      </w:pPr>
    </w:p>
    <w:p w14:paraId="2C86F5E3" w14:textId="77777777" w:rsidR="006C7633" w:rsidRDefault="006C7633">
      <w:pPr>
        <w:spacing w:line="360" w:lineRule="auto"/>
        <w:jc w:val="both"/>
        <w:rPr>
          <w:rFonts w:ascii="Arial" w:eastAsia="Arial" w:hAnsi="Arial" w:cs="Arial"/>
        </w:rPr>
      </w:pPr>
      <w:r>
        <w:rPr>
          <w:rFonts w:ascii="Arial" w:eastAsia="Arial" w:hAnsi="Arial" w:cs="Arial"/>
          <w:vertAlign w:val="superscript"/>
        </w:rPr>
        <w:t>#</w:t>
      </w:r>
      <w:r>
        <w:rPr>
          <w:rFonts w:ascii="Arial" w:eastAsia="Arial" w:hAnsi="Arial" w:cs="Arial"/>
        </w:rPr>
        <w:t xml:space="preserve"> Co-first authors</w:t>
      </w:r>
    </w:p>
    <w:p w14:paraId="5093D5B6" w14:textId="77777777" w:rsidR="006C7633" w:rsidRDefault="006C7633">
      <w:pPr>
        <w:spacing w:line="360" w:lineRule="auto"/>
        <w:jc w:val="both"/>
        <w:rPr>
          <w:rFonts w:ascii="Arial" w:eastAsia="Arial" w:hAnsi="Arial" w:cs="Arial"/>
        </w:rPr>
      </w:pPr>
      <w:r>
        <w:rPr>
          <w:rFonts w:ascii="Arial" w:eastAsia="Arial" w:hAnsi="Arial" w:cs="Arial"/>
        </w:rPr>
        <w:t xml:space="preserve">* Corresponding author: </w:t>
      </w:r>
      <w:hyperlink r:id="rId6">
        <w:r>
          <w:rPr>
            <w:rFonts w:ascii="Arial" w:eastAsia="Arial" w:hAnsi="Arial" w:cs="Arial"/>
            <w:color w:val="1155CC"/>
            <w:u w:val="single"/>
          </w:rPr>
          <w:t>david.tareste@inserm.fr</w:t>
        </w:r>
      </w:hyperlink>
      <w:r>
        <w:rPr>
          <w:rFonts w:ascii="Arial" w:eastAsia="Arial" w:hAnsi="Arial" w:cs="Arial"/>
        </w:rPr>
        <w:t xml:space="preserve"> </w:t>
      </w:r>
    </w:p>
    <w:p w14:paraId="527A9590" w14:textId="77777777" w:rsidR="006C7633" w:rsidRDefault="006C7633">
      <w:pPr>
        <w:spacing w:line="360" w:lineRule="auto"/>
        <w:jc w:val="both"/>
        <w:rPr>
          <w:rFonts w:ascii="Arial" w:eastAsia="Arial" w:hAnsi="Arial" w:cs="Arial"/>
        </w:rPr>
      </w:pPr>
    </w:p>
    <w:p w14:paraId="43C8851C" w14:textId="77777777" w:rsidR="006C7633" w:rsidRDefault="006C7633">
      <w:pPr>
        <w:spacing w:line="360" w:lineRule="auto"/>
        <w:jc w:val="both"/>
        <w:rPr>
          <w:rFonts w:ascii="Arial" w:eastAsia="Arial" w:hAnsi="Arial" w:cs="Arial"/>
          <w:b/>
          <w:bCs/>
        </w:rPr>
      </w:pPr>
    </w:p>
    <w:p w14:paraId="7EA76E2A" w14:textId="77777777" w:rsidR="006C7633" w:rsidRDefault="006C7633">
      <w:pPr>
        <w:spacing w:line="360" w:lineRule="auto"/>
        <w:jc w:val="both"/>
        <w:rPr>
          <w:rFonts w:ascii="Arial" w:eastAsia="Arial" w:hAnsi="Arial" w:cs="Arial"/>
          <w:b/>
          <w:bCs/>
        </w:rPr>
      </w:pPr>
      <w:r>
        <w:br w:type="page"/>
      </w:r>
    </w:p>
    <w:p w14:paraId="783A5025" w14:textId="77777777" w:rsidR="006C7633" w:rsidRDefault="006C7633">
      <w:pPr>
        <w:spacing w:line="360" w:lineRule="auto"/>
        <w:jc w:val="both"/>
        <w:rPr>
          <w:rFonts w:ascii="Arial" w:eastAsia="Arial" w:hAnsi="Arial" w:cs="Arial"/>
          <w:b/>
          <w:bCs/>
          <w:color w:val="000000"/>
        </w:rPr>
      </w:pPr>
      <w:r>
        <w:rPr>
          <w:rFonts w:ascii="Arial" w:eastAsia="Arial" w:hAnsi="Arial" w:cs="Arial"/>
          <w:b/>
          <w:bCs/>
        </w:rPr>
        <w:lastRenderedPageBreak/>
        <w:t xml:space="preserve">Supplementary </w:t>
      </w:r>
      <w:r>
        <w:rPr>
          <w:rFonts w:ascii="Arial" w:eastAsia="Arial" w:hAnsi="Arial" w:cs="Arial"/>
          <w:b/>
          <w:bCs/>
          <w:color w:val="000000"/>
        </w:rPr>
        <w:t>Materials and Methods</w:t>
      </w:r>
    </w:p>
    <w:p w14:paraId="70218443" w14:textId="77777777" w:rsidR="006C7633" w:rsidRDefault="006C7633">
      <w:pPr>
        <w:spacing w:line="360" w:lineRule="auto"/>
        <w:jc w:val="both"/>
        <w:rPr>
          <w:rFonts w:ascii="Arial" w:eastAsia="Arial" w:hAnsi="Arial" w:cs="Arial"/>
        </w:rPr>
      </w:pPr>
    </w:p>
    <w:p w14:paraId="50DC030A" w14:textId="77777777" w:rsidR="006C7633" w:rsidRDefault="006C7633">
      <w:pPr>
        <w:spacing w:line="360" w:lineRule="auto"/>
        <w:jc w:val="both"/>
        <w:rPr>
          <w:rFonts w:ascii="Arial" w:eastAsia="Arial" w:hAnsi="Arial" w:cs="Arial"/>
          <w:color w:val="000000"/>
        </w:rPr>
      </w:pPr>
      <w:r>
        <w:rPr>
          <w:rFonts w:ascii="Arial" w:eastAsia="Arial" w:hAnsi="Arial" w:cs="Arial"/>
          <w:i/>
          <w:iCs/>
          <w:color w:val="000000"/>
          <w:u w:val="single"/>
        </w:rPr>
        <w:t>Chemicals</w:t>
      </w:r>
    </w:p>
    <w:p w14:paraId="236D647C" w14:textId="77777777" w:rsidR="006C7633" w:rsidRPr="00D53730" w:rsidRDefault="006C7633" w:rsidP="00D53730">
      <w:pPr>
        <w:spacing w:line="360" w:lineRule="auto"/>
        <w:ind w:firstLine="720"/>
        <w:jc w:val="both"/>
        <w:rPr>
          <w:rFonts w:ascii="Arial" w:hAnsi="Arial" w:cs="Arial"/>
        </w:rPr>
      </w:pPr>
      <w:r w:rsidRPr="00D53730">
        <w:rPr>
          <w:rFonts w:ascii="Arial" w:hAnsi="Arial" w:cs="Arial"/>
        </w:rPr>
        <w:t>1-palmitoyl-2-oleoyl-sn-glycero-3-phosphocholine (POPC); 1,2-dioleoyl-sn-glycero-3-phospho-L-serine (DOPS); 1,2-dioleoyl-sn-glycero-3-phosphoethanolamine (DOPE); 1,2-dioleoyl-sn-glycero-3-phosphoethanolamine-N-(</w:t>
      </w:r>
      <w:proofErr w:type="spellStart"/>
      <w:r w:rsidRPr="00D53730">
        <w:rPr>
          <w:rFonts w:ascii="Arial" w:hAnsi="Arial" w:cs="Arial"/>
        </w:rPr>
        <w:t>Lissamine</w:t>
      </w:r>
      <w:proofErr w:type="spellEnd"/>
      <w:r w:rsidRPr="00D53730">
        <w:rPr>
          <w:rFonts w:ascii="Arial" w:hAnsi="Arial" w:cs="Arial"/>
        </w:rPr>
        <w:t xml:space="preserve"> Rhodamine B sulfonyl) (ammonium salt) (Rho-PE); 1,2-dioleoyl-sn-glycero-3-phosphoethanolamine-N-(7-nitro-2-1,3-benzoxadiazol-4-yl) (ammonium salt) (NBD-PE); and 1,2-dioleoyl-sn-glycero-3-phospho-L-serine-N-(7-nitro-2-1,3-benzoxadiazol-4-yl) (ammonium salt) (NBD-PS) were purchased from Avanti Polar Lipids (Alabaster, AL, USA) as chloroform solutions.</w:t>
      </w:r>
    </w:p>
    <w:p w14:paraId="36B4B852" w14:textId="77777777" w:rsidR="006C7633" w:rsidRPr="00D53730" w:rsidRDefault="006C7633" w:rsidP="00D53730">
      <w:pPr>
        <w:spacing w:line="360" w:lineRule="auto"/>
        <w:ind w:firstLine="720"/>
        <w:jc w:val="both"/>
        <w:rPr>
          <w:rFonts w:ascii="Arial" w:hAnsi="Arial" w:cs="Arial"/>
        </w:rPr>
      </w:pPr>
      <w:r w:rsidRPr="00D53730">
        <w:rPr>
          <w:rFonts w:ascii="Arial" w:hAnsi="Arial" w:cs="Arial"/>
        </w:rPr>
        <w:t xml:space="preserve">Chlorpromazine (CPZ); clozapine (CLOZ); amisulpride (AMI); N-2-hydroxyethylpiperazine-N′-2-ethanesulfonic acid (HEPES, </w:t>
      </w:r>
      <w:proofErr w:type="spellStart"/>
      <w:r w:rsidRPr="00D53730">
        <w:rPr>
          <w:rFonts w:ascii="Arial" w:hAnsi="Arial" w:cs="Arial"/>
        </w:rPr>
        <w:t>OmniPur</w:t>
      </w:r>
      <w:proofErr w:type="spellEnd"/>
      <w:r w:rsidRPr="00D53730">
        <w:rPr>
          <w:rFonts w:ascii="Arial" w:hAnsi="Arial" w:cs="Arial"/>
        </w:rPr>
        <w:t xml:space="preserve"> grade); potassium hydroxide solution 47% (KOH 47%, EMSURE grade for analysis); potassium chloride (KCl, </w:t>
      </w:r>
      <w:proofErr w:type="spellStart"/>
      <w:r w:rsidRPr="00D53730">
        <w:rPr>
          <w:rFonts w:ascii="Arial" w:hAnsi="Arial" w:cs="Arial"/>
        </w:rPr>
        <w:t>OmniPur</w:t>
      </w:r>
      <w:proofErr w:type="spellEnd"/>
      <w:r w:rsidRPr="00D53730">
        <w:rPr>
          <w:rFonts w:ascii="Arial" w:hAnsi="Arial" w:cs="Arial"/>
        </w:rPr>
        <w:t xml:space="preserve"> grade); glycerol (Molecular Biology grade); n-octyl-β-D-glucopyranoside (β-OG, ≥98% GC); n-dodecyl β-D-</w:t>
      </w:r>
      <w:proofErr w:type="spellStart"/>
      <w:r w:rsidRPr="00D53730">
        <w:rPr>
          <w:rFonts w:ascii="Arial" w:hAnsi="Arial" w:cs="Arial"/>
        </w:rPr>
        <w:t>maltoside</w:t>
      </w:r>
      <w:proofErr w:type="spellEnd"/>
      <w:r w:rsidRPr="00D53730">
        <w:rPr>
          <w:rFonts w:ascii="Arial" w:hAnsi="Arial" w:cs="Arial"/>
        </w:rPr>
        <w:t xml:space="preserve"> (DDM, ULTROL grade); </w:t>
      </w:r>
      <w:proofErr w:type="spellStart"/>
      <w:r w:rsidRPr="00D53730">
        <w:rPr>
          <w:rFonts w:ascii="Arial" w:hAnsi="Arial" w:cs="Arial"/>
        </w:rPr>
        <w:t>dimethylsulfoxide</w:t>
      </w:r>
      <w:proofErr w:type="spellEnd"/>
      <w:r w:rsidRPr="00D53730">
        <w:rPr>
          <w:rFonts w:ascii="Arial" w:hAnsi="Arial" w:cs="Arial"/>
        </w:rPr>
        <w:t xml:space="preserve"> (DMSO, Molecular Biology grade); dithiothreitol (DTT, </w:t>
      </w:r>
      <w:proofErr w:type="spellStart"/>
      <w:r w:rsidRPr="00D53730">
        <w:rPr>
          <w:rFonts w:ascii="Arial" w:hAnsi="Arial" w:cs="Arial"/>
        </w:rPr>
        <w:t>OmniPur</w:t>
      </w:r>
      <w:proofErr w:type="spellEnd"/>
      <w:r w:rsidRPr="00D53730">
        <w:rPr>
          <w:rFonts w:ascii="Arial" w:hAnsi="Arial" w:cs="Arial"/>
        </w:rPr>
        <w:t xml:space="preserve"> grade); ethanol (EMSURE grade for analysis, ≥99.9% GC); chloroform  (EMSURE grade for analysis, ≥99% GC); methanol (EMSURE grade for analysis, ≥99% GC); 1,3-diaza-2,4-cyclopentadiene (Imidazole, ≥99% titration); </w:t>
      </w:r>
      <w:proofErr w:type="spellStart"/>
      <w:r w:rsidRPr="00D53730">
        <w:rPr>
          <w:rFonts w:ascii="Arial" w:hAnsi="Arial" w:cs="Arial"/>
        </w:rPr>
        <w:t>cOmplete</w:t>
      </w:r>
      <w:proofErr w:type="spellEnd"/>
      <w:r w:rsidRPr="00D53730">
        <w:rPr>
          <w:rFonts w:ascii="Arial" w:hAnsi="Arial" w:cs="Arial"/>
        </w:rPr>
        <w:t xml:space="preserve"> EDTA-free protease inhibitor cocktail; ethylenediaminetetraacetic acid disodium salt dihydrate (EDTA, 99-101% titration); polyethylene glycol 8000 (PEG 8000, </w:t>
      </w:r>
      <w:proofErr w:type="spellStart"/>
      <w:r w:rsidRPr="00D53730">
        <w:rPr>
          <w:rFonts w:ascii="Arial" w:hAnsi="Arial" w:cs="Arial"/>
        </w:rPr>
        <w:t>BioUltra</w:t>
      </w:r>
      <w:proofErr w:type="spellEnd"/>
      <w:r w:rsidRPr="00D53730">
        <w:rPr>
          <w:rFonts w:ascii="Arial" w:hAnsi="Arial" w:cs="Arial"/>
        </w:rPr>
        <w:t>); and t-</w:t>
      </w:r>
      <w:proofErr w:type="spellStart"/>
      <w:r w:rsidRPr="00D53730">
        <w:rPr>
          <w:rFonts w:ascii="Arial" w:hAnsi="Arial" w:cs="Arial"/>
        </w:rPr>
        <w:t>octylphenoxypolyethoxyethanol</w:t>
      </w:r>
      <w:proofErr w:type="spellEnd"/>
      <w:r w:rsidRPr="00D53730">
        <w:rPr>
          <w:rFonts w:ascii="Arial" w:hAnsi="Arial" w:cs="Arial"/>
        </w:rPr>
        <w:t xml:space="preserve"> (Triton X-100) were purchased from Sigma-Aldrich (St. Louis, MO, USA).</w:t>
      </w:r>
    </w:p>
    <w:p w14:paraId="4E10025F" w14:textId="77777777" w:rsidR="006C7633" w:rsidRPr="00D53730" w:rsidRDefault="006C7633" w:rsidP="00D53730">
      <w:pPr>
        <w:spacing w:line="360" w:lineRule="auto"/>
        <w:ind w:firstLine="720"/>
        <w:jc w:val="both"/>
        <w:rPr>
          <w:rFonts w:ascii="Arial" w:hAnsi="Arial" w:cs="Arial"/>
        </w:rPr>
      </w:pPr>
      <w:r w:rsidRPr="00D53730">
        <w:rPr>
          <w:rFonts w:ascii="Arial" w:hAnsi="Arial" w:cs="Arial"/>
        </w:rPr>
        <w:t>D-α-</w:t>
      </w:r>
      <w:proofErr w:type="spellStart"/>
      <w:r w:rsidRPr="00D53730">
        <w:rPr>
          <w:rFonts w:ascii="Arial" w:hAnsi="Arial" w:cs="Arial"/>
        </w:rPr>
        <w:t>Aminobenzoylpenicillin</w:t>
      </w:r>
      <w:proofErr w:type="spellEnd"/>
      <w:r w:rsidRPr="00D53730">
        <w:rPr>
          <w:rFonts w:ascii="Arial" w:hAnsi="Arial" w:cs="Arial"/>
        </w:rPr>
        <w:t xml:space="preserve"> sodium salt (Ampicillin, sodium salt); kanamycin sulfate; and isopropyl β-D-</w:t>
      </w:r>
      <w:proofErr w:type="spellStart"/>
      <w:r w:rsidRPr="00D53730">
        <w:rPr>
          <w:rFonts w:ascii="Arial" w:hAnsi="Arial" w:cs="Arial"/>
        </w:rPr>
        <w:t>thiogalactopyranoside</w:t>
      </w:r>
      <w:proofErr w:type="spellEnd"/>
      <w:r w:rsidRPr="00D53730">
        <w:rPr>
          <w:rFonts w:ascii="Arial" w:hAnsi="Arial" w:cs="Arial"/>
        </w:rPr>
        <w:t xml:space="preserve"> (IPTG) were purchased from </w:t>
      </w:r>
      <w:proofErr w:type="spellStart"/>
      <w:r w:rsidRPr="00D53730">
        <w:rPr>
          <w:rFonts w:ascii="Arial" w:hAnsi="Arial" w:cs="Arial"/>
        </w:rPr>
        <w:t>Euromedex</w:t>
      </w:r>
      <w:proofErr w:type="spellEnd"/>
      <w:r w:rsidRPr="00D53730">
        <w:rPr>
          <w:rFonts w:ascii="Arial" w:hAnsi="Arial" w:cs="Arial"/>
        </w:rPr>
        <w:t xml:space="preserve">. LB-Agar medium capsules and phosphate buffer saline tablets (PBS) were acquired from MP Biomedicals. MES SDS running buffer for </w:t>
      </w:r>
      <w:proofErr w:type="spellStart"/>
      <w:r w:rsidRPr="00D53730">
        <w:rPr>
          <w:rFonts w:ascii="Arial" w:hAnsi="Arial" w:cs="Arial"/>
        </w:rPr>
        <w:t>NuPAGE</w:t>
      </w:r>
      <w:proofErr w:type="spellEnd"/>
      <w:r w:rsidRPr="00D53730">
        <w:rPr>
          <w:rFonts w:ascii="Arial" w:hAnsi="Arial" w:cs="Arial"/>
        </w:rPr>
        <w:t xml:space="preserve"> (20X); LDS </w:t>
      </w:r>
      <w:proofErr w:type="spellStart"/>
      <w:r w:rsidRPr="00D53730">
        <w:rPr>
          <w:rFonts w:ascii="Arial" w:hAnsi="Arial" w:cs="Arial"/>
        </w:rPr>
        <w:t>NuPAGE</w:t>
      </w:r>
      <w:proofErr w:type="spellEnd"/>
      <w:r w:rsidRPr="00D53730">
        <w:rPr>
          <w:rFonts w:ascii="Arial" w:hAnsi="Arial" w:cs="Arial"/>
        </w:rPr>
        <w:t xml:space="preserve"> sample buffer (4X); </w:t>
      </w:r>
      <w:proofErr w:type="spellStart"/>
      <w:r w:rsidRPr="00D53730">
        <w:rPr>
          <w:rFonts w:ascii="Arial" w:hAnsi="Arial" w:cs="Arial"/>
        </w:rPr>
        <w:t>SeeBlue</w:t>
      </w:r>
      <w:proofErr w:type="spellEnd"/>
      <w:r w:rsidRPr="00D53730">
        <w:rPr>
          <w:rFonts w:ascii="Arial" w:hAnsi="Arial" w:cs="Arial"/>
        </w:rPr>
        <w:t xml:space="preserve"> Plus2 Pre-</w:t>
      </w:r>
      <w:proofErr w:type="gramStart"/>
      <w:r w:rsidRPr="00D53730">
        <w:rPr>
          <w:rFonts w:ascii="Arial" w:hAnsi="Arial" w:cs="Arial"/>
        </w:rPr>
        <w:t>stained</w:t>
      </w:r>
      <w:proofErr w:type="gramEnd"/>
      <w:r w:rsidRPr="00D53730">
        <w:rPr>
          <w:rFonts w:ascii="Arial" w:hAnsi="Arial" w:cs="Arial"/>
        </w:rPr>
        <w:t xml:space="preserve"> Protein Standard; and Super Optimal broth with Catabolite repression (S.O.C) medium were purchased from Invitrogen (Waltham, MA, USA). 5-(N-2,3-dihydroxypropylacetamido)-2,4,6-tri-iodo-</w:t>
      </w:r>
      <w:proofErr w:type="gramStart"/>
      <w:r w:rsidRPr="00D53730">
        <w:rPr>
          <w:rFonts w:ascii="Arial" w:hAnsi="Arial" w:cs="Arial"/>
        </w:rPr>
        <w:t>N,N</w:t>
      </w:r>
      <w:proofErr w:type="gramEnd"/>
      <w:r w:rsidRPr="00D53730">
        <w:rPr>
          <w:rFonts w:ascii="Arial" w:hAnsi="Arial" w:cs="Arial"/>
        </w:rPr>
        <w:t>′-bis-(2,3-</w:t>
      </w:r>
      <w:proofErr w:type="gramStart"/>
      <w:r w:rsidRPr="00D53730">
        <w:rPr>
          <w:rFonts w:ascii="Arial" w:hAnsi="Arial" w:cs="Arial"/>
        </w:rPr>
        <w:t>dihydroxypropyl)isophthalamide</w:t>
      </w:r>
      <w:proofErr w:type="gramEnd"/>
      <w:r w:rsidRPr="00D53730">
        <w:rPr>
          <w:rFonts w:ascii="Arial" w:hAnsi="Arial" w:cs="Arial"/>
        </w:rPr>
        <w:t xml:space="preserve"> (</w:t>
      </w:r>
      <w:proofErr w:type="spellStart"/>
      <w:r w:rsidRPr="00D53730">
        <w:rPr>
          <w:rFonts w:ascii="Arial" w:hAnsi="Arial" w:cs="Arial"/>
        </w:rPr>
        <w:t>Nycodenz</w:t>
      </w:r>
      <w:proofErr w:type="spellEnd"/>
      <w:r w:rsidRPr="00D53730">
        <w:rPr>
          <w:rFonts w:ascii="Arial" w:hAnsi="Arial" w:cs="Arial"/>
        </w:rPr>
        <w:t xml:space="preserve">, ≥ 98%) was ordered from </w:t>
      </w:r>
      <w:proofErr w:type="spellStart"/>
      <w:r w:rsidRPr="00D53730">
        <w:rPr>
          <w:rFonts w:ascii="Arial" w:hAnsi="Arial" w:cs="Arial"/>
        </w:rPr>
        <w:t>Proteogenix</w:t>
      </w:r>
      <w:proofErr w:type="spellEnd"/>
      <w:r w:rsidRPr="00D53730">
        <w:rPr>
          <w:rFonts w:ascii="Arial" w:hAnsi="Arial" w:cs="Arial"/>
        </w:rPr>
        <w:t xml:space="preserve"> (</w:t>
      </w:r>
      <w:proofErr w:type="spellStart"/>
      <w:r w:rsidRPr="00D53730">
        <w:rPr>
          <w:rFonts w:ascii="Arial" w:hAnsi="Arial" w:cs="Arial"/>
        </w:rPr>
        <w:t>Schiltigheim</w:t>
      </w:r>
      <w:proofErr w:type="spellEnd"/>
      <w:r w:rsidRPr="00D53730">
        <w:rPr>
          <w:rFonts w:ascii="Arial" w:hAnsi="Arial" w:cs="Arial"/>
        </w:rPr>
        <w:t xml:space="preserve">, France). Dulbecco’s Modified Eagle Medium (DMEM, </w:t>
      </w:r>
      <w:r w:rsidRPr="00D53730">
        <w:rPr>
          <w:rFonts w:ascii="Arial" w:hAnsi="Arial" w:cs="Arial"/>
        </w:rPr>
        <w:lastRenderedPageBreak/>
        <w:t xml:space="preserve">Gibco) and </w:t>
      </w:r>
      <w:proofErr w:type="spellStart"/>
      <w:r w:rsidRPr="00D53730">
        <w:rPr>
          <w:rFonts w:ascii="Arial" w:hAnsi="Arial" w:cs="Arial"/>
        </w:rPr>
        <w:t>PageBlue</w:t>
      </w:r>
      <w:proofErr w:type="spellEnd"/>
      <w:r w:rsidRPr="00D53730">
        <w:rPr>
          <w:rFonts w:ascii="Arial" w:hAnsi="Arial" w:cs="Arial"/>
        </w:rPr>
        <w:t xml:space="preserve"> protein staining solution (Coomassie) were purchased from </w:t>
      </w:r>
      <w:proofErr w:type="spellStart"/>
      <w:r w:rsidRPr="00D53730">
        <w:rPr>
          <w:rFonts w:ascii="Arial" w:hAnsi="Arial" w:cs="Arial"/>
        </w:rPr>
        <w:t>ThermoFisher</w:t>
      </w:r>
      <w:proofErr w:type="spellEnd"/>
      <w:r w:rsidRPr="00D53730">
        <w:rPr>
          <w:rFonts w:ascii="Arial" w:hAnsi="Arial" w:cs="Arial"/>
        </w:rPr>
        <w:t xml:space="preserve"> Scientific (Waltham, MA, USA).</w:t>
      </w:r>
    </w:p>
    <w:p w14:paraId="5737D585" w14:textId="77777777" w:rsidR="006C7633" w:rsidRPr="00737C58" w:rsidRDefault="006C7633" w:rsidP="00737C58">
      <w:pPr>
        <w:spacing w:line="360" w:lineRule="auto"/>
        <w:ind w:firstLine="720"/>
        <w:jc w:val="both"/>
        <w:rPr>
          <w:rFonts w:ascii="Arial" w:hAnsi="Arial" w:cs="Arial"/>
        </w:rPr>
      </w:pPr>
      <w:r w:rsidRPr="00737C58">
        <w:rPr>
          <w:rFonts w:ascii="Arial" w:hAnsi="Arial" w:cs="Arial"/>
        </w:rPr>
        <w:t>Antipsychotic drugs were prepared as stock solutions in an organic solvent mixture (</w:t>
      </w:r>
      <w:proofErr w:type="spellStart"/>
      <w:proofErr w:type="gramStart"/>
      <w:r w:rsidRPr="00737C58">
        <w:rPr>
          <w:rFonts w:ascii="Arial" w:hAnsi="Arial" w:cs="Arial"/>
        </w:rPr>
        <w:t>chloroform:methanol</w:t>
      </w:r>
      <w:proofErr w:type="spellEnd"/>
      <w:proofErr w:type="gramEnd"/>
      <w:r w:rsidRPr="00737C58">
        <w:rPr>
          <w:rFonts w:ascii="Arial" w:hAnsi="Arial" w:cs="Arial"/>
        </w:rPr>
        <w:t xml:space="preserve"> (9:1, v/v)) or in aqueous buffer H (25 mM HEPES/KOH, pH 7.5; 150 mM KCl; 10% (v/v) glycerol) supplemented with 10% (v/v) DMSO.</w:t>
      </w:r>
    </w:p>
    <w:p w14:paraId="14073572" w14:textId="77777777" w:rsidR="006C7633" w:rsidRPr="00737C58" w:rsidRDefault="006C7633" w:rsidP="00737C58">
      <w:pPr>
        <w:spacing w:line="360" w:lineRule="auto"/>
        <w:ind w:firstLine="720"/>
        <w:jc w:val="both"/>
        <w:rPr>
          <w:rFonts w:ascii="Arial" w:hAnsi="Arial" w:cs="Arial"/>
        </w:rPr>
      </w:pPr>
      <w:r w:rsidRPr="00737C58">
        <w:rPr>
          <w:rFonts w:ascii="Arial" w:hAnsi="Arial" w:cs="Arial"/>
        </w:rPr>
        <w:t xml:space="preserve">All aqueous solutions were prepared using 18.2 MΩ ultrapure water and filtered with sterile 0.22 </w:t>
      </w:r>
      <w:proofErr w:type="spellStart"/>
      <w:r w:rsidRPr="00737C58">
        <w:rPr>
          <w:rFonts w:ascii="Arial" w:hAnsi="Arial" w:cs="Arial"/>
        </w:rPr>
        <w:t>μm</w:t>
      </w:r>
      <w:proofErr w:type="spellEnd"/>
      <w:r w:rsidRPr="00737C58">
        <w:rPr>
          <w:rFonts w:ascii="Arial" w:hAnsi="Arial" w:cs="Arial"/>
        </w:rPr>
        <w:t xml:space="preserve"> </w:t>
      </w:r>
      <w:proofErr w:type="spellStart"/>
      <w:r w:rsidRPr="00737C58">
        <w:rPr>
          <w:rFonts w:ascii="Arial" w:hAnsi="Arial" w:cs="Arial"/>
        </w:rPr>
        <w:t>polyethersulfone</w:t>
      </w:r>
      <w:proofErr w:type="spellEnd"/>
      <w:r w:rsidRPr="00737C58">
        <w:rPr>
          <w:rFonts w:ascii="Arial" w:hAnsi="Arial" w:cs="Arial"/>
        </w:rPr>
        <w:t xml:space="preserve"> (PES) membranes. </w:t>
      </w:r>
    </w:p>
    <w:p w14:paraId="739A1FFE" w14:textId="77777777" w:rsidR="006C7633" w:rsidRDefault="006C7633">
      <w:pPr>
        <w:spacing w:line="360" w:lineRule="auto"/>
        <w:jc w:val="both"/>
        <w:rPr>
          <w:rFonts w:ascii="Arial" w:eastAsia="Arial" w:hAnsi="Arial" w:cs="Arial"/>
          <w:color w:val="000000"/>
        </w:rPr>
      </w:pPr>
    </w:p>
    <w:p w14:paraId="7ACA3B58" w14:textId="77777777" w:rsidR="006C7633" w:rsidRDefault="006C7633">
      <w:pPr>
        <w:spacing w:line="360" w:lineRule="auto"/>
        <w:jc w:val="both"/>
        <w:rPr>
          <w:rFonts w:ascii="Arial" w:eastAsia="Arial" w:hAnsi="Arial" w:cs="Arial"/>
          <w:color w:val="000000"/>
        </w:rPr>
      </w:pPr>
      <w:r>
        <w:rPr>
          <w:rFonts w:ascii="Arial" w:eastAsia="Arial" w:hAnsi="Arial" w:cs="Arial"/>
          <w:i/>
          <w:iCs/>
          <w:color w:val="000000"/>
          <w:u w:val="single"/>
        </w:rPr>
        <w:t>SNARE protein expression and purification</w:t>
      </w:r>
    </w:p>
    <w:p w14:paraId="3B53AAB6"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All SNARE proteins were expressed in BL21 (DE3) competent </w:t>
      </w:r>
      <w:r>
        <w:rPr>
          <w:rFonts w:ascii="Arial" w:eastAsia="Arial" w:hAnsi="Arial" w:cs="Arial"/>
          <w:i/>
          <w:iCs/>
        </w:rPr>
        <w:t>Escherichia coli</w:t>
      </w:r>
      <w:r>
        <w:rPr>
          <w:rFonts w:ascii="Arial" w:eastAsia="Arial" w:hAnsi="Arial" w:cs="Arial"/>
        </w:rPr>
        <w:t xml:space="preserve"> cells from New England Biolabs (Ipswich, MA, USA).</w:t>
      </w:r>
    </w:p>
    <w:p w14:paraId="13C8D8D1" w14:textId="77777777" w:rsidR="006C7633" w:rsidRDefault="006C7633">
      <w:pPr>
        <w:spacing w:line="360" w:lineRule="auto"/>
        <w:ind w:firstLine="720"/>
        <w:jc w:val="both"/>
        <w:rPr>
          <w:rFonts w:ascii="Arial" w:eastAsia="Arial" w:hAnsi="Arial" w:cs="Arial"/>
        </w:rPr>
      </w:pPr>
    </w:p>
    <w:p w14:paraId="1B329575" w14:textId="77777777" w:rsidR="006C7633" w:rsidRDefault="006C7633">
      <w:pPr>
        <w:spacing w:line="360" w:lineRule="auto"/>
        <w:jc w:val="both"/>
        <w:rPr>
          <w:rFonts w:ascii="Arial" w:eastAsia="Arial" w:hAnsi="Arial" w:cs="Arial"/>
          <w:color w:val="000000"/>
        </w:rPr>
      </w:pPr>
      <w:r>
        <w:rPr>
          <w:rFonts w:ascii="Arial" w:eastAsia="Arial" w:hAnsi="Arial" w:cs="Arial"/>
          <w:b/>
          <w:bCs/>
          <w:i/>
          <w:iCs/>
        </w:rPr>
        <w:t>Stx1A/His</w:t>
      </w:r>
      <w:r>
        <w:rPr>
          <w:rFonts w:ascii="Arial" w:eastAsia="Arial" w:hAnsi="Arial" w:cs="Arial"/>
          <w:b/>
          <w:bCs/>
          <w:i/>
          <w:iCs/>
          <w:vertAlign w:val="subscript"/>
        </w:rPr>
        <w:t>6</w:t>
      </w:r>
      <w:r>
        <w:rPr>
          <w:rFonts w:ascii="Arial" w:eastAsia="Arial" w:hAnsi="Arial" w:cs="Arial"/>
          <w:b/>
          <w:bCs/>
          <w:i/>
          <w:iCs/>
        </w:rPr>
        <w:t xml:space="preserve">-SNAP25 and </w:t>
      </w:r>
      <w:r>
        <w:rPr>
          <w:rFonts w:ascii="Arial" w:eastAsia="Arial" w:hAnsi="Arial" w:cs="Arial"/>
          <w:b/>
          <w:bCs/>
          <w:i/>
          <w:iCs/>
          <w:color w:val="000000"/>
        </w:rPr>
        <w:t>VAMP2-His</w:t>
      </w:r>
      <w:r>
        <w:rPr>
          <w:rFonts w:ascii="Arial" w:eastAsia="Arial" w:hAnsi="Arial" w:cs="Arial"/>
          <w:b/>
          <w:bCs/>
          <w:i/>
          <w:iCs/>
          <w:color w:val="000000"/>
          <w:vertAlign w:val="subscript"/>
        </w:rPr>
        <w:t>6</w:t>
      </w:r>
      <w:r>
        <w:rPr>
          <w:rFonts w:ascii="Arial" w:eastAsia="Arial" w:hAnsi="Arial" w:cs="Arial"/>
          <w:b/>
          <w:bCs/>
          <w:i/>
          <w:iCs/>
          <w:color w:val="000000"/>
        </w:rPr>
        <w:t xml:space="preserve"> </w:t>
      </w:r>
    </w:p>
    <w:p w14:paraId="7E9C6093" w14:textId="77777777" w:rsidR="006C7633" w:rsidRPr="00737C58" w:rsidRDefault="006C7633" w:rsidP="00737C58">
      <w:pPr>
        <w:spacing w:line="360" w:lineRule="auto"/>
        <w:ind w:firstLine="720"/>
        <w:jc w:val="both"/>
        <w:rPr>
          <w:rFonts w:ascii="Arial" w:hAnsi="Arial" w:cs="Arial"/>
        </w:rPr>
      </w:pPr>
      <w:r w:rsidRPr="00737C58">
        <w:rPr>
          <w:rFonts w:ascii="Arial" w:hAnsi="Arial" w:cs="Arial"/>
        </w:rPr>
        <w:t xml:space="preserve">The full-length t-SNARE complex, composed of rat Stx1A and mouse His6-SNAP25, was expressed from the polycistronic plasmid pTW34 </w:t>
      </w:r>
      <w:hyperlink r:id="rId7">
        <w:r>
          <w:rPr>
            <w:rFonts w:ascii="Arial" w:hAnsi="Arial" w:cs="Arial"/>
          </w:rPr>
          <w:t>(1)</w:t>
        </w:r>
      </w:hyperlink>
      <w:r w:rsidRPr="00737C58">
        <w:rPr>
          <w:rFonts w:ascii="Arial" w:hAnsi="Arial" w:cs="Arial"/>
        </w:rPr>
        <w:t>. The plasmid conferred resistance to kanamycin (KAN). Bacterial transformation was performed using competent cells following a standard heat-shock protocol. Transformed cells were selected on LB agar plates supplemented with KAN (100 µ</w:t>
      </w:r>
      <w:proofErr w:type="gramStart"/>
      <w:r w:rsidRPr="00737C58">
        <w:rPr>
          <w:rFonts w:ascii="Arial" w:hAnsi="Arial" w:cs="Arial"/>
        </w:rPr>
        <w:t>g.mL</w:t>
      </w:r>
      <w:proofErr w:type="gramEnd"/>
      <w:r w:rsidRPr="006C7633">
        <w:rPr>
          <w:rFonts w:ascii="Arial" w:hAnsi="Arial" w:cs="Arial"/>
          <w:vertAlign w:val="superscript"/>
        </w:rPr>
        <w:t>-1</w:t>
      </w:r>
      <w:r w:rsidRPr="00737C58">
        <w:rPr>
          <w:rFonts w:ascii="Arial" w:hAnsi="Arial" w:cs="Arial"/>
        </w:rPr>
        <w:t>). A single colony was used to inoculate a starter culture, which was expanded stepwise into a 4 L LB culture containing KAN (100 µ</w:t>
      </w:r>
      <w:proofErr w:type="gramStart"/>
      <w:r w:rsidRPr="00737C58">
        <w:rPr>
          <w:rFonts w:ascii="Arial" w:hAnsi="Arial" w:cs="Arial"/>
        </w:rPr>
        <w:t>g.mL</w:t>
      </w:r>
      <w:proofErr w:type="gramEnd"/>
      <w:r w:rsidRPr="006C7633">
        <w:rPr>
          <w:rFonts w:ascii="Arial" w:hAnsi="Arial" w:cs="Arial"/>
          <w:vertAlign w:val="superscript"/>
        </w:rPr>
        <w:t>-1</w:t>
      </w:r>
      <w:r w:rsidRPr="00737C58">
        <w:rPr>
          <w:rFonts w:ascii="Arial" w:hAnsi="Arial" w:cs="Arial"/>
        </w:rPr>
        <w:t xml:space="preserve">). Cells </w:t>
      </w:r>
      <w:proofErr w:type="gramStart"/>
      <w:r w:rsidRPr="00737C58">
        <w:rPr>
          <w:rFonts w:ascii="Arial" w:hAnsi="Arial" w:cs="Arial"/>
        </w:rPr>
        <w:t>were grown</w:t>
      </w:r>
      <w:proofErr w:type="gramEnd"/>
      <w:r w:rsidRPr="00737C58">
        <w:rPr>
          <w:rFonts w:ascii="Arial" w:hAnsi="Arial" w:cs="Arial"/>
        </w:rPr>
        <w:t xml:space="preserve"> at 37°C under agitation until the optical density at 600 nm reached </w:t>
      </w:r>
      <w:r w:rsidRPr="00737C58">
        <w:rPr>
          <w:rFonts w:ascii="Cambria Math" w:hAnsi="Cambria Math" w:cs="Cambria Math"/>
        </w:rPr>
        <w:t>∼</w:t>
      </w:r>
      <w:r w:rsidRPr="00737C58">
        <w:rPr>
          <w:rFonts w:ascii="Arial" w:hAnsi="Arial" w:cs="Arial"/>
        </w:rPr>
        <w:t>0.7. Protein expression was induced by the addition of 1 mM IPTG, and cultures were incubated for an additional 3-4 h at 37°C. Cells were harvested by centrifugation at 4,000 rpm for 10 min at 4°C (JLA-9.1000 rotor, Beckman Coulter) and either used immediately or stored at -80°C. </w:t>
      </w:r>
    </w:p>
    <w:p w14:paraId="5031D4A6" w14:textId="77777777" w:rsidR="006C7633" w:rsidRDefault="006C7633">
      <w:pPr>
        <w:spacing w:line="360" w:lineRule="auto"/>
        <w:ind w:firstLine="720"/>
        <w:jc w:val="both"/>
        <w:rPr>
          <w:rFonts w:ascii="Arial" w:eastAsia="Arial" w:hAnsi="Arial" w:cs="Arial"/>
          <w:color w:val="000000"/>
        </w:rPr>
      </w:pPr>
      <w:r>
        <w:rPr>
          <w:rFonts w:ascii="Arial" w:eastAsia="Arial" w:hAnsi="Arial" w:cs="Arial"/>
          <w:color w:val="000000"/>
        </w:rPr>
        <w:t>Cell pellets were resuspended in breaking buffer (25 mM HEPES/KOH, pH 7.5</w:t>
      </w:r>
      <w:r>
        <w:rPr>
          <w:rFonts w:ascii="Arial" w:eastAsia="Arial" w:hAnsi="Arial" w:cs="Arial"/>
        </w:rPr>
        <w:t>;</w:t>
      </w:r>
      <w:r>
        <w:rPr>
          <w:rFonts w:ascii="Arial" w:eastAsia="Arial" w:hAnsi="Arial" w:cs="Arial"/>
          <w:color w:val="000000"/>
        </w:rPr>
        <w:t xml:space="preserve"> 100 mM KCl</w:t>
      </w:r>
      <w:r>
        <w:rPr>
          <w:rFonts w:ascii="Arial" w:eastAsia="Arial" w:hAnsi="Arial" w:cs="Arial"/>
        </w:rPr>
        <w:t>;</w:t>
      </w:r>
      <w:r>
        <w:rPr>
          <w:rFonts w:ascii="Arial" w:eastAsia="Arial" w:hAnsi="Arial" w:cs="Arial"/>
          <w:color w:val="000000"/>
        </w:rPr>
        <w:t xml:space="preserve"> 10% (v/v) glycerol</w:t>
      </w:r>
      <w:r>
        <w:rPr>
          <w:rFonts w:ascii="Arial" w:eastAsia="Arial" w:hAnsi="Arial" w:cs="Arial"/>
        </w:rPr>
        <w:t>;</w:t>
      </w:r>
      <w:r>
        <w:rPr>
          <w:rFonts w:ascii="Arial" w:eastAsia="Arial" w:hAnsi="Arial" w:cs="Arial"/>
          <w:color w:val="000000"/>
        </w:rPr>
        <w:t xml:space="preserve"> 4% (v/v) Triton X-100</w:t>
      </w:r>
      <w:r>
        <w:rPr>
          <w:rFonts w:ascii="Arial" w:eastAsia="Arial" w:hAnsi="Arial" w:cs="Arial"/>
        </w:rPr>
        <w:t>;</w:t>
      </w:r>
      <w:r>
        <w:rPr>
          <w:rFonts w:ascii="Arial" w:eastAsia="Arial" w:hAnsi="Arial" w:cs="Arial"/>
          <w:color w:val="000000"/>
        </w:rPr>
        <w:t xml:space="preserve"> 1 mM DTT</w:t>
      </w:r>
      <w:r>
        <w:rPr>
          <w:rFonts w:ascii="Arial" w:eastAsia="Arial" w:hAnsi="Arial" w:cs="Arial"/>
        </w:rPr>
        <w:t>;</w:t>
      </w:r>
      <w:r>
        <w:rPr>
          <w:rFonts w:ascii="Arial" w:eastAsia="Arial" w:hAnsi="Arial" w:cs="Arial"/>
          <w:color w:val="000000"/>
        </w:rPr>
        <w:t xml:space="preserve"> 10 mM imidazole, and EDTA-free protease inhibitor cocktail) and lysed using a high-pressure homogenizer (Emulsiflex-C3, </w:t>
      </w:r>
      <w:proofErr w:type="spellStart"/>
      <w:r>
        <w:rPr>
          <w:rFonts w:ascii="Arial" w:eastAsia="Arial" w:hAnsi="Arial" w:cs="Arial"/>
          <w:color w:val="000000"/>
        </w:rPr>
        <w:t>Avestin</w:t>
      </w:r>
      <w:proofErr w:type="spellEnd"/>
      <w:r>
        <w:rPr>
          <w:rFonts w:ascii="Arial" w:eastAsia="Arial" w:hAnsi="Arial" w:cs="Arial"/>
          <w:color w:val="000000"/>
        </w:rPr>
        <w:t>) for 3-5 cycles while maintaining the sample on ice. Cell debris was removed by ultracentrifugation at 40,000 rpm for 45 min at 4°C (Ti45 rotor, Beckman Coulter). </w:t>
      </w:r>
    </w:p>
    <w:p w14:paraId="22B7B7DA" w14:textId="77777777" w:rsidR="006C7633" w:rsidRDefault="006C7633">
      <w:pPr>
        <w:spacing w:line="360" w:lineRule="auto"/>
        <w:ind w:firstLine="720"/>
        <w:jc w:val="both"/>
        <w:rPr>
          <w:rFonts w:ascii="Arial" w:eastAsia="Arial" w:hAnsi="Arial" w:cs="Arial"/>
          <w:color w:val="000000"/>
        </w:rPr>
      </w:pPr>
      <w:r>
        <w:rPr>
          <w:rFonts w:ascii="Arial" w:eastAsia="Arial" w:hAnsi="Arial" w:cs="Arial"/>
          <w:color w:val="000000"/>
        </w:rPr>
        <w:t xml:space="preserve">Purification was performed by nickel-affinity chromatography using a 1 mL </w:t>
      </w:r>
      <w:proofErr w:type="spellStart"/>
      <w:r>
        <w:rPr>
          <w:rFonts w:ascii="Arial" w:eastAsia="Arial" w:hAnsi="Arial" w:cs="Arial"/>
          <w:color w:val="000000"/>
        </w:rPr>
        <w:t>HisTrap</w:t>
      </w:r>
      <w:proofErr w:type="spellEnd"/>
      <w:r>
        <w:rPr>
          <w:rFonts w:ascii="Arial" w:eastAsia="Arial" w:hAnsi="Arial" w:cs="Arial"/>
          <w:color w:val="000000"/>
        </w:rPr>
        <w:t xml:space="preserve"> FF </w:t>
      </w:r>
      <w:r>
        <w:rPr>
          <w:rFonts w:ascii="Arial" w:eastAsia="Arial" w:hAnsi="Arial" w:cs="Arial"/>
        </w:rPr>
        <w:t>c</w:t>
      </w:r>
      <w:r>
        <w:rPr>
          <w:rFonts w:ascii="Arial" w:eastAsia="Arial" w:hAnsi="Arial" w:cs="Arial"/>
          <w:color w:val="000000"/>
        </w:rPr>
        <w:t>rude column (GE Healthcare) on an ÄKTA Pure 25 M system. The column was equilibrated with washing buffer A (25 mM HEPES/KOH, pH 7.5</w:t>
      </w:r>
      <w:r>
        <w:rPr>
          <w:rFonts w:ascii="Arial" w:eastAsia="Arial" w:hAnsi="Arial" w:cs="Arial"/>
        </w:rPr>
        <w:t>;</w:t>
      </w:r>
      <w:r>
        <w:rPr>
          <w:rFonts w:ascii="Arial" w:eastAsia="Arial" w:hAnsi="Arial" w:cs="Arial"/>
          <w:color w:val="000000"/>
        </w:rPr>
        <w:t xml:space="preserve"> 200 mM KCl</w:t>
      </w:r>
      <w:r>
        <w:rPr>
          <w:rFonts w:ascii="Arial" w:eastAsia="Arial" w:hAnsi="Arial" w:cs="Arial"/>
        </w:rPr>
        <w:t>;</w:t>
      </w:r>
      <w:r>
        <w:rPr>
          <w:rFonts w:ascii="Arial" w:eastAsia="Arial" w:hAnsi="Arial" w:cs="Arial"/>
          <w:color w:val="000000"/>
        </w:rPr>
        <w:t xml:space="preserve"> 10% (v/v) glycerol</w:t>
      </w:r>
      <w:r>
        <w:rPr>
          <w:rFonts w:ascii="Arial" w:eastAsia="Arial" w:hAnsi="Arial" w:cs="Arial"/>
        </w:rPr>
        <w:t>;</w:t>
      </w:r>
      <w:r>
        <w:rPr>
          <w:rFonts w:ascii="Arial" w:eastAsia="Arial" w:hAnsi="Arial" w:cs="Arial"/>
          <w:color w:val="000000"/>
        </w:rPr>
        <w:t xml:space="preserve"> 1% (v/v) Triton X-100</w:t>
      </w:r>
      <w:r>
        <w:rPr>
          <w:rFonts w:ascii="Arial" w:eastAsia="Arial" w:hAnsi="Arial" w:cs="Arial"/>
        </w:rPr>
        <w:t>;</w:t>
      </w:r>
      <w:r>
        <w:rPr>
          <w:rFonts w:ascii="Arial" w:eastAsia="Arial" w:hAnsi="Arial" w:cs="Arial"/>
          <w:color w:val="000000"/>
        </w:rPr>
        <w:t xml:space="preserve"> 1 mM DTT</w:t>
      </w:r>
      <w:r>
        <w:rPr>
          <w:rFonts w:ascii="Arial" w:eastAsia="Arial" w:hAnsi="Arial" w:cs="Arial"/>
        </w:rPr>
        <w:t>;</w:t>
      </w:r>
      <w:r>
        <w:rPr>
          <w:rFonts w:ascii="Arial" w:eastAsia="Arial" w:hAnsi="Arial" w:cs="Arial"/>
          <w:color w:val="000000"/>
        </w:rPr>
        <w:t xml:space="preserve"> 10 mM imidazole), and the </w:t>
      </w:r>
      <w:r>
        <w:rPr>
          <w:rFonts w:ascii="Arial" w:eastAsia="Arial" w:hAnsi="Arial" w:cs="Arial"/>
          <w:color w:val="000000"/>
        </w:rPr>
        <w:lastRenderedPageBreak/>
        <w:t>clarified lysate was loaded at a flow rate of 1 mL.min</w:t>
      </w:r>
      <w:r>
        <w:rPr>
          <w:rFonts w:ascii="Arial" w:eastAsia="Arial" w:hAnsi="Arial" w:cs="Arial"/>
          <w:color w:val="000000"/>
          <w:vertAlign w:val="superscript"/>
        </w:rPr>
        <w:t>-1</w:t>
      </w:r>
      <w:r>
        <w:rPr>
          <w:rFonts w:ascii="Arial" w:eastAsia="Arial" w:hAnsi="Arial" w:cs="Arial"/>
          <w:color w:val="000000"/>
        </w:rPr>
        <w:t>. After washing for approximately 15 column volumes, nonspecifically bound proteins were further removed using washing buffer B (25 mM HEPES/KOH, pH 7.5</w:t>
      </w:r>
      <w:r>
        <w:rPr>
          <w:rFonts w:ascii="Arial" w:eastAsia="Arial" w:hAnsi="Arial" w:cs="Arial"/>
        </w:rPr>
        <w:t>;</w:t>
      </w:r>
      <w:r>
        <w:rPr>
          <w:rFonts w:ascii="Arial" w:eastAsia="Arial" w:hAnsi="Arial" w:cs="Arial"/>
          <w:color w:val="000000"/>
        </w:rPr>
        <w:t xml:space="preserve"> 200 mM KCl</w:t>
      </w:r>
      <w:r>
        <w:rPr>
          <w:rFonts w:ascii="Arial" w:eastAsia="Arial" w:hAnsi="Arial" w:cs="Arial"/>
        </w:rPr>
        <w:t>;</w:t>
      </w:r>
      <w:r>
        <w:rPr>
          <w:rFonts w:ascii="Arial" w:eastAsia="Arial" w:hAnsi="Arial" w:cs="Arial"/>
          <w:color w:val="000000"/>
        </w:rPr>
        <w:t xml:space="preserve"> 10% (v/v) glycerol</w:t>
      </w:r>
      <w:r>
        <w:rPr>
          <w:rFonts w:ascii="Arial" w:eastAsia="Arial" w:hAnsi="Arial" w:cs="Arial"/>
        </w:rPr>
        <w:t>;</w:t>
      </w:r>
      <w:r>
        <w:rPr>
          <w:rFonts w:ascii="Arial" w:eastAsia="Arial" w:hAnsi="Arial" w:cs="Arial"/>
          <w:color w:val="000000"/>
        </w:rPr>
        <w:t xml:space="preserve"> 1% (w/v) β-</w:t>
      </w:r>
      <w:r>
        <w:rPr>
          <w:rFonts w:ascii="Arial" w:eastAsia="Arial" w:hAnsi="Arial" w:cs="Arial"/>
        </w:rPr>
        <w:t>OG;</w:t>
      </w:r>
      <w:r>
        <w:rPr>
          <w:rFonts w:ascii="Arial" w:eastAsia="Arial" w:hAnsi="Arial" w:cs="Arial"/>
          <w:color w:val="000000"/>
        </w:rPr>
        <w:t xml:space="preserve"> 1 mM DTT</w:t>
      </w:r>
      <w:r>
        <w:rPr>
          <w:rFonts w:ascii="Arial" w:eastAsia="Arial" w:hAnsi="Arial" w:cs="Arial"/>
        </w:rPr>
        <w:t>;</w:t>
      </w:r>
      <w:r>
        <w:rPr>
          <w:rFonts w:ascii="Arial" w:eastAsia="Arial" w:hAnsi="Arial" w:cs="Arial"/>
          <w:color w:val="000000"/>
        </w:rPr>
        <w:t xml:space="preserve"> 50 mM imidazole).</w:t>
      </w:r>
    </w:p>
    <w:p w14:paraId="7D14EDF9" w14:textId="77777777" w:rsidR="006C7633" w:rsidRDefault="006C7633">
      <w:pPr>
        <w:spacing w:line="360" w:lineRule="auto"/>
        <w:ind w:firstLine="720"/>
        <w:jc w:val="both"/>
        <w:rPr>
          <w:rFonts w:ascii="Arial" w:eastAsia="Arial" w:hAnsi="Arial" w:cs="Arial"/>
          <w:color w:val="000000"/>
        </w:rPr>
      </w:pPr>
      <w:r>
        <w:rPr>
          <w:rFonts w:ascii="Arial" w:eastAsia="Arial" w:hAnsi="Arial" w:cs="Arial"/>
          <w:color w:val="000000"/>
        </w:rPr>
        <w:t xml:space="preserve">Proteins were eluted using a linear imidazole gradient from 50 to 500 mM at </w:t>
      </w:r>
      <w:r>
        <w:rPr>
          <w:rFonts w:ascii="Arial" w:eastAsia="Arial" w:hAnsi="Arial" w:cs="Arial"/>
        </w:rPr>
        <w:t xml:space="preserve">a flow rate of </w:t>
      </w:r>
      <w:r>
        <w:rPr>
          <w:rFonts w:ascii="Arial" w:eastAsia="Arial" w:hAnsi="Arial" w:cs="Arial"/>
          <w:color w:val="000000"/>
        </w:rPr>
        <w:t>0.5 mL.min</w:t>
      </w:r>
      <w:r>
        <w:rPr>
          <w:rFonts w:ascii="Arial" w:eastAsia="Arial" w:hAnsi="Arial" w:cs="Arial"/>
          <w:color w:val="000000"/>
          <w:vertAlign w:val="superscript"/>
        </w:rPr>
        <w:t>-1</w:t>
      </w:r>
      <w:r>
        <w:rPr>
          <w:rFonts w:ascii="Arial" w:eastAsia="Arial" w:hAnsi="Arial" w:cs="Arial"/>
          <w:color w:val="000000"/>
        </w:rPr>
        <w:t>, prepared by slowly mixing washing buffer B with elution buffer (25 mM HEPES/KOH, pH 7.5</w:t>
      </w:r>
      <w:r>
        <w:rPr>
          <w:rFonts w:ascii="Arial" w:eastAsia="Arial" w:hAnsi="Arial" w:cs="Arial"/>
        </w:rPr>
        <w:t>;</w:t>
      </w:r>
      <w:r>
        <w:rPr>
          <w:rFonts w:ascii="Arial" w:eastAsia="Arial" w:hAnsi="Arial" w:cs="Arial"/>
          <w:color w:val="000000"/>
        </w:rPr>
        <w:t xml:space="preserve"> 200 mM KCl</w:t>
      </w:r>
      <w:r>
        <w:rPr>
          <w:rFonts w:ascii="Arial" w:eastAsia="Arial" w:hAnsi="Arial" w:cs="Arial"/>
        </w:rPr>
        <w:t>;</w:t>
      </w:r>
      <w:r>
        <w:rPr>
          <w:rFonts w:ascii="Arial" w:eastAsia="Arial" w:hAnsi="Arial" w:cs="Arial"/>
          <w:color w:val="000000"/>
        </w:rPr>
        <w:t xml:space="preserve"> 10% (v/v) glycerol</w:t>
      </w:r>
      <w:r>
        <w:rPr>
          <w:rFonts w:ascii="Arial" w:eastAsia="Arial" w:hAnsi="Arial" w:cs="Arial"/>
        </w:rPr>
        <w:t>;</w:t>
      </w:r>
      <w:r>
        <w:rPr>
          <w:rFonts w:ascii="Arial" w:eastAsia="Arial" w:hAnsi="Arial" w:cs="Arial"/>
          <w:color w:val="000000"/>
        </w:rPr>
        <w:t xml:space="preserve"> 1% (w/v) β-</w:t>
      </w:r>
      <w:r>
        <w:rPr>
          <w:rFonts w:ascii="Arial" w:eastAsia="Arial" w:hAnsi="Arial" w:cs="Arial"/>
        </w:rPr>
        <w:t>OG;</w:t>
      </w:r>
      <w:r>
        <w:rPr>
          <w:rFonts w:ascii="Arial" w:eastAsia="Arial" w:hAnsi="Arial" w:cs="Arial"/>
          <w:color w:val="000000"/>
        </w:rPr>
        <w:t xml:space="preserve"> 1 mM DTT</w:t>
      </w:r>
      <w:r>
        <w:rPr>
          <w:rFonts w:ascii="Arial" w:eastAsia="Arial" w:hAnsi="Arial" w:cs="Arial"/>
        </w:rPr>
        <w:t>;</w:t>
      </w:r>
      <w:r>
        <w:rPr>
          <w:rFonts w:ascii="Arial" w:eastAsia="Arial" w:hAnsi="Arial" w:cs="Arial"/>
          <w:color w:val="000000"/>
        </w:rPr>
        <w:t xml:space="preserve"> 500 mM imidazole). Elution fractions corresponding to the absorbance peak at 280 nm were collected and analyzed by SDS</w:t>
      </w:r>
      <w:r>
        <w:rPr>
          <w:rFonts w:ascii="Arial" w:eastAsia="Arial" w:hAnsi="Arial" w:cs="Arial"/>
        </w:rPr>
        <w:t>-</w:t>
      </w:r>
      <w:r>
        <w:rPr>
          <w:rFonts w:ascii="Arial" w:eastAsia="Arial" w:hAnsi="Arial" w:cs="Arial"/>
          <w:color w:val="000000"/>
        </w:rPr>
        <w:t xml:space="preserve">PAGE using stain-free 4-20% Mini-PROTEAN TGX gels (Bio-Rad). Gels were subsequently stained with Coomassie Blue and imaged using the </w:t>
      </w:r>
      <w:proofErr w:type="spellStart"/>
      <w:r>
        <w:rPr>
          <w:rFonts w:ascii="Arial" w:eastAsia="Arial" w:hAnsi="Arial" w:cs="Arial"/>
          <w:color w:val="000000"/>
        </w:rPr>
        <w:t>ChemiDoc</w:t>
      </w:r>
      <w:proofErr w:type="spellEnd"/>
      <w:r>
        <w:rPr>
          <w:rFonts w:ascii="Arial" w:eastAsia="Arial" w:hAnsi="Arial" w:cs="Arial"/>
          <w:color w:val="000000"/>
        </w:rPr>
        <w:t xml:space="preserve"> Touch system (Bio-Rad).</w:t>
      </w:r>
    </w:p>
    <w:p w14:paraId="26FA6A1C" w14:textId="77777777" w:rsidR="006C7633" w:rsidRDefault="006C7633">
      <w:pPr>
        <w:spacing w:line="360" w:lineRule="auto"/>
        <w:ind w:firstLine="720"/>
        <w:jc w:val="both"/>
        <w:rPr>
          <w:rFonts w:ascii="Arial" w:eastAsia="Arial" w:hAnsi="Arial" w:cs="Arial"/>
          <w:color w:val="000000"/>
        </w:rPr>
      </w:pPr>
      <w:r>
        <w:rPr>
          <w:rFonts w:ascii="Arial" w:eastAsia="Arial" w:hAnsi="Arial" w:cs="Arial"/>
          <w:color w:val="000000"/>
        </w:rPr>
        <w:t xml:space="preserve">Fractions containing the t-SNARE complex were pooled, and protein concentrations were determined spectrophotometrically using a </w:t>
      </w:r>
      <w:proofErr w:type="spellStart"/>
      <w:r>
        <w:rPr>
          <w:rFonts w:ascii="Arial" w:eastAsia="Arial" w:hAnsi="Arial" w:cs="Arial"/>
          <w:color w:val="000000"/>
        </w:rPr>
        <w:t>Bio</w:t>
      </w:r>
      <w:r>
        <w:rPr>
          <w:rFonts w:ascii="Arial" w:eastAsia="Arial" w:hAnsi="Arial" w:cs="Arial"/>
        </w:rPr>
        <w:t>D</w:t>
      </w:r>
      <w:r>
        <w:rPr>
          <w:rFonts w:ascii="Arial" w:eastAsia="Arial" w:hAnsi="Arial" w:cs="Arial"/>
          <w:color w:val="000000"/>
        </w:rPr>
        <w:t>rop</w:t>
      </w:r>
      <w:proofErr w:type="spellEnd"/>
      <w:r>
        <w:rPr>
          <w:rFonts w:ascii="Arial" w:eastAsia="Arial" w:hAnsi="Arial" w:cs="Arial"/>
          <w:color w:val="000000"/>
        </w:rPr>
        <w:t xml:space="preserve"> instrument and validated by SDS-PAGE. Purified proteins were aliquoted, flash-frozen in liquid nitrogen, and stored at -80°C until use.</w:t>
      </w:r>
    </w:p>
    <w:p w14:paraId="6FC5895D" w14:textId="77777777" w:rsidR="006C7633" w:rsidRDefault="006C7633">
      <w:pPr>
        <w:spacing w:line="360" w:lineRule="auto"/>
        <w:ind w:firstLine="720"/>
        <w:jc w:val="both"/>
        <w:rPr>
          <w:rFonts w:ascii="Arial" w:eastAsia="Arial" w:hAnsi="Arial" w:cs="Arial"/>
          <w:color w:val="000000"/>
        </w:rPr>
      </w:pPr>
      <w:r>
        <w:rPr>
          <w:rFonts w:ascii="Arial" w:eastAsia="Arial" w:hAnsi="Arial" w:cs="Arial"/>
        </w:rPr>
        <w:t>The f</w:t>
      </w:r>
      <w:r>
        <w:rPr>
          <w:rFonts w:ascii="Arial" w:eastAsia="Arial" w:hAnsi="Arial" w:cs="Arial"/>
          <w:color w:val="000000"/>
        </w:rPr>
        <w:t>ull-length mouse VAMP2-His</w:t>
      </w:r>
      <w:r>
        <w:rPr>
          <w:rFonts w:ascii="Arial" w:eastAsia="Arial" w:hAnsi="Arial" w:cs="Arial"/>
          <w:color w:val="000000"/>
          <w:vertAlign w:val="subscript"/>
        </w:rPr>
        <w:t>6</w:t>
      </w:r>
      <w:r>
        <w:rPr>
          <w:rFonts w:ascii="Arial" w:eastAsia="Arial" w:hAnsi="Arial" w:cs="Arial"/>
          <w:color w:val="000000"/>
        </w:rPr>
        <w:t xml:space="preserve"> w</w:t>
      </w:r>
      <w:r>
        <w:rPr>
          <w:rFonts w:ascii="Arial" w:eastAsia="Arial" w:hAnsi="Arial" w:cs="Arial"/>
        </w:rPr>
        <w:t>as</w:t>
      </w:r>
      <w:r>
        <w:rPr>
          <w:rFonts w:ascii="Arial" w:eastAsia="Arial" w:hAnsi="Arial" w:cs="Arial"/>
          <w:color w:val="000000"/>
        </w:rPr>
        <w:t xml:space="preserve"> expressed from the plasmid pTW2 </w:t>
      </w:r>
      <w:hyperlink r:id="rId8">
        <w:r>
          <w:rPr>
            <w:rFonts w:ascii="Arial" w:eastAsia="Arial" w:hAnsi="Arial" w:cs="Arial"/>
          </w:rPr>
          <w:t>(2)</w:t>
        </w:r>
      </w:hyperlink>
      <w:r>
        <w:rPr>
          <w:rFonts w:ascii="Arial" w:eastAsia="Arial" w:hAnsi="Arial" w:cs="Arial"/>
          <w:color w:val="000000"/>
        </w:rPr>
        <w:t xml:space="preserve"> and purified following the same protocol as described above, except for the modifications detail</w:t>
      </w:r>
      <w:r>
        <w:rPr>
          <w:rFonts w:ascii="Arial" w:eastAsia="Arial" w:hAnsi="Arial" w:cs="Arial"/>
        </w:rPr>
        <w:t>ed</w:t>
      </w:r>
      <w:r>
        <w:rPr>
          <w:rFonts w:ascii="Arial" w:eastAsia="Arial" w:hAnsi="Arial" w:cs="Arial"/>
          <w:color w:val="000000"/>
        </w:rPr>
        <w:t xml:space="preserve"> below.</w:t>
      </w:r>
    </w:p>
    <w:p w14:paraId="0833A2C9" w14:textId="77777777" w:rsidR="006C7633" w:rsidRDefault="006C7633">
      <w:pPr>
        <w:spacing w:line="360" w:lineRule="auto"/>
        <w:ind w:firstLine="720"/>
        <w:jc w:val="both"/>
        <w:rPr>
          <w:rFonts w:ascii="Arial" w:eastAsia="Arial" w:hAnsi="Arial" w:cs="Arial"/>
        </w:rPr>
      </w:pPr>
      <w:r>
        <w:rPr>
          <w:rFonts w:ascii="Arial" w:eastAsia="Arial" w:hAnsi="Arial" w:cs="Arial"/>
          <w:color w:val="000000"/>
        </w:rPr>
        <w:t xml:space="preserve">For the </w:t>
      </w:r>
      <w:proofErr w:type="gramStart"/>
      <w:r>
        <w:rPr>
          <w:rFonts w:ascii="Arial" w:eastAsia="Arial" w:hAnsi="Arial" w:cs="Arial"/>
        </w:rPr>
        <w:t>expression of full</w:t>
      </w:r>
      <w:proofErr w:type="gramEnd"/>
      <w:r>
        <w:rPr>
          <w:rFonts w:ascii="Arial" w:eastAsia="Arial" w:hAnsi="Arial" w:cs="Arial"/>
        </w:rPr>
        <w:t xml:space="preserve">-length </w:t>
      </w:r>
      <w:r>
        <w:rPr>
          <w:rFonts w:ascii="Arial" w:eastAsia="Arial" w:hAnsi="Arial" w:cs="Arial"/>
          <w:color w:val="000000"/>
        </w:rPr>
        <w:t>VAMP2-His</w:t>
      </w:r>
      <w:r>
        <w:rPr>
          <w:rFonts w:ascii="Arial" w:eastAsia="Arial" w:hAnsi="Arial" w:cs="Arial"/>
          <w:color w:val="000000"/>
          <w:vertAlign w:val="subscript"/>
        </w:rPr>
        <w:t>6</w:t>
      </w:r>
      <w:r>
        <w:rPr>
          <w:rFonts w:ascii="Arial" w:eastAsia="Arial" w:hAnsi="Arial" w:cs="Arial"/>
          <w:color w:val="000000"/>
        </w:rPr>
        <w:t>, the plasmid conferred resistance to ampicillin (AMPI). All LB media were supplemented with AMPI (500 µ</w:t>
      </w:r>
      <w:proofErr w:type="gramStart"/>
      <w:r>
        <w:rPr>
          <w:rFonts w:ascii="Arial" w:eastAsia="Arial" w:hAnsi="Arial" w:cs="Arial"/>
        </w:rPr>
        <w:t>g.mL</w:t>
      </w:r>
      <w:proofErr w:type="gramEnd"/>
      <w:r>
        <w:rPr>
          <w:rFonts w:ascii="Arial" w:eastAsia="Arial" w:hAnsi="Arial" w:cs="Arial"/>
          <w:color w:val="000000"/>
          <w:vertAlign w:val="superscript"/>
        </w:rPr>
        <w:t>-1</w:t>
      </w:r>
      <w:r>
        <w:rPr>
          <w:rFonts w:ascii="Arial" w:eastAsia="Arial" w:hAnsi="Arial" w:cs="Arial"/>
          <w:color w:val="000000"/>
        </w:rPr>
        <w:t>), and additional AMPI (100 µ</w:t>
      </w:r>
      <w:proofErr w:type="gramStart"/>
      <w:r>
        <w:rPr>
          <w:rFonts w:ascii="Arial" w:eastAsia="Arial" w:hAnsi="Arial" w:cs="Arial"/>
        </w:rPr>
        <w:t>g.mL</w:t>
      </w:r>
      <w:proofErr w:type="gramEnd"/>
      <w:r>
        <w:rPr>
          <w:rFonts w:ascii="Arial" w:eastAsia="Arial" w:hAnsi="Arial" w:cs="Arial"/>
          <w:color w:val="000000"/>
          <w:vertAlign w:val="superscript"/>
        </w:rPr>
        <w:t>-1</w:t>
      </w:r>
      <w:r>
        <w:rPr>
          <w:rFonts w:ascii="Arial" w:eastAsia="Arial" w:hAnsi="Arial" w:cs="Arial"/>
          <w:color w:val="000000"/>
        </w:rPr>
        <w:t>) was added hourly to the main culture before and after IPTG induction. Furthermore, breaking buffer and washing buffer A contained 400 mM KCl, whereas washing buffer B and elution buffer contained 100 mM KCl.</w:t>
      </w:r>
    </w:p>
    <w:p w14:paraId="3FF89F02" w14:textId="77777777" w:rsidR="006C7633" w:rsidRDefault="006C7633">
      <w:pPr>
        <w:spacing w:line="360" w:lineRule="auto"/>
        <w:jc w:val="both"/>
        <w:rPr>
          <w:rFonts w:ascii="Arial" w:eastAsia="Arial" w:hAnsi="Arial" w:cs="Arial"/>
          <w:color w:val="000000"/>
        </w:rPr>
      </w:pPr>
    </w:p>
    <w:p w14:paraId="3FF8ED16" w14:textId="77777777" w:rsidR="006C7633" w:rsidRDefault="006C7633">
      <w:pPr>
        <w:spacing w:line="360" w:lineRule="auto"/>
        <w:jc w:val="both"/>
        <w:rPr>
          <w:rFonts w:ascii="Arial" w:eastAsia="Arial" w:hAnsi="Arial" w:cs="Arial"/>
          <w:color w:val="000000"/>
        </w:rPr>
      </w:pPr>
      <w:r>
        <w:rPr>
          <w:rFonts w:ascii="Arial" w:eastAsia="Arial" w:hAnsi="Arial" w:cs="Arial"/>
          <w:b/>
          <w:bCs/>
          <w:i/>
          <w:iCs/>
          <w:color w:val="000000"/>
        </w:rPr>
        <w:t>His</w:t>
      </w:r>
      <w:r>
        <w:rPr>
          <w:rFonts w:ascii="Arial" w:eastAsia="Arial" w:hAnsi="Arial" w:cs="Arial"/>
          <w:b/>
          <w:bCs/>
          <w:i/>
          <w:iCs/>
          <w:color w:val="000000"/>
          <w:vertAlign w:val="subscript"/>
        </w:rPr>
        <w:t>6</w:t>
      </w:r>
      <w:r>
        <w:rPr>
          <w:rFonts w:ascii="Arial" w:eastAsia="Arial" w:hAnsi="Arial" w:cs="Arial"/>
          <w:b/>
          <w:bCs/>
          <w:i/>
          <w:iCs/>
          <w:color w:val="000000"/>
        </w:rPr>
        <w:t>-SUMO-Stx1A, His</w:t>
      </w:r>
      <w:r>
        <w:rPr>
          <w:rFonts w:ascii="Arial" w:eastAsia="Arial" w:hAnsi="Arial" w:cs="Arial"/>
          <w:b/>
          <w:bCs/>
          <w:i/>
          <w:iCs/>
          <w:color w:val="000000"/>
          <w:vertAlign w:val="subscript"/>
        </w:rPr>
        <w:t>6</w:t>
      </w:r>
      <w:r>
        <w:rPr>
          <w:rFonts w:ascii="Arial" w:eastAsia="Arial" w:hAnsi="Arial" w:cs="Arial"/>
          <w:b/>
          <w:bCs/>
          <w:i/>
          <w:iCs/>
          <w:color w:val="000000"/>
        </w:rPr>
        <w:t xml:space="preserve">-SNAP25 and </w:t>
      </w:r>
      <w:r>
        <w:rPr>
          <w:rFonts w:ascii="Arial" w:eastAsia="Arial" w:hAnsi="Arial" w:cs="Arial"/>
          <w:b/>
          <w:bCs/>
          <w:i/>
          <w:iCs/>
        </w:rPr>
        <w:t>His</w:t>
      </w:r>
      <w:r>
        <w:rPr>
          <w:rFonts w:ascii="Arial" w:eastAsia="Arial" w:hAnsi="Arial" w:cs="Arial"/>
          <w:b/>
          <w:bCs/>
          <w:i/>
          <w:iCs/>
          <w:vertAlign w:val="subscript"/>
        </w:rPr>
        <w:t>6</w:t>
      </w:r>
      <w:r>
        <w:rPr>
          <w:rFonts w:ascii="Arial" w:eastAsia="Arial" w:hAnsi="Arial" w:cs="Arial"/>
          <w:b/>
          <w:bCs/>
          <w:i/>
          <w:iCs/>
        </w:rPr>
        <w:t xml:space="preserve">-SUMO-VAMP2 </w:t>
      </w:r>
    </w:p>
    <w:p w14:paraId="4BAC4B45" w14:textId="77777777" w:rsidR="006C7633" w:rsidRDefault="006C7633">
      <w:pPr>
        <w:spacing w:line="360" w:lineRule="auto"/>
        <w:ind w:firstLine="720"/>
        <w:jc w:val="both"/>
        <w:rPr>
          <w:rFonts w:ascii="Arial" w:eastAsia="Arial" w:hAnsi="Arial" w:cs="Arial"/>
        </w:rPr>
      </w:pPr>
      <w:r>
        <w:rPr>
          <w:rFonts w:ascii="Arial" w:eastAsia="Arial" w:hAnsi="Arial" w:cs="Arial"/>
        </w:rPr>
        <w:t>Alternatively, full-length Stx1A and VAMP2 proteins were expressed from plasmids encoding an N-terminal His</w:t>
      </w:r>
      <w:r>
        <w:rPr>
          <w:rFonts w:ascii="Arial" w:eastAsia="Arial" w:hAnsi="Arial" w:cs="Arial"/>
          <w:vertAlign w:val="subscript"/>
        </w:rPr>
        <w:t>6</w:t>
      </w:r>
      <w:r>
        <w:rPr>
          <w:rFonts w:ascii="Arial" w:eastAsia="Arial" w:hAnsi="Arial" w:cs="Arial"/>
        </w:rPr>
        <w:t>-SUMO tag.</w:t>
      </w:r>
    </w:p>
    <w:p w14:paraId="2BD06D96" w14:textId="77777777" w:rsidR="006C7633" w:rsidRDefault="006C7633">
      <w:pPr>
        <w:spacing w:line="360" w:lineRule="auto"/>
        <w:ind w:firstLine="720"/>
        <w:jc w:val="both"/>
        <w:rPr>
          <w:rFonts w:ascii="Arial" w:eastAsia="Arial" w:hAnsi="Arial" w:cs="Arial"/>
        </w:rPr>
      </w:pPr>
      <w:r>
        <w:rPr>
          <w:rFonts w:ascii="Arial" w:eastAsia="Arial" w:hAnsi="Arial" w:cs="Arial"/>
          <w:color w:val="000000"/>
        </w:rPr>
        <w:t>Full</w:t>
      </w:r>
      <w:r>
        <w:rPr>
          <w:rFonts w:ascii="Arial" w:eastAsia="Arial" w:hAnsi="Arial" w:cs="Arial"/>
        </w:rPr>
        <w:t>-</w:t>
      </w:r>
      <w:r>
        <w:rPr>
          <w:rFonts w:ascii="Arial" w:eastAsia="Arial" w:hAnsi="Arial" w:cs="Arial"/>
          <w:color w:val="000000"/>
        </w:rPr>
        <w:t>length rat His</w:t>
      </w:r>
      <w:r>
        <w:rPr>
          <w:rFonts w:ascii="Arial" w:eastAsia="Arial" w:hAnsi="Arial" w:cs="Arial"/>
          <w:color w:val="000000"/>
          <w:vertAlign w:val="subscript"/>
        </w:rPr>
        <w:t>6</w:t>
      </w:r>
      <w:r>
        <w:rPr>
          <w:rFonts w:ascii="Arial" w:eastAsia="Arial" w:hAnsi="Arial" w:cs="Arial"/>
          <w:color w:val="000000"/>
        </w:rPr>
        <w:t xml:space="preserve">-SUMO-Stx1A </w:t>
      </w:r>
      <w:r>
        <w:rPr>
          <w:rFonts w:ascii="Arial" w:eastAsia="Arial" w:hAnsi="Arial" w:cs="Arial"/>
        </w:rPr>
        <w:t>and rat His</w:t>
      </w:r>
      <w:r>
        <w:rPr>
          <w:rFonts w:ascii="Arial" w:eastAsia="Arial" w:hAnsi="Arial" w:cs="Arial"/>
          <w:vertAlign w:val="subscript"/>
        </w:rPr>
        <w:t>6</w:t>
      </w:r>
      <w:r>
        <w:rPr>
          <w:rFonts w:ascii="Arial" w:eastAsia="Arial" w:hAnsi="Arial" w:cs="Arial"/>
        </w:rPr>
        <w:t xml:space="preserve">-SUMO-VAMP2 </w:t>
      </w:r>
      <w:r>
        <w:rPr>
          <w:rFonts w:ascii="Arial" w:eastAsia="Arial" w:hAnsi="Arial" w:cs="Arial"/>
          <w:color w:val="000000"/>
        </w:rPr>
        <w:t xml:space="preserve">were expressed from pET28a vectors. The plasmids </w:t>
      </w:r>
      <w:r>
        <w:rPr>
          <w:rFonts w:ascii="Arial" w:eastAsia="Arial" w:hAnsi="Arial" w:cs="Arial"/>
        </w:rPr>
        <w:t>conferred</w:t>
      </w:r>
      <w:r>
        <w:rPr>
          <w:rFonts w:ascii="Arial" w:eastAsia="Arial" w:hAnsi="Arial" w:cs="Arial"/>
          <w:color w:val="000000"/>
        </w:rPr>
        <w:t xml:space="preserve"> resistance to kanamycin (KAN). Expression and harvesting conditions were </w:t>
      </w:r>
      <w:proofErr w:type="gramStart"/>
      <w:r>
        <w:rPr>
          <w:rFonts w:ascii="Arial" w:eastAsia="Arial" w:hAnsi="Arial" w:cs="Arial"/>
          <w:color w:val="000000"/>
        </w:rPr>
        <w:t>similar to</w:t>
      </w:r>
      <w:proofErr w:type="gramEnd"/>
      <w:r>
        <w:rPr>
          <w:rFonts w:ascii="Arial" w:eastAsia="Arial" w:hAnsi="Arial" w:cs="Arial"/>
          <w:color w:val="000000"/>
        </w:rPr>
        <w:t xml:space="preserve"> those described above, except that induction was performed with 1 mM IPTG for 4 h at 30°C.</w:t>
      </w:r>
    </w:p>
    <w:p w14:paraId="7608CCF6" w14:textId="77777777" w:rsidR="006C7633" w:rsidRDefault="006C7633">
      <w:pPr>
        <w:spacing w:line="360" w:lineRule="auto"/>
        <w:jc w:val="both"/>
        <w:rPr>
          <w:rFonts w:ascii="Arial" w:eastAsia="Arial" w:hAnsi="Arial" w:cs="Arial"/>
          <w:color w:val="000000"/>
        </w:rPr>
      </w:pPr>
      <w:r>
        <w:rPr>
          <w:rFonts w:ascii="Arial" w:eastAsia="Arial" w:hAnsi="Arial" w:cs="Arial"/>
          <w:color w:val="000000"/>
        </w:rPr>
        <w:tab/>
        <w:t>Cells were resuspended in breaking buffer composed of PBS (pH 7.4)</w:t>
      </w:r>
      <w:r>
        <w:rPr>
          <w:rFonts w:ascii="Arial" w:eastAsia="Arial" w:hAnsi="Arial" w:cs="Arial"/>
        </w:rPr>
        <w:t>;</w:t>
      </w:r>
      <w:r>
        <w:rPr>
          <w:rFonts w:ascii="Arial" w:eastAsia="Arial" w:hAnsi="Arial" w:cs="Arial"/>
          <w:color w:val="000000"/>
        </w:rPr>
        <w:t xml:space="preserve"> 0.2% (v/v) Triton X-100</w:t>
      </w:r>
      <w:r>
        <w:rPr>
          <w:rFonts w:ascii="Arial" w:eastAsia="Arial" w:hAnsi="Arial" w:cs="Arial"/>
        </w:rPr>
        <w:t>;</w:t>
      </w:r>
      <w:r>
        <w:rPr>
          <w:rFonts w:ascii="Arial" w:eastAsia="Arial" w:hAnsi="Arial" w:cs="Arial"/>
          <w:color w:val="000000"/>
        </w:rPr>
        <w:t xml:space="preserve"> 2 mM DTT</w:t>
      </w:r>
      <w:r>
        <w:rPr>
          <w:rFonts w:ascii="Arial" w:eastAsia="Arial" w:hAnsi="Arial" w:cs="Arial"/>
        </w:rPr>
        <w:t>;</w:t>
      </w:r>
      <w:r>
        <w:rPr>
          <w:rFonts w:ascii="Arial" w:eastAsia="Arial" w:hAnsi="Arial" w:cs="Arial"/>
          <w:color w:val="000000"/>
        </w:rPr>
        <w:t xml:space="preserve"> 20 mM imidazole</w:t>
      </w:r>
      <w:r>
        <w:rPr>
          <w:rFonts w:ascii="Arial" w:eastAsia="Arial" w:hAnsi="Arial" w:cs="Arial"/>
        </w:rPr>
        <w:t>;</w:t>
      </w:r>
      <w:r>
        <w:rPr>
          <w:rFonts w:ascii="Arial" w:eastAsia="Arial" w:hAnsi="Arial" w:cs="Arial"/>
          <w:color w:val="000000"/>
        </w:rPr>
        <w:t xml:space="preserve"> 2 mM EDTA</w:t>
      </w:r>
      <w:r>
        <w:rPr>
          <w:rFonts w:ascii="Arial" w:eastAsia="Arial" w:hAnsi="Arial" w:cs="Arial"/>
        </w:rPr>
        <w:t>;</w:t>
      </w:r>
      <w:r>
        <w:rPr>
          <w:rFonts w:ascii="Arial" w:eastAsia="Arial" w:hAnsi="Arial" w:cs="Arial"/>
          <w:color w:val="000000"/>
        </w:rPr>
        <w:t xml:space="preserve"> 1% (w/</w:t>
      </w:r>
      <w:r>
        <w:rPr>
          <w:rFonts w:ascii="Arial" w:eastAsia="Arial" w:hAnsi="Arial" w:cs="Arial"/>
        </w:rPr>
        <w:t>v</w:t>
      </w:r>
      <w:r>
        <w:rPr>
          <w:rFonts w:ascii="Arial" w:eastAsia="Arial" w:hAnsi="Arial" w:cs="Arial"/>
          <w:color w:val="000000"/>
        </w:rPr>
        <w:t>) DDM</w:t>
      </w:r>
      <w:r>
        <w:rPr>
          <w:rFonts w:ascii="Arial" w:eastAsia="Arial" w:hAnsi="Arial" w:cs="Arial"/>
        </w:rPr>
        <w:t>;</w:t>
      </w:r>
      <w:r>
        <w:rPr>
          <w:rFonts w:ascii="Arial" w:eastAsia="Arial" w:hAnsi="Arial" w:cs="Arial"/>
          <w:color w:val="000000"/>
        </w:rPr>
        <w:t xml:space="preserve"> and </w:t>
      </w:r>
      <w:r>
        <w:rPr>
          <w:rFonts w:ascii="Arial" w:eastAsia="Arial" w:hAnsi="Arial" w:cs="Arial"/>
          <w:color w:val="000000"/>
        </w:rPr>
        <w:lastRenderedPageBreak/>
        <w:t xml:space="preserve">protease </w:t>
      </w:r>
      <w:proofErr w:type="gramStart"/>
      <w:r>
        <w:rPr>
          <w:rFonts w:ascii="Arial" w:eastAsia="Arial" w:hAnsi="Arial" w:cs="Arial"/>
          <w:color w:val="000000"/>
        </w:rPr>
        <w:t>inhibitors, and</w:t>
      </w:r>
      <w:proofErr w:type="gramEnd"/>
      <w:r>
        <w:rPr>
          <w:rFonts w:ascii="Arial" w:eastAsia="Arial" w:hAnsi="Arial" w:cs="Arial"/>
          <w:color w:val="000000"/>
        </w:rPr>
        <w:t xml:space="preserve"> lysed by high-pressure homogenization. Clarified lysates were incubated with Ni-NTA </w:t>
      </w:r>
      <w:r>
        <w:rPr>
          <w:rFonts w:ascii="Arial" w:eastAsia="Arial" w:hAnsi="Arial" w:cs="Arial"/>
        </w:rPr>
        <w:t xml:space="preserve">His-Bind </w:t>
      </w:r>
      <w:r>
        <w:rPr>
          <w:rFonts w:ascii="Arial" w:eastAsia="Arial" w:hAnsi="Arial" w:cs="Arial"/>
          <w:color w:val="000000"/>
        </w:rPr>
        <w:t>resin beads (Qiagen) for batch purification at 4°C.</w:t>
      </w:r>
    </w:p>
    <w:p w14:paraId="4AABDF6B" w14:textId="77777777" w:rsidR="006C7633" w:rsidRDefault="006C7633">
      <w:pPr>
        <w:spacing w:line="360" w:lineRule="auto"/>
        <w:ind w:firstLine="720"/>
        <w:jc w:val="both"/>
        <w:rPr>
          <w:rFonts w:ascii="Arial" w:eastAsia="Arial" w:hAnsi="Arial" w:cs="Arial"/>
        </w:rPr>
      </w:pPr>
      <w:r>
        <w:rPr>
          <w:rFonts w:ascii="Arial" w:eastAsia="Arial" w:hAnsi="Arial" w:cs="Arial"/>
          <w:color w:val="000000"/>
        </w:rPr>
        <w:t>Beads were washed extensively with PBSTI buffer (PBS, pH 7.4; 0.2% (v/v) Triton X-100</w:t>
      </w:r>
      <w:r>
        <w:rPr>
          <w:rFonts w:ascii="Arial" w:eastAsia="Arial" w:hAnsi="Arial" w:cs="Arial"/>
        </w:rPr>
        <w:t>;</w:t>
      </w:r>
      <w:r>
        <w:rPr>
          <w:rFonts w:ascii="Arial" w:eastAsia="Arial" w:hAnsi="Arial" w:cs="Arial"/>
          <w:color w:val="000000"/>
        </w:rPr>
        <w:t xml:space="preserve"> 20 mM imidazole), followed by a final wash with PBST (PBSTI buffer lacking imidazole). Proteins were eluted using a Tris-based elution buffer (25 mM Tris-HCl, </w:t>
      </w:r>
      <w:r>
        <w:rPr>
          <w:rFonts w:ascii="Arial" w:eastAsia="Arial" w:hAnsi="Arial" w:cs="Arial"/>
        </w:rPr>
        <w:t xml:space="preserve">pH 7.4; </w:t>
      </w:r>
      <w:r>
        <w:rPr>
          <w:rFonts w:ascii="Arial" w:eastAsia="Arial" w:hAnsi="Arial" w:cs="Arial"/>
          <w:color w:val="000000"/>
        </w:rPr>
        <w:t>150 mM NaCl</w:t>
      </w:r>
      <w:r>
        <w:rPr>
          <w:rFonts w:ascii="Arial" w:eastAsia="Arial" w:hAnsi="Arial" w:cs="Arial"/>
        </w:rPr>
        <w:t>;</w:t>
      </w:r>
      <w:r>
        <w:rPr>
          <w:rFonts w:ascii="Arial" w:eastAsia="Arial" w:hAnsi="Arial" w:cs="Arial"/>
          <w:color w:val="000000"/>
        </w:rPr>
        <w:t xml:space="preserve"> 1% (w/v) β-</w:t>
      </w:r>
      <w:r>
        <w:rPr>
          <w:rFonts w:ascii="Arial" w:eastAsia="Arial" w:hAnsi="Arial" w:cs="Arial"/>
        </w:rPr>
        <w:t>OG</w:t>
      </w:r>
      <w:r>
        <w:rPr>
          <w:rFonts w:ascii="Arial" w:eastAsia="Arial" w:hAnsi="Arial" w:cs="Arial"/>
          <w:color w:val="000000"/>
        </w:rPr>
        <w:t xml:space="preserve">). Removal of the SUMO tag was achieved by overnight incubation with thrombin protease (30 U; </w:t>
      </w:r>
      <w:proofErr w:type="spellStart"/>
      <w:r>
        <w:rPr>
          <w:rFonts w:ascii="Arial" w:eastAsia="Arial" w:hAnsi="Arial" w:cs="Arial"/>
          <w:color w:val="000000"/>
        </w:rPr>
        <w:t>Cytiva</w:t>
      </w:r>
      <w:proofErr w:type="spellEnd"/>
      <w:r>
        <w:rPr>
          <w:rFonts w:ascii="Arial" w:eastAsia="Arial" w:hAnsi="Arial" w:cs="Arial"/>
          <w:color w:val="000000"/>
        </w:rPr>
        <w:t>) at 4°C, followed by an additional 1 h incubation at room temperature. Proteins were collected using a gravity-flow elution column.</w:t>
      </w:r>
    </w:p>
    <w:p w14:paraId="3EA6F4FF" w14:textId="77777777" w:rsidR="006C7633" w:rsidRDefault="006C7633">
      <w:pPr>
        <w:spacing w:line="360" w:lineRule="auto"/>
        <w:ind w:firstLine="720"/>
        <w:jc w:val="both"/>
        <w:rPr>
          <w:rFonts w:ascii="Arial" w:eastAsia="Arial" w:hAnsi="Arial" w:cs="Arial"/>
          <w:color w:val="000000"/>
        </w:rPr>
      </w:pPr>
      <w:r>
        <w:rPr>
          <w:rFonts w:ascii="Arial" w:eastAsia="Arial" w:hAnsi="Arial" w:cs="Arial"/>
          <w:color w:val="000000"/>
        </w:rPr>
        <w:t>Full-length rat His</w:t>
      </w:r>
      <w:r>
        <w:rPr>
          <w:rFonts w:ascii="Arial" w:eastAsia="Arial" w:hAnsi="Arial" w:cs="Arial"/>
          <w:color w:val="000000"/>
          <w:vertAlign w:val="subscript"/>
        </w:rPr>
        <w:t>6</w:t>
      </w:r>
      <w:r>
        <w:rPr>
          <w:rFonts w:ascii="Arial" w:eastAsia="Arial" w:hAnsi="Arial" w:cs="Arial"/>
          <w:color w:val="000000"/>
        </w:rPr>
        <w:t xml:space="preserve">-SNAP25 was expressed from </w:t>
      </w:r>
      <w:r>
        <w:rPr>
          <w:rFonts w:ascii="Arial" w:eastAsia="Arial" w:hAnsi="Arial" w:cs="Arial"/>
        </w:rPr>
        <w:t>a</w:t>
      </w:r>
      <w:r>
        <w:rPr>
          <w:rFonts w:ascii="Arial" w:eastAsia="Arial" w:hAnsi="Arial" w:cs="Arial"/>
          <w:color w:val="000000"/>
        </w:rPr>
        <w:t xml:space="preserve"> pET28a vector</w:t>
      </w:r>
      <w:r>
        <w:rPr>
          <w:rFonts w:ascii="Arial" w:eastAsia="Arial" w:hAnsi="Arial" w:cs="Arial"/>
        </w:rPr>
        <w:t xml:space="preserve"> and</w:t>
      </w:r>
      <w:r>
        <w:rPr>
          <w:rFonts w:ascii="Arial" w:eastAsia="Arial" w:hAnsi="Arial" w:cs="Arial"/>
          <w:color w:val="000000"/>
        </w:rPr>
        <w:t xml:space="preserve"> p</w:t>
      </w:r>
      <w:r>
        <w:rPr>
          <w:rFonts w:ascii="Arial" w:eastAsia="Arial" w:hAnsi="Arial" w:cs="Arial"/>
        </w:rPr>
        <w:t>urified</w:t>
      </w:r>
      <w:r>
        <w:rPr>
          <w:rFonts w:ascii="Arial" w:eastAsia="Arial" w:hAnsi="Arial" w:cs="Arial"/>
          <w:color w:val="000000"/>
        </w:rPr>
        <w:t xml:space="preserve"> following the same protocol as described above, except that DDM was omitted from the breaking buffer, Triton X-100 was </w:t>
      </w:r>
      <w:r>
        <w:rPr>
          <w:rFonts w:ascii="Arial" w:eastAsia="Arial" w:hAnsi="Arial" w:cs="Arial"/>
        </w:rPr>
        <w:t>omitted</w:t>
      </w:r>
      <w:r>
        <w:rPr>
          <w:rFonts w:ascii="Arial" w:eastAsia="Arial" w:hAnsi="Arial" w:cs="Arial"/>
          <w:color w:val="000000"/>
        </w:rPr>
        <w:t xml:space="preserve"> from the PBSTI and PBST buffers, elution was performed using 500 mM imidazole, and imidazole was removed after purification using a desalting column (</w:t>
      </w:r>
      <w:proofErr w:type="spellStart"/>
      <w:r>
        <w:rPr>
          <w:rFonts w:ascii="Arial" w:eastAsia="Arial" w:hAnsi="Arial" w:cs="Arial"/>
          <w:color w:val="000000"/>
        </w:rPr>
        <w:t>Cytiva</w:t>
      </w:r>
      <w:proofErr w:type="spellEnd"/>
      <w:r>
        <w:rPr>
          <w:rFonts w:ascii="Arial" w:eastAsia="Arial" w:hAnsi="Arial" w:cs="Arial"/>
          <w:color w:val="000000"/>
        </w:rPr>
        <w:t>).</w:t>
      </w:r>
    </w:p>
    <w:p w14:paraId="2611AE69"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Elution fractions were analyzed by SDS-PAGE, and protein concentrations were determined using a </w:t>
      </w:r>
      <w:proofErr w:type="spellStart"/>
      <w:r>
        <w:rPr>
          <w:rFonts w:ascii="Arial" w:eastAsia="Arial" w:hAnsi="Arial" w:cs="Arial"/>
        </w:rPr>
        <w:t>BioDrop</w:t>
      </w:r>
      <w:proofErr w:type="spellEnd"/>
      <w:r>
        <w:rPr>
          <w:rFonts w:ascii="Arial" w:eastAsia="Arial" w:hAnsi="Arial" w:cs="Arial"/>
        </w:rPr>
        <w:t xml:space="preserve"> spectrophotometer and independently validated by Coomassie-stained </w:t>
      </w:r>
      <w:proofErr w:type="spellStart"/>
      <w:r>
        <w:rPr>
          <w:rFonts w:ascii="Arial" w:eastAsia="Arial" w:hAnsi="Arial" w:cs="Arial"/>
        </w:rPr>
        <w:t>NuPAGE</w:t>
      </w:r>
      <w:proofErr w:type="spellEnd"/>
      <w:r>
        <w:rPr>
          <w:rFonts w:ascii="Arial" w:eastAsia="Arial" w:hAnsi="Arial" w:cs="Arial"/>
        </w:rPr>
        <w:t xml:space="preserve"> </w:t>
      </w:r>
      <w:proofErr w:type="spellStart"/>
      <w:r>
        <w:rPr>
          <w:rFonts w:ascii="Arial" w:eastAsia="Arial" w:hAnsi="Arial" w:cs="Arial"/>
        </w:rPr>
        <w:t>Novex</w:t>
      </w:r>
      <w:proofErr w:type="spellEnd"/>
      <w:r>
        <w:rPr>
          <w:rFonts w:ascii="Arial" w:eastAsia="Arial" w:hAnsi="Arial" w:cs="Arial"/>
        </w:rPr>
        <w:t xml:space="preserve"> 4-12% Bis-Tris gels (</w:t>
      </w:r>
      <w:proofErr w:type="spellStart"/>
      <w:r>
        <w:rPr>
          <w:rFonts w:ascii="Arial" w:eastAsia="Arial" w:hAnsi="Arial" w:cs="Arial"/>
        </w:rPr>
        <w:t>ThermoFisher</w:t>
      </w:r>
      <w:proofErr w:type="spellEnd"/>
      <w:r>
        <w:rPr>
          <w:rFonts w:ascii="Arial" w:eastAsia="Arial" w:hAnsi="Arial" w:cs="Arial"/>
        </w:rPr>
        <w:t xml:space="preserve"> Scientific) using appropriate molecular weight standards (</w:t>
      </w:r>
      <w:r>
        <w:rPr>
          <w:rFonts w:ascii="Arial" w:eastAsia="Arial" w:hAnsi="Arial" w:cs="Arial"/>
          <w:i/>
          <w:iCs/>
        </w:rPr>
        <w:t>e.g.</w:t>
      </w:r>
      <w:r>
        <w:rPr>
          <w:rFonts w:ascii="Arial" w:eastAsia="Arial" w:hAnsi="Arial" w:cs="Arial"/>
        </w:rPr>
        <w:t>, ribonuclease A for VAMP2 and carbonic anhydrase for Stx1A and SNAP25). Purified proteins were aliquoted, flash-frozen in liquid nitrogen, and stored at -80°C until use.</w:t>
      </w:r>
    </w:p>
    <w:p w14:paraId="0F5CA879" w14:textId="77777777" w:rsidR="006C7633" w:rsidRDefault="006C7633">
      <w:pPr>
        <w:spacing w:line="360" w:lineRule="auto"/>
        <w:ind w:firstLine="720"/>
        <w:jc w:val="both"/>
        <w:rPr>
          <w:rFonts w:ascii="Arial" w:eastAsia="Arial" w:hAnsi="Arial" w:cs="Arial"/>
        </w:rPr>
      </w:pPr>
      <w:r>
        <w:rPr>
          <w:rFonts w:ascii="Arial" w:eastAsia="Arial" w:hAnsi="Arial" w:cs="Arial"/>
        </w:rPr>
        <w:t>Separately expressed Stx1A and His</w:t>
      </w:r>
      <w:r>
        <w:rPr>
          <w:rFonts w:ascii="Arial" w:eastAsia="Arial" w:hAnsi="Arial" w:cs="Arial"/>
          <w:vertAlign w:val="subscript"/>
        </w:rPr>
        <w:t>6</w:t>
      </w:r>
      <w:r>
        <w:rPr>
          <w:rFonts w:ascii="Arial" w:eastAsia="Arial" w:hAnsi="Arial" w:cs="Arial"/>
        </w:rPr>
        <w:t xml:space="preserve">-SNAP25 were incubated together on ice for 10 min to form the t-SNARE complex prior to reconstitution into liposomes. </w:t>
      </w:r>
    </w:p>
    <w:p w14:paraId="70B7D184" w14:textId="77777777" w:rsidR="006C7633" w:rsidRDefault="006C7633">
      <w:pPr>
        <w:spacing w:line="360" w:lineRule="auto"/>
        <w:jc w:val="both"/>
        <w:rPr>
          <w:rFonts w:ascii="Arial" w:eastAsia="Arial" w:hAnsi="Arial" w:cs="Arial"/>
          <w:color w:val="000000"/>
        </w:rPr>
      </w:pPr>
    </w:p>
    <w:p w14:paraId="56EDB18F" w14:textId="77777777" w:rsidR="006C7633" w:rsidRDefault="006C7633">
      <w:pPr>
        <w:spacing w:line="360" w:lineRule="auto"/>
        <w:jc w:val="both"/>
        <w:rPr>
          <w:rFonts w:ascii="Arial" w:eastAsia="Arial" w:hAnsi="Arial" w:cs="Arial"/>
          <w:color w:val="000000"/>
        </w:rPr>
      </w:pPr>
      <w:r>
        <w:rPr>
          <w:rFonts w:ascii="Arial" w:eastAsia="Arial" w:hAnsi="Arial" w:cs="Arial"/>
          <w:b/>
          <w:bCs/>
          <w:i/>
          <w:iCs/>
          <w:color w:val="000000"/>
        </w:rPr>
        <w:t>Cytosolic Domain of VAMP2 (CDV)</w:t>
      </w:r>
    </w:p>
    <w:p w14:paraId="77C1977C" w14:textId="77777777" w:rsidR="006C7633" w:rsidRDefault="006C7633">
      <w:pPr>
        <w:spacing w:line="360" w:lineRule="auto"/>
        <w:ind w:firstLine="720"/>
        <w:jc w:val="both"/>
        <w:rPr>
          <w:rFonts w:ascii="Arial" w:eastAsia="Arial" w:hAnsi="Arial" w:cs="Arial"/>
        </w:rPr>
      </w:pPr>
      <w:r>
        <w:rPr>
          <w:rFonts w:ascii="Arial" w:eastAsia="Arial" w:hAnsi="Arial" w:cs="Arial"/>
        </w:rPr>
        <w:t>The cytosolic domain of VAMP2 (CDV) carrying an N-terminal His</w:t>
      </w:r>
      <w:r>
        <w:rPr>
          <w:rFonts w:ascii="Arial" w:eastAsia="Arial" w:hAnsi="Arial" w:cs="Arial"/>
          <w:vertAlign w:val="subscript"/>
        </w:rPr>
        <w:t>6</w:t>
      </w:r>
      <w:r>
        <w:rPr>
          <w:rFonts w:ascii="Arial" w:eastAsia="Arial" w:hAnsi="Arial" w:cs="Arial"/>
        </w:rPr>
        <w:t xml:space="preserve"> tag was expressed from the plasmid pJM51 </w:t>
      </w:r>
      <w:hyperlink r:id="rId9">
        <w:r>
          <w:rPr>
            <w:rFonts w:ascii="Arial" w:eastAsia="Arial" w:hAnsi="Arial" w:cs="Arial"/>
          </w:rPr>
          <w:t>(3)</w:t>
        </w:r>
      </w:hyperlink>
      <w:r>
        <w:rPr>
          <w:rFonts w:ascii="Arial" w:eastAsia="Arial" w:hAnsi="Arial" w:cs="Arial"/>
        </w:rPr>
        <w:t>. Expression and purification were performed following the same protocol as described for the full-length mouse VAMP2-His</w:t>
      </w:r>
      <w:r>
        <w:rPr>
          <w:rFonts w:ascii="Arial" w:eastAsia="Arial" w:hAnsi="Arial" w:cs="Arial"/>
          <w:vertAlign w:val="subscript"/>
        </w:rPr>
        <w:t>6</w:t>
      </w:r>
      <w:r>
        <w:rPr>
          <w:rFonts w:ascii="Arial" w:eastAsia="Arial" w:hAnsi="Arial" w:cs="Arial"/>
        </w:rPr>
        <w:t>, except that detergents were omitted from all buffers.</w:t>
      </w:r>
    </w:p>
    <w:p w14:paraId="58DD5666" w14:textId="77777777" w:rsidR="006C7633" w:rsidRDefault="006C7633">
      <w:pPr>
        <w:spacing w:line="360" w:lineRule="auto"/>
        <w:ind w:firstLine="720"/>
        <w:jc w:val="both"/>
        <w:rPr>
          <w:rFonts w:ascii="Arial" w:eastAsia="Arial" w:hAnsi="Arial" w:cs="Arial"/>
        </w:rPr>
      </w:pPr>
    </w:p>
    <w:p w14:paraId="3E4865B1"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t>Liposome reconstitution</w:t>
      </w:r>
    </w:p>
    <w:p w14:paraId="7A71FA95"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All steps involving chloroform were performed under a ventilated chemical hood. Due to the aggressive nature of this solvent, direct contact with plastic materials was strictly avoided. All glass tubes were thoroughly cleaned prior to use by sequential </w:t>
      </w:r>
      <w:r>
        <w:rPr>
          <w:rFonts w:ascii="Arial" w:eastAsia="Arial" w:hAnsi="Arial" w:cs="Arial"/>
        </w:rPr>
        <w:lastRenderedPageBreak/>
        <w:t>rinsing with ultrapure water, 20% (v/v) ethanol, 100% (v/v) ethanol, and chloroform (three times each).</w:t>
      </w:r>
    </w:p>
    <w:p w14:paraId="01A72AAE"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Liposomes composed of </w:t>
      </w:r>
      <w:proofErr w:type="gramStart"/>
      <w:r>
        <w:rPr>
          <w:rFonts w:ascii="Arial" w:eastAsia="Arial" w:hAnsi="Arial" w:cs="Arial"/>
        </w:rPr>
        <w:t>POPC:DOPS</w:t>
      </w:r>
      <w:proofErr w:type="gramEnd"/>
      <w:r>
        <w:rPr>
          <w:rFonts w:ascii="Arial" w:eastAsia="Arial" w:hAnsi="Arial" w:cs="Arial"/>
        </w:rPr>
        <w:t xml:space="preserve">:DOPE (65:10:25 mol%; final lipid concentration of 1 mM) were reconstituted by the detergent-assisted method, as previously described </w:t>
      </w:r>
      <w:hyperlink r:id="rId10">
        <w:r>
          <w:rPr>
            <w:rFonts w:ascii="Arial" w:eastAsia="Arial" w:hAnsi="Arial" w:cs="Arial"/>
          </w:rPr>
          <w:t>(4)</w:t>
        </w:r>
      </w:hyperlink>
      <w:r>
        <w:rPr>
          <w:rFonts w:ascii="Arial" w:eastAsia="Arial" w:hAnsi="Arial" w:cs="Arial"/>
        </w:rPr>
        <w:t>. For each reconstitution, two distinct liposome populations were generated: acceptor liposomes, which were non-fluorescent, and donor liposomes, which contained a fluorescence resonance energy transfer (FRET) lipid pair composed of NBD-PS or NBD-PE and Rho-PE.</w:t>
      </w:r>
    </w:p>
    <w:p w14:paraId="051D1521"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APs were incorporated at an AP-to-lipid molar ratio (AP/L) of 1/100 from a </w:t>
      </w:r>
      <w:proofErr w:type="spellStart"/>
      <w:proofErr w:type="gramStart"/>
      <w:r>
        <w:rPr>
          <w:rFonts w:ascii="Arial" w:eastAsia="Arial" w:hAnsi="Arial" w:cs="Arial"/>
        </w:rPr>
        <w:t>chloroform:methanol</w:t>
      </w:r>
      <w:proofErr w:type="spellEnd"/>
      <w:proofErr w:type="gramEnd"/>
      <w:r>
        <w:rPr>
          <w:rFonts w:ascii="Arial" w:eastAsia="Arial" w:hAnsi="Arial" w:cs="Arial"/>
        </w:rPr>
        <w:t xml:space="preserve"> (9:1, v/v) stock solution prior to lipid film formation. This AP/L ratio was selected to approximate membrane drug concentrations reached under chronic treatment conditions.</w:t>
      </w:r>
    </w:p>
    <w:p w14:paraId="47C04424"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The required amounts of individual lipids were carefully deposited on separate areas of a 13 x 100 mm round-bottom glass tube (Fisher Scientific) using Hamilton syringes (Hamilton Company, NV, USA). Lipid mixtures were dried under a gentle stream of argon gas and placed under vacuum for 2 h to ensure the complete removal of residual organic solvents. Dried lipid films were resuspended in buffer H supplemented with 1% (w/v) </w:t>
      </w:r>
      <w:r>
        <w:rPr>
          <w:rFonts w:ascii="Arial" w:eastAsia="Arial" w:hAnsi="Arial" w:cs="Arial"/>
          <w:i/>
          <w:iCs/>
        </w:rPr>
        <w:t>n</w:t>
      </w:r>
      <w:r>
        <w:rPr>
          <w:rFonts w:ascii="Arial" w:eastAsia="Arial" w:hAnsi="Arial" w:cs="Arial"/>
        </w:rPr>
        <w:t>-</w:t>
      </w:r>
      <w:proofErr w:type="gramStart"/>
      <w:r>
        <w:rPr>
          <w:rFonts w:ascii="Arial" w:eastAsia="Arial" w:hAnsi="Arial" w:cs="Arial"/>
        </w:rPr>
        <w:t>octyl-</w:t>
      </w:r>
      <w:r>
        <w:rPr>
          <w:rFonts w:ascii="Arial" w:eastAsia="Arial" w:hAnsi="Arial" w:cs="Arial"/>
          <w:i/>
          <w:iCs/>
        </w:rPr>
        <w:t>β</w:t>
      </w:r>
      <w:r>
        <w:rPr>
          <w:rFonts w:ascii="Arial" w:eastAsia="Arial" w:hAnsi="Arial" w:cs="Arial"/>
        </w:rPr>
        <w:t>-D</w:t>
      </w:r>
      <w:proofErr w:type="gramEnd"/>
      <w:r>
        <w:rPr>
          <w:rFonts w:ascii="Arial" w:eastAsia="Arial" w:hAnsi="Arial" w:cs="Arial"/>
        </w:rPr>
        <w:t>-glucopyranoside (</w:t>
      </w:r>
      <w:r>
        <w:rPr>
          <w:rFonts w:ascii="Arial" w:eastAsia="Arial" w:hAnsi="Arial" w:cs="Arial"/>
          <w:i/>
          <w:iCs/>
        </w:rPr>
        <w:t>β</w:t>
      </w:r>
      <w:r>
        <w:rPr>
          <w:rFonts w:ascii="Arial" w:eastAsia="Arial" w:hAnsi="Arial" w:cs="Arial"/>
        </w:rPr>
        <w:t xml:space="preserve">-OG) and incubated for 30 min at room temperature under vigorous </w:t>
      </w:r>
      <w:proofErr w:type="spellStart"/>
      <w:r>
        <w:rPr>
          <w:rFonts w:ascii="Arial" w:eastAsia="Arial" w:hAnsi="Arial" w:cs="Arial"/>
        </w:rPr>
        <w:t>vortexing</w:t>
      </w:r>
      <w:proofErr w:type="spellEnd"/>
      <w:r>
        <w:rPr>
          <w:rFonts w:ascii="Arial" w:eastAsia="Arial" w:hAnsi="Arial" w:cs="Arial"/>
        </w:rPr>
        <w:t xml:space="preserve"> to form lipid-detergent mixed micelles. Liposomes were generated by gradual detergent dilution below the critical micellar concentration through slow addition of buffer H, followed by complete detergent removal by overnight flow dialysis against 4 L of buffer H at 4°C using a micro-dialysis chamber. </w:t>
      </w:r>
    </w:p>
    <w:p w14:paraId="36030469" w14:textId="77777777" w:rsidR="006C7633" w:rsidRDefault="006C7633">
      <w:pPr>
        <w:spacing w:line="360" w:lineRule="auto"/>
        <w:ind w:firstLine="720"/>
        <w:jc w:val="both"/>
        <w:rPr>
          <w:rFonts w:ascii="Arial" w:eastAsia="Arial" w:hAnsi="Arial" w:cs="Arial"/>
        </w:rPr>
      </w:pPr>
      <w:r>
        <w:rPr>
          <w:rFonts w:ascii="Arial" w:eastAsia="Arial" w:hAnsi="Arial" w:cs="Arial"/>
        </w:rPr>
        <w:t>Freshly prepared liposomes were recovered from the micro-dialysis chamber, stored at 4°C, and used within three weeks.</w:t>
      </w:r>
    </w:p>
    <w:p w14:paraId="2CCCF6E1" w14:textId="77777777" w:rsidR="006C7633" w:rsidRDefault="006C7633">
      <w:pPr>
        <w:spacing w:line="360" w:lineRule="auto"/>
        <w:jc w:val="both"/>
        <w:rPr>
          <w:rFonts w:ascii="Arial" w:eastAsia="Arial" w:hAnsi="Arial" w:cs="Arial"/>
        </w:rPr>
      </w:pPr>
      <w:r>
        <w:rPr>
          <w:rFonts w:ascii="Arial" w:eastAsia="Arial" w:hAnsi="Arial" w:cs="Arial"/>
        </w:rPr>
        <w:t xml:space="preserve">          </w:t>
      </w:r>
    </w:p>
    <w:p w14:paraId="4E27DB32"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t>SNARE reconstitution into liposomes</w:t>
      </w:r>
    </w:p>
    <w:p w14:paraId="6A10F59D"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In all experiments, v-SNARE proteins were reconstituted with a donor lipid mix containing the FRET pair of fluorescent lipids NBD-PS (or NBD-PE) and Rho-PE. t-SNARE proteins were reconstituted with an acceptor lipid mix lacking fluorescent lipids. SNARE proteins were added during the resuspension of the lipid film with buffer H, supplemented with 1% (v/v) </w:t>
      </w:r>
      <w:r>
        <w:rPr>
          <w:rFonts w:ascii="Arial" w:eastAsia="Arial" w:hAnsi="Arial" w:cs="Arial"/>
          <w:i/>
          <w:iCs/>
        </w:rPr>
        <w:t>β</w:t>
      </w:r>
      <w:r>
        <w:rPr>
          <w:rFonts w:ascii="Arial" w:eastAsia="Arial" w:hAnsi="Arial" w:cs="Arial"/>
        </w:rPr>
        <w:t xml:space="preserve">-OG and 1 mM dithiothreitol (DTT), at concentrations set to achieve the desired lipid-to-protein (L/P) ratio (i.e., L/P = 100 for VAMP2 and L/P = 200 for Stx1A/SNAP25 </w:t>
      </w:r>
      <w:hyperlink r:id="rId11">
        <w:r>
          <w:rPr>
            <w:rFonts w:ascii="Arial" w:eastAsia="Arial" w:hAnsi="Arial" w:cs="Arial"/>
          </w:rPr>
          <w:t>(5)</w:t>
        </w:r>
      </w:hyperlink>
      <w:r>
        <w:rPr>
          <w:rFonts w:ascii="Arial" w:eastAsia="Arial" w:hAnsi="Arial" w:cs="Arial"/>
        </w:rPr>
        <w:t xml:space="preserve">). Co-expressed t-SNARE proteins were added </w:t>
      </w:r>
      <w:r>
        <w:rPr>
          <w:rFonts w:ascii="Arial" w:eastAsia="Arial" w:hAnsi="Arial" w:cs="Arial"/>
        </w:rPr>
        <w:lastRenderedPageBreak/>
        <w:t xml:space="preserve">directly to the lipid film, while separately expressed t-SNARE proteins Stx1A and SNAP25, obtained from SUMO purification, were pre-mixed on ice for 10 min at </w:t>
      </w:r>
      <w:proofErr w:type="gramStart"/>
      <w:r>
        <w:rPr>
          <w:rFonts w:ascii="Arial" w:eastAsia="Arial" w:hAnsi="Arial" w:cs="Arial"/>
        </w:rPr>
        <w:t>the appropriate</w:t>
      </w:r>
      <w:proofErr w:type="gramEnd"/>
      <w:r>
        <w:rPr>
          <w:rFonts w:ascii="Arial" w:eastAsia="Arial" w:hAnsi="Arial" w:cs="Arial"/>
        </w:rPr>
        <w:t xml:space="preserve"> concentration before being applied to the lipid film. The mixture was then vigorously vortexed for 45 min to ensure even distribution of proteins across lipid/detergent/protein micelles, followed by dilution and dialysis as described above. The L/P ratios were determined after </w:t>
      </w:r>
      <w:proofErr w:type="spellStart"/>
      <w:r>
        <w:rPr>
          <w:rFonts w:ascii="Arial" w:eastAsia="Arial" w:hAnsi="Arial" w:cs="Arial"/>
        </w:rPr>
        <w:t>Nycodenz</w:t>
      </w:r>
      <w:proofErr w:type="spellEnd"/>
      <w:r>
        <w:rPr>
          <w:rFonts w:ascii="Arial" w:eastAsia="Arial" w:hAnsi="Arial" w:cs="Arial"/>
        </w:rPr>
        <w:t xml:space="preserve"> flotation gradient by Coomassie blue staining on SDS-PAGE gels.</w:t>
      </w:r>
    </w:p>
    <w:p w14:paraId="27AB69D2"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t xml:space="preserve"> </w:t>
      </w:r>
    </w:p>
    <w:p w14:paraId="76075256" w14:textId="77777777" w:rsidR="006C7633" w:rsidRDefault="006C7633">
      <w:pPr>
        <w:spacing w:line="360" w:lineRule="auto"/>
        <w:jc w:val="both"/>
        <w:rPr>
          <w:rFonts w:ascii="Arial" w:eastAsia="Arial" w:hAnsi="Arial" w:cs="Arial"/>
          <w:i/>
          <w:iCs/>
          <w:u w:val="single"/>
        </w:rPr>
      </w:pPr>
      <w:proofErr w:type="spellStart"/>
      <w:r>
        <w:rPr>
          <w:rFonts w:ascii="Arial" w:eastAsia="Arial" w:hAnsi="Arial" w:cs="Arial"/>
          <w:i/>
          <w:iCs/>
          <w:u w:val="single"/>
        </w:rPr>
        <w:t>Proteoliposome</w:t>
      </w:r>
      <w:proofErr w:type="spellEnd"/>
      <w:r>
        <w:rPr>
          <w:rFonts w:ascii="Arial" w:eastAsia="Arial" w:hAnsi="Arial" w:cs="Arial"/>
          <w:i/>
          <w:iCs/>
          <w:u w:val="single"/>
        </w:rPr>
        <w:t xml:space="preserve"> flotation assay</w:t>
      </w:r>
    </w:p>
    <w:p w14:paraId="11EE9E2A" w14:textId="77777777" w:rsidR="006C7633" w:rsidRDefault="006C7633">
      <w:pPr>
        <w:spacing w:line="360" w:lineRule="auto"/>
        <w:jc w:val="both"/>
        <w:rPr>
          <w:rFonts w:ascii="Arial" w:eastAsia="Arial" w:hAnsi="Arial" w:cs="Arial"/>
        </w:rPr>
      </w:pPr>
      <w:r>
        <w:rPr>
          <w:rFonts w:ascii="Arial" w:eastAsia="Arial" w:hAnsi="Arial" w:cs="Arial"/>
        </w:rPr>
        <w:tab/>
        <w:t xml:space="preserve">Flotation on a </w:t>
      </w:r>
      <w:proofErr w:type="spellStart"/>
      <w:r>
        <w:rPr>
          <w:rFonts w:ascii="Arial" w:eastAsia="Arial" w:hAnsi="Arial" w:cs="Arial"/>
        </w:rPr>
        <w:t>Nycodenz</w:t>
      </w:r>
      <w:proofErr w:type="spellEnd"/>
      <w:r>
        <w:rPr>
          <w:rFonts w:ascii="Arial" w:eastAsia="Arial" w:hAnsi="Arial" w:cs="Arial"/>
        </w:rPr>
        <w:t xml:space="preserve"> step gradient was used to purify and concentrate v- and t-SNARE proteoliposomes and to determine L/P ratios, which can influence fusion activity. A fresh 100</w:t>
      </w:r>
      <w:proofErr w:type="gramStart"/>
      <w:r>
        <w:rPr>
          <w:rFonts w:ascii="Arial" w:eastAsia="Arial" w:hAnsi="Arial" w:cs="Arial"/>
        </w:rPr>
        <w:t>% (w/v)</w:t>
      </w:r>
      <w:proofErr w:type="gramEnd"/>
      <w:r>
        <w:rPr>
          <w:rFonts w:ascii="Arial" w:eastAsia="Arial" w:hAnsi="Arial" w:cs="Arial"/>
        </w:rPr>
        <w:t xml:space="preserve"> </w:t>
      </w:r>
      <w:proofErr w:type="spellStart"/>
      <w:r>
        <w:rPr>
          <w:rFonts w:ascii="Arial" w:eastAsia="Arial" w:hAnsi="Arial" w:cs="Arial"/>
        </w:rPr>
        <w:t>Nycodenz</w:t>
      </w:r>
      <w:proofErr w:type="spellEnd"/>
      <w:r>
        <w:rPr>
          <w:rFonts w:ascii="Arial" w:eastAsia="Arial" w:hAnsi="Arial" w:cs="Arial"/>
        </w:rPr>
        <w:t xml:space="preserve"> stock solution (</w:t>
      </w:r>
      <w:proofErr w:type="spellStart"/>
      <w:r>
        <w:rPr>
          <w:rFonts w:ascii="Arial" w:eastAsia="Arial" w:hAnsi="Arial" w:cs="Arial"/>
        </w:rPr>
        <w:t>Proteogenix</w:t>
      </w:r>
      <w:proofErr w:type="spellEnd"/>
      <w:r>
        <w:rPr>
          <w:rFonts w:ascii="Arial" w:eastAsia="Arial" w:hAnsi="Arial" w:cs="Arial"/>
        </w:rPr>
        <w:t>) was prepared prior to each experiment. </w:t>
      </w:r>
    </w:p>
    <w:p w14:paraId="0A365A8C"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For t-SNARE acceptor proteoliposomes, 500 µL of dialyzed proteoliposomes were mixed with 1 mL of buffer H/DTT (buffer H supplemented with 1 mM DTT) and 1.5 mL of 80% (w/v) </w:t>
      </w:r>
      <w:proofErr w:type="spellStart"/>
      <w:r>
        <w:rPr>
          <w:rFonts w:ascii="Arial" w:eastAsia="Arial" w:hAnsi="Arial" w:cs="Arial"/>
        </w:rPr>
        <w:t>Nycodenz</w:t>
      </w:r>
      <w:proofErr w:type="spellEnd"/>
      <w:r>
        <w:rPr>
          <w:rFonts w:ascii="Arial" w:eastAsia="Arial" w:hAnsi="Arial" w:cs="Arial"/>
        </w:rPr>
        <w:t xml:space="preserve"> in buffer H/DTT in an ultra-clear centrifuge tube (13 × 51 mm, Beckman Coulter), previously washed with ultrapure water and buffer H/DTT, to generate a 40% (w/v) </w:t>
      </w:r>
      <w:proofErr w:type="spellStart"/>
      <w:r>
        <w:rPr>
          <w:rFonts w:ascii="Arial" w:eastAsia="Arial" w:hAnsi="Arial" w:cs="Arial"/>
        </w:rPr>
        <w:t>Nycodenz</w:t>
      </w:r>
      <w:proofErr w:type="spellEnd"/>
      <w:r>
        <w:rPr>
          <w:rFonts w:ascii="Arial" w:eastAsia="Arial" w:hAnsi="Arial" w:cs="Arial"/>
        </w:rPr>
        <w:t xml:space="preserve"> bottom layer. This layer was then overlaid with 1.5 mL of 30% (w/v) </w:t>
      </w:r>
      <w:proofErr w:type="spellStart"/>
      <w:r>
        <w:rPr>
          <w:rFonts w:ascii="Arial" w:eastAsia="Arial" w:hAnsi="Arial" w:cs="Arial"/>
        </w:rPr>
        <w:t>Nycodenz</w:t>
      </w:r>
      <w:proofErr w:type="spellEnd"/>
      <w:r>
        <w:rPr>
          <w:rFonts w:ascii="Arial" w:eastAsia="Arial" w:hAnsi="Arial" w:cs="Arial"/>
        </w:rPr>
        <w:t xml:space="preserve"> in buffer H/DTT, followed by 250 µL of buffer H/DTT (0% </w:t>
      </w:r>
      <w:proofErr w:type="spellStart"/>
      <w:r>
        <w:rPr>
          <w:rFonts w:ascii="Arial" w:eastAsia="Arial" w:hAnsi="Arial" w:cs="Arial"/>
        </w:rPr>
        <w:t>Nycodenz</w:t>
      </w:r>
      <w:proofErr w:type="spellEnd"/>
      <w:r>
        <w:rPr>
          <w:rFonts w:ascii="Arial" w:eastAsia="Arial" w:hAnsi="Arial" w:cs="Arial"/>
        </w:rPr>
        <w:t xml:space="preserve"> layer). Due to the limited volume of reconstituted v-SNARE donor proteoliposomes (typically 300 µL), flotation was performed in small ultra-clear centrifuge tubes (5 × 41 mm, Beckman Coulter). Briefly, 150 µL of v-SNARE proteoliposomes were mixed with 150 µL of 80% (w/v) </w:t>
      </w:r>
      <w:proofErr w:type="spellStart"/>
      <w:r>
        <w:rPr>
          <w:rFonts w:ascii="Arial" w:eastAsia="Arial" w:hAnsi="Arial" w:cs="Arial"/>
        </w:rPr>
        <w:t>Nycodenz</w:t>
      </w:r>
      <w:proofErr w:type="spellEnd"/>
      <w:r>
        <w:rPr>
          <w:rFonts w:ascii="Arial" w:eastAsia="Arial" w:hAnsi="Arial" w:cs="Arial"/>
        </w:rPr>
        <w:t xml:space="preserve"> in buffer H/DTT in 0.5 mL Eppendorf tubes and then transferred into centrifuge tubes. Gradients were completed by layering 250 µL of 30% (w/v) </w:t>
      </w:r>
      <w:proofErr w:type="spellStart"/>
      <w:r>
        <w:rPr>
          <w:rFonts w:ascii="Arial" w:eastAsia="Arial" w:hAnsi="Arial" w:cs="Arial"/>
        </w:rPr>
        <w:t>Nycodenz</w:t>
      </w:r>
      <w:proofErr w:type="spellEnd"/>
      <w:r>
        <w:rPr>
          <w:rFonts w:ascii="Arial" w:eastAsia="Arial" w:hAnsi="Arial" w:cs="Arial"/>
        </w:rPr>
        <w:t xml:space="preserve"> in buffer H/DTT on top of the 40% layer, followed by 50 µL of buffer H/DTT.</w:t>
      </w:r>
    </w:p>
    <w:p w14:paraId="623C638E"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Prepared </w:t>
      </w:r>
      <w:proofErr w:type="spellStart"/>
      <w:r>
        <w:rPr>
          <w:rFonts w:ascii="Arial" w:eastAsia="Arial" w:hAnsi="Arial" w:cs="Arial"/>
        </w:rPr>
        <w:t>Nycodenz</w:t>
      </w:r>
      <w:proofErr w:type="spellEnd"/>
      <w:r>
        <w:rPr>
          <w:rFonts w:ascii="Arial" w:eastAsia="Arial" w:hAnsi="Arial" w:cs="Arial"/>
        </w:rPr>
        <w:t xml:space="preserve"> gradients containing t- and v-SNARE proteoliposomes were centrifuged at 45,000 rpm for 4 h at 4°C in an Optima XPN-80 ultracentrifuge (Beckman Coulter) equipped with an SW55 Ti rotor (Beckman Coulter). Following centrifugation, buoyant proteoliposomes were concentrated at the 0/30% </w:t>
      </w:r>
      <w:proofErr w:type="spellStart"/>
      <w:r>
        <w:rPr>
          <w:rFonts w:ascii="Arial" w:eastAsia="Arial" w:hAnsi="Arial" w:cs="Arial"/>
        </w:rPr>
        <w:t>Nycodenz</w:t>
      </w:r>
      <w:proofErr w:type="spellEnd"/>
      <w:r>
        <w:rPr>
          <w:rFonts w:ascii="Arial" w:eastAsia="Arial" w:hAnsi="Arial" w:cs="Arial"/>
        </w:rPr>
        <w:t xml:space="preserve"> interface. For v-SNARE liposomes, 75 µL were carefully collected from this interface, whereas 250 µL were harvested for t-SNARE proteoliposomes. Recovered proteoliposomes were stored at 4°C protected from light for up to three weeks.</w:t>
      </w:r>
    </w:p>
    <w:p w14:paraId="41C42F5A" w14:textId="77777777" w:rsidR="006C7633" w:rsidRDefault="006C7633">
      <w:pPr>
        <w:spacing w:line="360" w:lineRule="auto"/>
        <w:jc w:val="both"/>
        <w:rPr>
          <w:rFonts w:ascii="Arial" w:eastAsia="Arial" w:hAnsi="Arial" w:cs="Arial"/>
        </w:rPr>
      </w:pPr>
    </w:p>
    <w:p w14:paraId="1E5977B3"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lastRenderedPageBreak/>
        <w:t>Multi-Angle Dynamic Light Scattering (MADLS)</w:t>
      </w:r>
    </w:p>
    <w:p w14:paraId="6951C5FF"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The size distribution of liposomes was determined by Multi-Angle Dynamic Light Scattering (MADLS) with the </w:t>
      </w:r>
      <w:proofErr w:type="spellStart"/>
      <w:r>
        <w:rPr>
          <w:rFonts w:ascii="Arial" w:eastAsia="Arial" w:hAnsi="Arial" w:cs="Arial"/>
        </w:rPr>
        <w:t>Zetasizer</w:t>
      </w:r>
      <w:proofErr w:type="spellEnd"/>
      <w:r>
        <w:rPr>
          <w:rFonts w:ascii="Arial" w:eastAsia="Arial" w:hAnsi="Arial" w:cs="Arial"/>
        </w:rPr>
        <w:t xml:space="preserve"> Ultra Red device (Malvern </w:t>
      </w:r>
      <w:proofErr w:type="spellStart"/>
      <w:r>
        <w:rPr>
          <w:rFonts w:ascii="Arial" w:eastAsia="Arial" w:hAnsi="Arial" w:cs="Arial"/>
        </w:rPr>
        <w:t>Panalytical</w:t>
      </w:r>
      <w:proofErr w:type="spellEnd"/>
      <w:r>
        <w:rPr>
          <w:rFonts w:ascii="Arial" w:eastAsia="Arial" w:hAnsi="Arial" w:cs="Arial"/>
        </w:rPr>
        <w:t xml:space="preserve">, Worcestershire, UK). Each sample was diluted </w:t>
      </w:r>
      <w:proofErr w:type="gramStart"/>
      <w:r>
        <w:rPr>
          <w:rFonts w:ascii="Arial" w:eastAsia="Arial" w:hAnsi="Arial" w:cs="Arial"/>
        </w:rPr>
        <w:t>in order to</w:t>
      </w:r>
      <w:proofErr w:type="gramEnd"/>
      <w:r>
        <w:rPr>
          <w:rFonts w:ascii="Arial" w:eastAsia="Arial" w:hAnsi="Arial" w:cs="Arial"/>
        </w:rPr>
        <w:t xml:space="preserve"> have a final concentration within the detection range of the instrument: 5 µL of liposomes at 1 mM were diluted by adding 95 µL of buffer H and placed in a quartz cuvette (ZEN2112, Malvern </w:t>
      </w:r>
      <w:proofErr w:type="spellStart"/>
      <w:r>
        <w:rPr>
          <w:rFonts w:ascii="Arial" w:eastAsia="Arial" w:hAnsi="Arial" w:cs="Arial"/>
        </w:rPr>
        <w:t>Panalytical</w:t>
      </w:r>
      <w:proofErr w:type="spellEnd"/>
      <w:r>
        <w:rPr>
          <w:rFonts w:ascii="Arial" w:eastAsia="Arial" w:hAnsi="Arial" w:cs="Arial"/>
        </w:rPr>
        <w:t>) at 22°C. The average size distribution was obtained by measuring the correlation function in three scattering directions: back scatter (173°), side scatter (90°), and forward scatter (13°).</w:t>
      </w:r>
    </w:p>
    <w:p w14:paraId="0125BBC8" w14:textId="77777777" w:rsidR="006C7633" w:rsidRDefault="006C7633">
      <w:pPr>
        <w:spacing w:line="360" w:lineRule="auto"/>
        <w:jc w:val="both"/>
        <w:rPr>
          <w:rFonts w:ascii="Arial" w:eastAsia="Arial" w:hAnsi="Arial" w:cs="Arial"/>
        </w:rPr>
      </w:pPr>
    </w:p>
    <w:p w14:paraId="1FA1899A" w14:textId="77777777" w:rsidR="006C7633" w:rsidRDefault="006C7633">
      <w:pPr>
        <w:spacing w:line="360" w:lineRule="auto"/>
        <w:jc w:val="both"/>
        <w:rPr>
          <w:rFonts w:ascii="Arial" w:eastAsia="Arial" w:hAnsi="Arial" w:cs="Arial"/>
        </w:rPr>
      </w:pPr>
      <w:r>
        <w:rPr>
          <w:rFonts w:ascii="Arial" w:eastAsia="Arial" w:hAnsi="Arial" w:cs="Arial"/>
          <w:i/>
          <w:iCs/>
          <w:u w:val="single"/>
        </w:rPr>
        <w:t>FRET-based lipid mixing assays</w:t>
      </w:r>
    </w:p>
    <w:p w14:paraId="1328974A" w14:textId="77777777" w:rsidR="006C7633" w:rsidRDefault="006C7633">
      <w:pPr>
        <w:spacing w:line="360" w:lineRule="auto"/>
        <w:ind w:firstLine="720"/>
        <w:jc w:val="both"/>
        <w:rPr>
          <w:rFonts w:ascii="Arial" w:eastAsia="Arial" w:hAnsi="Arial" w:cs="Arial"/>
        </w:rPr>
      </w:pPr>
      <w:r>
        <w:rPr>
          <w:rFonts w:ascii="Arial" w:eastAsia="Arial" w:hAnsi="Arial" w:cs="Arial"/>
        </w:rPr>
        <w:t>For each assay involving proteoliposomes, 45 µL of non-fluorescent t-SNARE proteoliposomes (1 mM total lipid) were added to the bottom of a flat 96-well plate (</w:t>
      </w:r>
      <w:proofErr w:type="spellStart"/>
      <w:r>
        <w:rPr>
          <w:rFonts w:ascii="Arial" w:eastAsia="Arial" w:hAnsi="Arial" w:cs="Arial"/>
        </w:rPr>
        <w:t>ThermoFisher</w:t>
      </w:r>
      <w:proofErr w:type="spellEnd"/>
      <w:r>
        <w:rPr>
          <w:rFonts w:ascii="Arial" w:eastAsia="Arial" w:hAnsi="Arial" w:cs="Arial"/>
        </w:rPr>
        <w:t xml:space="preserve"> Scientific, Waltham, MA, USA) and pre-incubated at 37°C for 7 min in a </w:t>
      </w:r>
      <w:proofErr w:type="spellStart"/>
      <w:r>
        <w:rPr>
          <w:rFonts w:ascii="Arial" w:eastAsia="Arial" w:hAnsi="Arial" w:cs="Arial"/>
        </w:rPr>
        <w:t>SpectraMax</w:t>
      </w:r>
      <w:proofErr w:type="spellEnd"/>
      <w:r>
        <w:rPr>
          <w:rFonts w:ascii="Arial" w:eastAsia="Arial" w:hAnsi="Arial" w:cs="Arial"/>
        </w:rPr>
        <w:t xml:space="preserve"> M5 microplate reader (Molecular Devices, San Jose, CA, USA). Fusion was initiated by adding 5 µL of fluorescent v-SNARE proteoliposomes (1 mM total lipid) to the side of the well, followed by rapid and gentle shaking to ensure synchronous mixing across wells. </w:t>
      </w:r>
    </w:p>
    <w:p w14:paraId="1740B5A9"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Lipid mixing was monitored by measuring NBD fluorescence dequenching, reflecting the dilution of the donor fluorescent lipids into the acceptor membrane, at 37°C for 90 min with one read per min (excitation at 460 nm, emission at 535 nm; automatic cutoff, low gain). Fusion kinetics were recorded in real time using SoftMax Pro software (v6.3, Molecular Devices). After 90 min, 10 µL of 2.5% (w/v) </w:t>
      </w:r>
      <w:r>
        <w:rPr>
          <w:rFonts w:ascii="Arial" w:eastAsia="Arial" w:hAnsi="Arial" w:cs="Arial"/>
          <w:i/>
          <w:iCs/>
        </w:rPr>
        <w:t>n</w:t>
      </w:r>
      <w:r>
        <w:rPr>
          <w:rFonts w:ascii="Arial" w:eastAsia="Arial" w:hAnsi="Arial" w:cs="Arial"/>
        </w:rPr>
        <w:t>-</w:t>
      </w:r>
      <w:proofErr w:type="gramStart"/>
      <w:r>
        <w:rPr>
          <w:rFonts w:ascii="Arial" w:eastAsia="Arial" w:hAnsi="Arial" w:cs="Arial"/>
        </w:rPr>
        <w:t>dodecyl-</w:t>
      </w:r>
      <w:r>
        <w:rPr>
          <w:rFonts w:ascii="Arial" w:eastAsia="Arial" w:hAnsi="Arial" w:cs="Arial"/>
          <w:i/>
          <w:iCs/>
        </w:rPr>
        <w:t>β</w:t>
      </w:r>
      <w:r>
        <w:rPr>
          <w:rFonts w:ascii="Arial" w:eastAsia="Arial" w:hAnsi="Arial" w:cs="Arial"/>
        </w:rPr>
        <w:t>-D</w:t>
      </w:r>
      <w:proofErr w:type="gramEnd"/>
      <w:r>
        <w:rPr>
          <w:rFonts w:ascii="Arial" w:eastAsia="Arial" w:hAnsi="Arial" w:cs="Arial"/>
        </w:rPr>
        <w:t>-</w:t>
      </w:r>
      <w:proofErr w:type="spellStart"/>
      <w:r>
        <w:rPr>
          <w:rFonts w:ascii="Arial" w:eastAsia="Arial" w:hAnsi="Arial" w:cs="Arial"/>
        </w:rPr>
        <w:t>maltoside</w:t>
      </w:r>
      <w:proofErr w:type="spellEnd"/>
      <w:r>
        <w:rPr>
          <w:rFonts w:ascii="Arial" w:eastAsia="Arial" w:hAnsi="Arial" w:cs="Arial"/>
        </w:rPr>
        <w:t xml:space="preserve"> (DDM) was added to fully solubilize the liposomes and determine the maximal NBD fluorescence at infinite dilution, </w:t>
      </w:r>
      <w:proofErr w:type="gramStart"/>
      <w:r>
        <w:rPr>
          <w:rFonts w:ascii="Arial" w:eastAsia="Arial" w:hAnsi="Arial" w:cs="Arial"/>
        </w:rPr>
        <w:t>F</w:t>
      </w:r>
      <w:r>
        <w:rPr>
          <w:rFonts w:ascii="Arial" w:eastAsia="Arial" w:hAnsi="Arial" w:cs="Arial"/>
          <w:vertAlign w:val="subscript"/>
        </w:rPr>
        <w:t>max</w:t>
      </w:r>
      <w:r>
        <w:rPr>
          <w:rFonts w:ascii="Arial" w:eastAsia="Arial" w:hAnsi="Arial" w:cs="Arial"/>
        </w:rPr>
        <w:t>(</w:t>
      </w:r>
      <w:proofErr w:type="gramEnd"/>
      <w:r>
        <w:rPr>
          <w:rFonts w:ascii="Arial" w:eastAsia="Arial" w:hAnsi="Arial" w:cs="Arial"/>
        </w:rPr>
        <w:t xml:space="preserve">NBD). Lipid mixing was expressed as a percentage of maximal fluorescence according to: </w:t>
      </w:r>
    </w:p>
    <w:p w14:paraId="2885BFF8" w14:textId="246F3640" w:rsidR="006C7633" w:rsidRDefault="00062ECC">
      <w:pPr>
        <w:spacing w:before="240" w:after="240" w:line="360" w:lineRule="auto"/>
        <w:jc w:val="center"/>
        <w:rPr>
          <w:rFonts w:ascii="Arial" w:eastAsia="Arial" w:hAnsi="Arial" w:cs="Arial"/>
        </w:rPr>
      </w:pPr>
      <w:r w:rsidRPr="00062ECC">
        <w:rPr>
          <w:noProof/>
        </w:rPr>
        <w:drawing>
          <wp:inline distT="0" distB="0" distL="0" distR="0" wp14:anchorId="5E9C27D1" wp14:editId="60833403">
            <wp:extent cx="5731510" cy="174625"/>
            <wp:effectExtent l="0" t="0" r="0" b="0"/>
            <wp:docPr id="8474898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74625"/>
                    </a:xfrm>
                    <a:prstGeom prst="rect">
                      <a:avLst/>
                    </a:prstGeom>
                    <a:noFill/>
                    <a:ln>
                      <a:noFill/>
                    </a:ln>
                  </pic:spPr>
                </pic:pic>
              </a:graphicData>
            </a:graphic>
          </wp:inline>
        </w:drawing>
      </w:r>
    </w:p>
    <w:p w14:paraId="2E224554" w14:textId="77777777" w:rsidR="006C7633" w:rsidRDefault="006C7633">
      <w:pPr>
        <w:spacing w:line="360" w:lineRule="auto"/>
        <w:jc w:val="both"/>
        <w:rPr>
          <w:rFonts w:ascii="Arial" w:eastAsia="Arial" w:hAnsi="Arial" w:cs="Arial"/>
        </w:rPr>
      </w:pPr>
      <w:r>
        <w:rPr>
          <w:rFonts w:ascii="Arial" w:eastAsia="Arial" w:hAnsi="Arial" w:cs="Arial"/>
        </w:rPr>
        <w:t xml:space="preserve">where </w:t>
      </w:r>
      <w:proofErr w:type="spellStart"/>
      <w:r>
        <w:rPr>
          <w:rFonts w:ascii="Arial" w:eastAsia="Arial" w:hAnsi="Arial" w:cs="Arial"/>
        </w:rPr>
        <w:t>F</w:t>
      </w:r>
      <w:r>
        <w:rPr>
          <w:rFonts w:ascii="Arial" w:eastAsia="Arial" w:hAnsi="Arial" w:cs="Arial"/>
          <w:vertAlign w:val="subscript"/>
        </w:rPr>
        <w:t>min</w:t>
      </w:r>
      <w:proofErr w:type="spellEnd"/>
      <w:r>
        <w:rPr>
          <w:rFonts w:ascii="Arial" w:eastAsia="Arial" w:hAnsi="Arial" w:cs="Arial"/>
        </w:rPr>
        <w:t xml:space="preserve"> corresponds to the minimum NBD fluorescence measured during the first 30 min of acquisition, and F</w:t>
      </w:r>
      <w:r>
        <w:rPr>
          <w:rFonts w:ascii="Arial" w:eastAsia="Arial" w:hAnsi="Arial" w:cs="Arial"/>
          <w:vertAlign w:val="subscript"/>
        </w:rPr>
        <w:t>max</w:t>
      </w:r>
      <w:r>
        <w:rPr>
          <w:rFonts w:ascii="Arial" w:eastAsia="Arial" w:hAnsi="Arial" w:cs="Arial"/>
        </w:rPr>
        <w:t xml:space="preserve"> represents the mean fluorescence of the final 10 data points following detergent solubilization.</w:t>
      </w:r>
    </w:p>
    <w:p w14:paraId="73CA7A7F" w14:textId="77777777" w:rsidR="006C7633" w:rsidRDefault="006C7633">
      <w:pPr>
        <w:spacing w:line="360" w:lineRule="auto"/>
        <w:ind w:firstLine="720"/>
        <w:jc w:val="both"/>
        <w:rPr>
          <w:rFonts w:ascii="Arial" w:eastAsia="Arial" w:hAnsi="Arial" w:cs="Arial"/>
        </w:rPr>
      </w:pPr>
      <w:r>
        <w:rPr>
          <w:rFonts w:ascii="Arial" w:eastAsia="Arial" w:hAnsi="Arial" w:cs="Arial"/>
        </w:rPr>
        <w:t>Lipid mixing assays with protein-free</w:t>
      </w:r>
      <w:r>
        <w:rPr>
          <w:rFonts w:ascii="Arial" w:eastAsia="Arial" w:hAnsi="Arial" w:cs="Arial"/>
          <w:i/>
          <w:iCs/>
        </w:rPr>
        <w:t xml:space="preserve"> </w:t>
      </w:r>
      <w:r>
        <w:rPr>
          <w:rFonts w:ascii="Arial" w:eastAsia="Arial" w:hAnsi="Arial" w:cs="Arial"/>
        </w:rPr>
        <w:t xml:space="preserve">liposomes were performed similarly, except that fusion was triggered by the addition of 50 µL of pre-warmed 10% (w/v) </w:t>
      </w:r>
      <w:r>
        <w:rPr>
          <w:rFonts w:ascii="Arial" w:eastAsia="Arial" w:hAnsi="Arial" w:cs="Arial"/>
        </w:rPr>
        <w:lastRenderedPageBreak/>
        <w:t>PEG 8000 (Sigma-Aldrich) instead of SNARE proteins. In this case, 45 µL of acceptor liposomes were pre-warmed at 37°C, followed by the addition of 5 µL of donor liposomes and immediate PEG addition. Fusion kinetics were recorded under identical conditions at a final lipid concentration of 500 µM.</w:t>
      </w:r>
    </w:p>
    <w:p w14:paraId="39CA4D91"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t xml:space="preserve"> </w:t>
      </w:r>
    </w:p>
    <w:p w14:paraId="210E7371" w14:textId="77777777" w:rsidR="006C7633" w:rsidRDefault="006C7633">
      <w:pPr>
        <w:spacing w:line="360" w:lineRule="auto"/>
        <w:jc w:val="both"/>
        <w:rPr>
          <w:rFonts w:ascii="Arial" w:eastAsia="Arial" w:hAnsi="Arial" w:cs="Arial"/>
          <w:u w:val="single"/>
        </w:rPr>
      </w:pPr>
      <w:r>
        <w:rPr>
          <w:rFonts w:ascii="Arial" w:eastAsia="Arial" w:hAnsi="Arial" w:cs="Arial"/>
          <w:i/>
          <w:iCs/>
          <w:u w:val="single"/>
        </w:rPr>
        <w:t>Partition coefficient and membrane fraction of AP drugs within lipid bilayers</w:t>
      </w:r>
    </w:p>
    <w:p w14:paraId="426F7FA1"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The partition coefficients and membrane-bound fractions of CPZ, CLOZ, and AMI were determined using second-derivative analysis of absorption spectra, as described previously </w:t>
      </w:r>
      <w:hyperlink r:id="rId13">
        <w:r>
          <w:rPr>
            <w:rFonts w:ascii="Arial" w:eastAsia="Arial" w:hAnsi="Arial" w:cs="Arial"/>
          </w:rPr>
          <w:t>(6)</w:t>
        </w:r>
      </w:hyperlink>
      <w:r>
        <w:rPr>
          <w:rFonts w:ascii="Arial" w:eastAsia="Arial" w:hAnsi="Arial" w:cs="Arial"/>
        </w:rPr>
        <w:t xml:space="preserve">. Due to experimental constraints associated with this method (including the absorption of SNARE proteins at 280 nm that masks the AP signal, and the poor solubility of CLOZ in buffer H), APs were added from a solution in buffer H supplemented with DMSO after liposome formation, rather than during the preparation of the initial lipid mixture in organic solvent, and only protein-free liposomes were used. Adding APs to </w:t>
      </w:r>
      <w:proofErr w:type="gramStart"/>
      <w:r>
        <w:rPr>
          <w:rFonts w:ascii="Arial" w:eastAsia="Arial" w:hAnsi="Arial" w:cs="Arial"/>
        </w:rPr>
        <w:t>preformed</w:t>
      </w:r>
      <w:proofErr w:type="gramEnd"/>
      <w:r>
        <w:rPr>
          <w:rFonts w:ascii="Arial" w:eastAsia="Arial" w:hAnsi="Arial" w:cs="Arial"/>
        </w:rPr>
        <w:t xml:space="preserve"> liposomes also allowed us to work with a fixed and perfectly controlled AP concentration while progressively varying the lipid concentration.</w:t>
      </w:r>
    </w:p>
    <w:p w14:paraId="3214189E" w14:textId="4E047453" w:rsidR="006C7633" w:rsidRDefault="006C7633" w:rsidP="00137E40">
      <w:pPr>
        <w:spacing w:line="360" w:lineRule="auto"/>
        <w:ind w:firstLine="720"/>
        <w:jc w:val="both"/>
        <w:rPr>
          <w:rFonts w:ascii="Arial" w:eastAsia="Arial" w:hAnsi="Arial" w:cs="Arial"/>
        </w:rPr>
      </w:pPr>
      <w:r>
        <w:rPr>
          <w:rFonts w:ascii="Arial" w:eastAsia="Arial" w:hAnsi="Arial" w:cs="Arial"/>
        </w:rPr>
        <w:t xml:space="preserve">In short, preformed protein-free liposomes composed of PC:PS:PE (65:10:25 mol%) were diluted in buffer H to a series of total lipid concentrations ranging from 0 to 0.8 </w:t>
      </w:r>
      <w:proofErr w:type="spellStart"/>
      <w:r>
        <w:rPr>
          <w:rFonts w:ascii="Arial" w:eastAsia="Arial" w:hAnsi="Arial" w:cs="Arial"/>
        </w:rPr>
        <w:t>mM.</w:t>
      </w:r>
      <w:proofErr w:type="spellEnd"/>
      <w:r>
        <w:rPr>
          <w:rFonts w:ascii="Arial" w:eastAsia="Arial" w:hAnsi="Arial" w:cs="Arial"/>
        </w:rPr>
        <w:t xml:space="preserve"> APs were added to each liposome sample to achieve a final DMSO concentration of 1% (v/v) and a final AP final concentration of 30 µM (AP/L ratio = 1/33; unless otherwise indicated), which is higher than the ratio used in the fusion assays (10 µM AP; AP/L ratio = 1/100) due to the limiting signal of CLOZ at lower concentrations. Samples were incubated at 37°C for 30 min. Absorption spectra were recorded from 200 to 400 nm using a UV-visible microplate reader (</w:t>
      </w:r>
      <w:proofErr w:type="spellStart"/>
      <w:r>
        <w:rPr>
          <w:rFonts w:ascii="Arial" w:eastAsia="Arial" w:hAnsi="Arial" w:cs="Arial"/>
        </w:rPr>
        <w:t>SpectraMax</w:t>
      </w:r>
      <w:proofErr w:type="spellEnd"/>
      <w:r>
        <w:rPr>
          <w:rFonts w:ascii="Arial" w:eastAsia="Arial" w:hAnsi="Arial" w:cs="Arial"/>
        </w:rPr>
        <w:t xml:space="preserve"> M5e, Molecular Devices, San Jose, CA, USA), and spectra of AP-containing samples were blanked by subtraction of the corresponding liposome spectrum without AP. Second-derivative spectra were calculated using the </w:t>
      </w:r>
      <w:proofErr w:type="spellStart"/>
      <w:r>
        <w:rPr>
          <w:rFonts w:ascii="Arial" w:eastAsia="Arial" w:hAnsi="Arial" w:cs="Arial"/>
        </w:rPr>
        <w:t>Savitzky</w:t>
      </w:r>
      <w:proofErr w:type="spellEnd"/>
      <w:r>
        <w:rPr>
          <w:rFonts w:ascii="Arial" w:eastAsia="Arial" w:hAnsi="Arial" w:cs="Arial"/>
        </w:rPr>
        <w:t xml:space="preserve">-Golay algorithm </w:t>
      </w:r>
      <w:hyperlink r:id="rId14">
        <w:r>
          <w:rPr>
            <w:rFonts w:ascii="Arial" w:eastAsia="Arial" w:hAnsi="Arial" w:cs="Arial"/>
          </w:rPr>
          <w:t>(7)</w:t>
        </w:r>
      </w:hyperlink>
      <w:r>
        <w:rPr>
          <w:rFonts w:ascii="Arial" w:eastAsia="Arial" w:hAnsi="Arial" w:cs="Arial"/>
        </w:rPr>
        <w:t xml:space="preserve"> to minimize light-scattering artifacts </w:t>
      </w:r>
      <w:hyperlink r:id="rId15">
        <w:r>
          <w:rPr>
            <w:rFonts w:ascii="Arial" w:eastAsia="Arial" w:hAnsi="Arial" w:cs="Arial"/>
          </w:rPr>
          <w:t>(6,8–11)</w:t>
        </w:r>
      </w:hyperlink>
      <w:r>
        <w:rPr>
          <w:rFonts w:ascii="Arial" w:eastAsia="Arial" w:hAnsi="Arial" w:cs="Arial"/>
        </w:rPr>
        <w:t>, and well-defined derivative isosbestic points confirmed a two-state partitioning between aqueous and membrane phases. Changes in the second-derivative signal (</w:t>
      </w:r>
      <w:r>
        <w:rPr>
          <w:rFonts w:ascii="Arial" w:eastAsia="Arial" w:hAnsi="Arial" w:cs="Arial"/>
          <w:i/>
          <w:iCs/>
        </w:rPr>
        <w:t>ΔD</w:t>
      </w:r>
      <w:r>
        <w:rPr>
          <w:rFonts w:ascii="Arial" w:eastAsia="Arial" w:hAnsi="Arial" w:cs="Arial"/>
        </w:rPr>
        <w:t>) at the chosen absorption maximum were plotted as a function of lipid concentration and fitted by nonlinear least squares to extract the molar partition coefficient (</w:t>
      </w:r>
      <w:proofErr w:type="spellStart"/>
      <w:r>
        <w:rPr>
          <w:rFonts w:ascii="Arial" w:eastAsia="Arial" w:hAnsi="Arial" w:cs="Arial"/>
          <w:i/>
          <w:iCs/>
        </w:rPr>
        <w:t>Kp</w:t>
      </w:r>
      <w:proofErr w:type="spellEnd"/>
      <w:r>
        <w:rPr>
          <w:rFonts w:ascii="Arial" w:eastAsia="Arial" w:hAnsi="Arial" w:cs="Arial"/>
        </w:rPr>
        <w:t>) and the maximum derivative change (</w:t>
      </w:r>
      <w:proofErr w:type="spellStart"/>
      <w:r>
        <w:rPr>
          <w:rFonts w:ascii="Arial" w:eastAsia="Arial" w:hAnsi="Arial" w:cs="Arial"/>
          <w:i/>
          <w:iCs/>
        </w:rPr>
        <w:t>ΔD</w:t>
      </w:r>
      <w:r>
        <w:rPr>
          <w:rFonts w:ascii="Arial" w:eastAsia="Arial" w:hAnsi="Arial" w:cs="Arial"/>
          <w:i/>
          <w:iCs/>
          <w:vertAlign w:val="subscript"/>
        </w:rPr>
        <w:t>max</w:t>
      </w:r>
      <w:proofErr w:type="spellEnd"/>
      <w:r>
        <w:rPr>
          <w:rFonts w:ascii="Arial" w:eastAsia="Arial" w:hAnsi="Arial" w:cs="Arial"/>
          <w:i/>
          <w:iCs/>
        </w:rPr>
        <w:t>)</w:t>
      </w:r>
      <w:r>
        <w:rPr>
          <w:rFonts w:ascii="Arial" w:eastAsia="Arial" w:hAnsi="Arial" w:cs="Arial"/>
        </w:rPr>
        <w:t xml:space="preserve">, according to the following partitioning equation: </w:t>
      </w:r>
    </w:p>
    <w:p w14:paraId="48012F0E" w14:textId="331F2CBF" w:rsidR="006C7633" w:rsidRDefault="00137E40">
      <w:pPr>
        <w:spacing w:line="360" w:lineRule="auto"/>
        <w:ind w:left="1440" w:firstLine="720"/>
        <w:jc w:val="both"/>
        <w:rPr>
          <w:rFonts w:ascii="Arial" w:eastAsia="Arial" w:hAnsi="Arial" w:cs="Arial"/>
        </w:rPr>
      </w:pPr>
      <w:r w:rsidRPr="00137E40">
        <w:rPr>
          <w:noProof/>
        </w:rPr>
        <w:drawing>
          <wp:anchor distT="0" distB="0" distL="114300" distR="114300" simplePos="0" relativeHeight="251667456" behindDoc="1" locked="0" layoutInCell="1" allowOverlap="1" wp14:anchorId="32390489" wp14:editId="371A22F7">
            <wp:simplePos x="0" y="0"/>
            <wp:positionH relativeFrom="margin">
              <wp:align>right</wp:align>
            </wp:positionH>
            <wp:positionV relativeFrom="paragraph">
              <wp:posOffset>107315</wp:posOffset>
            </wp:positionV>
            <wp:extent cx="5731510" cy="182245"/>
            <wp:effectExtent l="0" t="0" r="0" b="8255"/>
            <wp:wrapNone/>
            <wp:docPr id="136412873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82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6F4C4" w14:textId="77777777" w:rsidR="006C7633" w:rsidRDefault="006C7633">
      <w:pPr>
        <w:spacing w:line="360" w:lineRule="auto"/>
        <w:jc w:val="both"/>
        <w:rPr>
          <w:rFonts w:ascii="Arial" w:eastAsia="Arial" w:hAnsi="Arial" w:cs="Arial"/>
        </w:rPr>
      </w:pPr>
    </w:p>
    <w:p w14:paraId="1E98E463" w14:textId="77777777" w:rsidR="006C7633" w:rsidRDefault="006C7633">
      <w:pPr>
        <w:spacing w:line="360" w:lineRule="auto"/>
        <w:jc w:val="both"/>
        <w:rPr>
          <w:rFonts w:ascii="Arial" w:eastAsia="Arial" w:hAnsi="Arial" w:cs="Arial"/>
        </w:rPr>
      </w:pPr>
      <w:r>
        <w:rPr>
          <w:rFonts w:ascii="Arial" w:eastAsia="Arial" w:hAnsi="Arial" w:cs="Arial"/>
        </w:rPr>
        <w:lastRenderedPageBreak/>
        <w:t>where [L] and [W] are the molar lipid and water concentrations, respectively, with [W] = 55.5 M</w:t>
      </w:r>
      <w:r>
        <w:rPr>
          <w:rFonts w:ascii="Arial" w:eastAsia="Arial" w:hAnsi="Arial" w:cs="Arial"/>
          <w:i/>
          <w:iCs/>
        </w:rPr>
        <w:t>.</w:t>
      </w:r>
      <w:r>
        <w:rPr>
          <w:rFonts w:ascii="Arial" w:eastAsia="Arial" w:hAnsi="Arial" w:cs="Arial"/>
        </w:rPr>
        <w:t xml:space="preserve"> The fraction of membrane-bound drug was then calculated as </w:t>
      </w:r>
      <w:r>
        <w:rPr>
          <w:rFonts w:ascii="Arial" w:eastAsia="Arial" w:hAnsi="Arial" w:cs="Arial"/>
          <w:i/>
          <w:iCs/>
        </w:rPr>
        <w:t>ΔD/</w:t>
      </w:r>
      <w:proofErr w:type="spellStart"/>
      <w:r>
        <w:rPr>
          <w:rFonts w:ascii="Arial" w:eastAsia="Arial" w:hAnsi="Arial" w:cs="Arial"/>
          <w:i/>
          <w:iCs/>
        </w:rPr>
        <w:t>ΔD</w:t>
      </w:r>
      <w:r>
        <w:rPr>
          <w:rFonts w:ascii="Arial" w:eastAsia="Arial" w:hAnsi="Arial" w:cs="Arial"/>
          <w:i/>
          <w:iCs/>
          <w:vertAlign w:val="subscript"/>
        </w:rPr>
        <w:t>max</w:t>
      </w:r>
      <w:proofErr w:type="spellEnd"/>
      <w:r>
        <w:rPr>
          <w:rFonts w:ascii="Arial" w:eastAsia="Arial" w:hAnsi="Arial" w:cs="Arial"/>
          <w:i/>
          <w:iCs/>
        </w:rPr>
        <w:t>.</w:t>
      </w:r>
    </w:p>
    <w:p w14:paraId="6A7E7411" w14:textId="77777777" w:rsidR="006C7633" w:rsidRDefault="006C7633">
      <w:pPr>
        <w:spacing w:line="360" w:lineRule="auto"/>
        <w:jc w:val="both"/>
        <w:rPr>
          <w:rFonts w:ascii="Arial" w:eastAsia="Arial" w:hAnsi="Arial" w:cs="Arial"/>
        </w:rPr>
      </w:pPr>
      <w:r>
        <w:rPr>
          <w:rFonts w:ascii="Arial" w:eastAsia="Arial" w:hAnsi="Arial" w:cs="Arial"/>
        </w:rPr>
        <w:t xml:space="preserve"> </w:t>
      </w:r>
    </w:p>
    <w:p w14:paraId="1037A2AB" w14:textId="77777777" w:rsidR="006C7633" w:rsidRDefault="006C7633">
      <w:pPr>
        <w:spacing w:line="360" w:lineRule="auto"/>
        <w:jc w:val="both"/>
        <w:rPr>
          <w:rFonts w:ascii="Arial" w:eastAsia="Arial" w:hAnsi="Arial" w:cs="Arial"/>
        </w:rPr>
      </w:pPr>
      <w:r>
        <w:rPr>
          <w:rFonts w:ascii="Arial" w:eastAsia="Arial" w:hAnsi="Arial" w:cs="Arial"/>
          <w:i/>
          <w:iCs/>
          <w:u w:val="single"/>
        </w:rPr>
        <w:t>Cell culture and transfection</w:t>
      </w:r>
      <w:r>
        <w:rPr>
          <w:rFonts w:ascii="Arial" w:eastAsia="Arial" w:hAnsi="Arial" w:cs="Arial"/>
        </w:rPr>
        <w:t xml:space="preserve">          </w:t>
      </w:r>
    </w:p>
    <w:p w14:paraId="41684294" w14:textId="7FA947C6" w:rsidR="006C7633" w:rsidRPr="00F73EBC" w:rsidRDefault="006C7633" w:rsidP="00F73EBC">
      <w:pPr>
        <w:spacing w:line="360" w:lineRule="auto"/>
        <w:ind w:firstLine="720"/>
        <w:jc w:val="both"/>
        <w:rPr>
          <w:rFonts w:ascii="Arial" w:eastAsia="Arial" w:hAnsi="Arial" w:cs="Arial"/>
        </w:rPr>
      </w:pPr>
      <w:r w:rsidRPr="004F7F03">
        <w:rPr>
          <w:rFonts w:ascii="Arial" w:eastAsia="Arial" w:hAnsi="Arial" w:cs="Arial"/>
        </w:rPr>
        <w:t xml:space="preserve">COS-7 (African green monkey kidney fibroblast-like) </w:t>
      </w:r>
      <w:r w:rsidR="0065007F" w:rsidRPr="004F7F03">
        <w:rPr>
          <w:rFonts w:ascii="Arial" w:eastAsia="Arial" w:hAnsi="Arial" w:cs="Arial"/>
        </w:rPr>
        <w:t xml:space="preserve">cells </w:t>
      </w:r>
      <w:r w:rsidRPr="004F7F03">
        <w:rPr>
          <w:rFonts w:ascii="Arial" w:eastAsia="Arial" w:hAnsi="Arial" w:cs="Arial"/>
        </w:rPr>
        <w:t xml:space="preserve">were cultured in DMEM supplemented with 10% (v/v) fetal bovine serum (FBS) at 37°C in a </w:t>
      </w:r>
      <w:r w:rsidR="0065007F" w:rsidRPr="004F7F03">
        <w:rPr>
          <w:rFonts w:ascii="Arial" w:eastAsia="Arial" w:hAnsi="Arial" w:cs="Arial"/>
        </w:rPr>
        <w:t xml:space="preserve">humidified atmosphere containing </w:t>
      </w:r>
      <w:r w:rsidRPr="004F7F03">
        <w:rPr>
          <w:rFonts w:ascii="Arial" w:eastAsia="Arial" w:hAnsi="Arial" w:cs="Arial"/>
        </w:rPr>
        <w:t>5% CO</w:t>
      </w:r>
      <w:r w:rsidRPr="004F7F03">
        <w:rPr>
          <w:rFonts w:ascii="Arial" w:eastAsia="Arial" w:hAnsi="Arial" w:cs="Arial"/>
          <w:vertAlign w:val="subscript"/>
        </w:rPr>
        <w:t>2</w:t>
      </w:r>
      <w:r w:rsidRPr="004F7F03">
        <w:rPr>
          <w:rFonts w:ascii="Arial" w:eastAsia="Arial Unicode MS" w:hAnsi="Arial" w:cs="Arial"/>
        </w:rPr>
        <w:t xml:space="preserve"> and passaged before reaching full confluence using 0.05% trypsin-EDTA. </w:t>
      </w:r>
      <w:r w:rsidR="0065007F" w:rsidRPr="004F7F03">
        <w:rPr>
          <w:rFonts w:ascii="Arial" w:eastAsia="Arial Unicode MS" w:hAnsi="Arial" w:cs="Arial"/>
        </w:rPr>
        <w:t>An</w:t>
      </w:r>
      <w:r w:rsidRPr="004F7F03">
        <w:rPr>
          <w:rFonts w:ascii="Arial" w:eastAsia="Arial Unicode MS" w:hAnsi="Arial" w:cs="Arial"/>
        </w:rPr>
        <w:t xml:space="preserve"> appropriate </w:t>
      </w:r>
      <w:r w:rsidR="0065007F" w:rsidRPr="004F7F03">
        <w:rPr>
          <w:rFonts w:ascii="Arial" w:eastAsia="Arial Unicode MS" w:hAnsi="Arial" w:cs="Arial"/>
        </w:rPr>
        <w:t>number</w:t>
      </w:r>
      <w:r w:rsidRPr="004F7F03">
        <w:rPr>
          <w:rFonts w:ascii="Arial" w:eastAsia="Arial Unicode MS" w:hAnsi="Arial" w:cs="Arial"/>
        </w:rPr>
        <w:t xml:space="preserve"> of COS-7 cells was </w:t>
      </w:r>
      <w:r w:rsidR="005D605E" w:rsidRPr="004F7F03">
        <w:rPr>
          <w:rFonts w:ascii="Arial" w:eastAsia="Arial Unicode MS" w:hAnsi="Arial" w:cs="Arial"/>
        </w:rPr>
        <w:t>seeded onto 12mm-diameter coverslips placed in 24-well plates</w:t>
      </w:r>
      <w:r w:rsidRPr="004F7F03">
        <w:rPr>
          <w:rFonts w:ascii="Arial" w:eastAsia="Arial Unicode MS" w:hAnsi="Arial" w:cs="Arial"/>
        </w:rPr>
        <w:t xml:space="preserve">. </w:t>
      </w:r>
      <w:r w:rsidR="0065007F" w:rsidRPr="004F7F03">
        <w:rPr>
          <w:rFonts w:ascii="Arial" w:eastAsia="Arial Unicode MS" w:hAnsi="Arial" w:cs="Arial"/>
        </w:rPr>
        <w:t>Following the manufacturer’s instructions, c</w:t>
      </w:r>
      <w:r w:rsidRPr="004F7F03">
        <w:rPr>
          <w:rFonts w:ascii="Arial" w:eastAsia="Arial Unicode MS" w:hAnsi="Arial" w:cs="Arial"/>
        </w:rPr>
        <w:t xml:space="preserve">ells were transfected </w:t>
      </w:r>
      <w:r w:rsidR="005D605E" w:rsidRPr="004F7F03">
        <w:rPr>
          <w:rFonts w:ascii="Arial" w:eastAsia="Arial Unicode MS" w:hAnsi="Arial" w:cs="Arial"/>
        </w:rPr>
        <w:t xml:space="preserve">at approximately 50% confluency </w:t>
      </w:r>
      <w:r w:rsidR="0065007F" w:rsidRPr="004F7F03">
        <w:rPr>
          <w:rFonts w:ascii="Arial" w:eastAsia="Arial Unicode MS" w:hAnsi="Arial" w:cs="Arial"/>
        </w:rPr>
        <w:t xml:space="preserve">using </w:t>
      </w:r>
      <w:proofErr w:type="spellStart"/>
      <w:r w:rsidR="0065007F" w:rsidRPr="004F7F03">
        <w:rPr>
          <w:rFonts w:ascii="Arial" w:eastAsia="Arial Unicode MS" w:hAnsi="Arial" w:cs="Arial"/>
        </w:rPr>
        <w:t>JetPRIME</w:t>
      </w:r>
      <w:proofErr w:type="spellEnd"/>
      <w:r w:rsidR="0065007F" w:rsidRPr="004F7F03">
        <w:rPr>
          <w:rFonts w:ascii="Arial" w:eastAsia="Arial Unicode MS" w:hAnsi="Arial" w:cs="Arial"/>
        </w:rPr>
        <w:t xml:space="preserve"> (</w:t>
      </w:r>
      <w:proofErr w:type="spellStart"/>
      <w:r w:rsidR="0065007F" w:rsidRPr="004F7F03">
        <w:rPr>
          <w:rFonts w:ascii="Arial" w:eastAsia="Arial Unicode MS" w:hAnsi="Arial" w:cs="Arial"/>
        </w:rPr>
        <w:t>Polyplus</w:t>
      </w:r>
      <w:proofErr w:type="spellEnd"/>
      <w:r w:rsidR="0065007F" w:rsidRPr="004F7F03">
        <w:rPr>
          <w:rFonts w:ascii="Arial" w:eastAsia="Arial Unicode MS" w:hAnsi="Arial" w:cs="Arial"/>
        </w:rPr>
        <w:t xml:space="preserve">) </w:t>
      </w:r>
      <w:r w:rsidRPr="004F7F03">
        <w:rPr>
          <w:rFonts w:ascii="Arial" w:eastAsia="Arial Unicode MS" w:hAnsi="Arial" w:cs="Arial"/>
        </w:rPr>
        <w:t>with the VAMP2</w:t>
      </w:r>
      <w:r w:rsidR="0065007F" w:rsidRPr="004F7F03">
        <w:rPr>
          <w:rFonts w:ascii="Arial" w:eastAsia="Arial Unicode MS" w:hAnsi="Arial" w:cs="Arial"/>
        </w:rPr>
        <w:t>-pHluorin</w:t>
      </w:r>
      <w:r w:rsidRPr="004F7F03">
        <w:rPr>
          <w:rFonts w:ascii="Arial" w:eastAsia="Arial Unicode MS" w:hAnsi="Arial" w:cs="Arial"/>
        </w:rPr>
        <w:t xml:space="preserve"> plasmid (a kind gift from Dr. Tim Ryan, Cornell University, USA). </w:t>
      </w:r>
      <w:r w:rsidR="0065007F" w:rsidRPr="004F7F03">
        <w:rPr>
          <w:rFonts w:ascii="Arial" w:eastAsia="Arial Unicode MS" w:hAnsi="Arial" w:cs="Arial"/>
        </w:rPr>
        <w:t xml:space="preserve">In this study, we did not exploit the pH-sensitive properties of </w:t>
      </w:r>
      <w:proofErr w:type="spellStart"/>
      <w:r w:rsidR="0065007F" w:rsidRPr="004F7F03">
        <w:rPr>
          <w:rFonts w:ascii="Arial" w:eastAsia="Arial Unicode MS" w:hAnsi="Arial" w:cs="Arial"/>
        </w:rPr>
        <w:t>pHluorin</w:t>
      </w:r>
      <w:proofErr w:type="spellEnd"/>
      <w:r w:rsidR="0065007F" w:rsidRPr="004F7F03">
        <w:rPr>
          <w:rFonts w:ascii="Arial" w:eastAsia="Arial Unicode MS" w:hAnsi="Arial" w:cs="Arial"/>
        </w:rPr>
        <w:t xml:space="preserve">, a fluorescent protein derived from GFP, but rather its </w:t>
      </w:r>
      <w:r w:rsidR="005D605E" w:rsidRPr="004F7F03">
        <w:rPr>
          <w:rFonts w:ascii="Arial" w:eastAsia="Arial Unicode MS" w:hAnsi="Arial" w:cs="Arial"/>
        </w:rPr>
        <w:t>localization</w:t>
      </w:r>
      <w:r w:rsidR="0065007F" w:rsidRPr="004F7F03">
        <w:rPr>
          <w:rFonts w:ascii="Arial" w:eastAsia="Arial Unicode MS" w:hAnsi="Arial" w:cs="Arial"/>
        </w:rPr>
        <w:t xml:space="preserve"> at the C-terminus of VAMP2, which </w:t>
      </w:r>
      <w:r w:rsidR="005D605E" w:rsidRPr="004F7F03">
        <w:rPr>
          <w:rFonts w:ascii="Arial" w:eastAsia="Arial Unicode MS" w:hAnsi="Arial" w:cs="Arial"/>
        </w:rPr>
        <w:t>enables</w:t>
      </w:r>
      <w:r w:rsidR="0065007F" w:rsidRPr="004F7F03">
        <w:rPr>
          <w:rFonts w:ascii="Arial" w:eastAsia="Arial Unicode MS" w:hAnsi="Arial" w:cs="Arial"/>
        </w:rPr>
        <w:t xml:space="preserve"> its exposure at the cell surface following exocytosis. For</w:t>
      </w:r>
      <w:r w:rsidR="005D605E" w:rsidRPr="004F7F03">
        <w:rPr>
          <w:rFonts w:ascii="Arial" w:eastAsia="Arial Unicode MS" w:hAnsi="Arial" w:cs="Arial"/>
        </w:rPr>
        <w:t xml:space="preserve"> </w:t>
      </w:r>
      <w:r w:rsidR="0065007F" w:rsidRPr="004F7F03">
        <w:rPr>
          <w:rFonts w:ascii="Arial" w:eastAsia="Arial Unicode MS" w:hAnsi="Arial" w:cs="Arial"/>
        </w:rPr>
        <w:t xml:space="preserve">simplicity, this construct </w:t>
      </w:r>
      <w:r w:rsidR="005D605E" w:rsidRPr="004F7F03">
        <w:rPr>
          <w:rFonts w:ascii="Arial" w:eastAsia="Arial Unicode MS" w:hAnsi="Arial" w:cs="Arial"/>
        </w:rPr>
        <w:t>is called</w:t>
      </w:r>
      <w:r w:rsidR="0065007F" w:rsidRPr="004F7F03">
        <w:rPr>
          <w:rFonts w:ascii="Arial" w:eastAsia="Arial Unicode MS" w:hAnsi="Arial" w:cs="Arial"/>
        </w:rPr>
        <w:t xml:space="preserve"> "VAMP2-GFP" </w:t>
      </w:r>
      <w:r w:rsidR="005D605E" w:rsidRPr="004F7F03">
        <w:rPr>
          <w:rFonts w:ascii="Arial" w:eastAsia="Arial Unicode MS" w:hAnsi="Arial" w:cs="Arial"/>
        </w:rPr>
        <w:t>throughout this</w:t>
      </w:r>
      <w:r w:rsidR="0065007F" w:rsidRPr="004F7F03">
        <w:rPr>
          <w:rFonts w:ascii="Arial" w:eastAsia="Arial Unicode MS" w:hAnsi="Arial" w:cs="Arial"/>
        </w:rPr>
        <w:t xml:space="preserve"> article.</w:t>
      </w:r>
      <w:r w:rsidR="005D605E">
        <w:rPr>
          <w:rFonts w:ascii="Arial" w:eastAsia="Arial Unicode MS" w:hAnsi="Arial" w:cs="Arial"/>
        </w:rPr>
        <w:t xml:space="preserve"> </w:t>
      </w:r>
    </w:p>
    <w:p w14:paraId="57CEF40B" w14:textId="77777777" w:rsidR="006C7633" w:rsidRPr="005D605E" w:rsidRDefault="006C7633">
      <w:pPr>
        <w:spacing w:line="360" w:lineRule="auto"/>
        <w:jc w:val="both"/>
        <w:rPr>
          <w:rFonts w:ascii="Arial" w:eastAsia="Arial" w:hAnsi="Arial" w:cs="Arial"/>
        </w:rPr>
      </w:pPr>
    </w:p>
    <w:p w14:paraId="39752064" w14:textId="0FBC0C72" w:rsidR="006C7633" w:rsidRDefault="007B5051">
      <w:pPr>
        <w:spacing w:line="360" w:lineRule="auto"/>
        <w:jc w:val="both"/>
        <w:rPr>
          <w:rFonts w:ascii="Arial" w:eastAsia="Arial" w:hAnsi="Arial" w:cs="Arial"/>
        </w:rPr>
      </w:pPr>
      <w:r>
        <w:rPr>
          <w:rFonts w:ascii="Arial" w:eastAsia="Arial" w:hAnsi="Arial" w:cs="Arial"/>
          <w:i/>
          <w:iCs/>
          <w:u w:val="single"/>
        </w:rPr>
        <w:t>Surface staining</w:t>
      </w:r>
    </w:p>
    <w:p w14:paraId="5D68605D" w14:textId="77777777" w:rsidR="006C7633" w:rsidRDefault="006C7633">
      <w:pPr>
        <w:spacing w:line="360" w:lineRule="auto"/>
        <w:ind w:firstLine="720"/>
        <w:jc w:val="both"/>
        <w:rPr>
          <w:rFonts w:ascii="Arial" w:eastAsia="Arial" w:hAnsi="Arial" w:cs="Arial"/>
        </w:rPr>
      </w:pPr>
      <w:r>
        <w:rPr>
          <w:rFonts w:ascii="Arial" w:eastAsia="Arial" w:hAnsi="Arial" w:cs="Arial"/>
        </w:rPr>
        <w:t>The transfected cells were treated overnight with APs at a final concentration of 10 µM (prepared from DMSO stock solutions) one day before the experiment. On the day of the experiment, coverslips were processed on ice to selectively label surface-exposed VAMP2-GFP.</w:t>
      </w:r>
    </w:p>
    <w:p w14:paraId="0845A6EE" w14:textId="77777777" w:rsidR="006C7633" w:rsidRDefault="006C7633">
      <w:pPr>
        <w:spacing w:line="360" w:lineRule="auto"/>
        <w:ind w:firstLine="720"/>
        <w:jc w:val="both"/>
        <w:rPr>
          <w:rFonts w:ascii="Arial" w:eastAsia="Arial" w:hAnsi="Arial" w:cs="Arial"/>
        </w:rPr>
      </w:pPr>
      <w:r>
        <w:rPr>
          <w:rFonts w:ascii="Arial" w:eastAsia="Arial" w:hAnsi="Arial" w:cs="Arial"/>
        </w:rPr>
        <w:t>For surface labeling, 35 µL drops of mouse monoclonal anti-GFP antibody (Roche; 1:300 dilution in Krebs-Ringer buffer supplemented with 1% (v/v) FBS) were placed on a parafilm-covered chilled metal slab. Cells were washed twice with ice-cold PBS, and coverslips were placed cell-side down onto the antibody drops and incubated for 20 min on ice. Coverslips were then turned cell-side up and washed three times with ice-cold PBS.</w:t>
      </w:r>
    </w:p>
    <w:p w14:paraId="7321B573" w14:textId="77777777" w:rsidR="006C7633" w:rsidRDefault="006C7633">
      <w:pPr>
        <w:spacing w:line="360" w:lineRule="auto"/>
        <w:ind w:firstLine="720"/>
        <w:jc w:val="both"/>
        <w:rPr>
          <w:rFonts w:ascii="Arial" w:eastAsia="Arial" w:hAnsi="Arial" w:cs="Arial"/>
        </w:rPr>
      </w:pPr>
      <w:r>
        <w:rPr>
          <w:rFonts w:ascii="Arial" w:eastAsia="Arial" w:hAnsi="Arial" w:cs="Arial"/>
        </w:rPr>
        <w:t>Cells were next fixed with 4% (w/v) paraformaldehyde (PFA) for 20 min on ice. Free aldehyde groups were quenched by incubation in PBS supplemented with 50 mM NH</w:t>
      </w:r>
      <w:r>
        <w:rPr>
          <w:rFonts w:ascii="Arial" w:eastAsia="Arial" w:hAnsi="Arial" w:cs="Arial"/>
          <w:vertAlign w:val="subscript"/>
        </w:rPr>
        <w:t>4</w:t>
      </w:r>
      <w:r>
        <w:rPr>
          <w:rFonts w:ascii="Arial" w:eastAsia="Arial" w:hAnsi="Arial" w:cs="Arial"/>
        </w:rPr>
        <w:t>Cl for 20 min at room temperature. Cells were permeabilized with 0.1% Triton X-100 for 5 min, followed by PBS washes. To prevent nonspecific antibody binding, coverslips were incubated in PBS supplemented with 10% (v/v) FBS for 20 min at room temperature.</w:t>
      </w:r>
    </w:p>
    <w:p w14:paraId="6F3AF76F" w14:textId="77777777" w:rsidR="006C7633" w:rsidRDefault="006C7633">
      <w:pPr>
        <w:spacing w:line="360" w:lineRule="auto"/>
        <w:ind w:firstLine="720"/>
        <w:jc w:val="both"/>
        <w:rPr>
          <w:rFonts w:ascii="Arial" w:eastAsia="Arial" w:hAnsi="Arial" w:cs="Arial"/>
        </w:rPr>
      </w:pPr>
      <w:r>
        <w:rPr>
          <w:rFonts w:ascii="Arial" w:eastAsia="Arial" w:hAnsi="Arial" w:cs="Arial"/>
        </w:rPr>
        <w:lastRenderedPageBreak/>
        <w:t xml:space="preserve">Total VAMP2-GFP was </w:t>
      </w:r>
      <w:proofErr w:type="spellStart"/>
      <w:r>
        <w:rPr>
          <w:rFonts w:ascii="Arial" w:eastAsia="Arial" w:hAnsi="Arial" w:cs="Arial"/>
        </w:rPr>
        <w:t>immunostained</w:t>
      </w:r>
      <w:proofErr w:type="spellEnd"/>
      <w:r>
        <w:rPr>
          <w:rFonts w:ascii="Arial" w:eastAsia="Arial" w:hAnsi="Arial" w:cs="Arial"/>
        </w:rPr>
        <w:t xml:space="preserve"> by incubation with a rabbit polyclonal anti-GFP antibody (TG32 </w:t>
      </w:r>
      <w:proofErr w:type="spellStart"/>
      <w:r>
        <w:rPr>
          <w:rFonts w:ascii="Arial" w:eastAsia="Arial" w:hAnsi="Arial" w:cs="Arial"/>
        </w:rPr>
        <w:t>pHI</w:t>
      </w:r>
      <w:proofErr w:type="spellEnd"/>
      <w:r>
        <w:rPr>
          <w:rFonts w:ascii="Arial" w:eastAsia="Arial" w:hAnsi="Arial" w:cs="Arial"/>
        </w:rPr>
        <w:t xml:space="preserve"> A2, homemade; 1:300 dilution in PBS supplemented with 1% (v/v) FBS) for at least 2 h at room temperature. After three 5 min washes with PBS, coverslips were incubated for 45-60 min at room temperature with secondary antibodies diluted in PBS supplemented with 1% (v/v) FBS: goat anti-mouse Cy3 (1:500), goat anti-rabbit Alexa Fluor 488 (1:500), and DAPI (4’,6-diamino-2-phenylindole) (1:500). Coverslips were washed three times with PBS and once with ultrapure water before mounting.</w:t>
      </w:r>
    </w:p>
    <w:p w14:paraId="44334480" w14:textId="633433CA" w:rsidR="006C7633" w:rsidRDefault="006C7633">
      <w:pPr>
        <w:spacing w:line="360" w:lineRule="auto"/>
        <w:ind w:firstLine="720"/>
        <w:jc w:val="both"/>
        <w:rPr>
          <w:rFonts w:ascii="Arial" w:eastAsia="Arial" w:hAnsi="Arial" w:cs="Arial"/>
        </w:rPr>
      </w:pPr>
      <w:r>
        <w:rPr>
          <w:rFonts w:ascii="Arial" w:eastAsia="Arial" w:hAnsi="Arial" w:cs="Arial"/>
        </w:rPr>
        <w:t xml:space="preserve">Samples were mounted cell-side down on glass slides using </w:t>
      </w:r>
      <w:proofErr w:type="spellStart"/>
      <w:r>
        <w:rPr>
          <w:rFonts w:ascii="Arial" w:eastAsia="Arial" w:hAnsi="Arial" w:cs="Arial"/>
        </w:rPr>
        <w:t>ProLong</w:t>
      </w:r>
      <w:proofErr w:type="spellEnd"/>
      <w:r>
        <w:rPr>
          <w:rFonts w:ascii="Arial" w:eastAsia="Arial" w:hAnsi="Arial" w:cs="Arial"/>
        </w:rPr>
        <w:t xml:space="preserve"> antifade mounting medium (</w:t>
      </w:r>
      <w:r w:rsidR="006610FC" w:rsidRPr="006610FC">
        <w:rPr>
          <w:rFonts w:ascii="Arial" w:eastAsia="Arial" w:hAnsi="Arial" w:cs="Arial"/>
        </w:rPr>
        <w:t xml:space="preserve">Life Technologies, </w:t>
      </w:r>
      <w:r>
        <w:rPr>
          <w:rFonts w:ascii="Arial" w:eastAsia="Arial" w:hAnsi="Arial" w:cs="Arial"/>
        </w:rPr>
        <w:t>refractive index 1.47) and allowed to cure before imaging. Fluorescence images were acquired using a motorized Leica DMRA2 epifluorescence microscope equipped with a 20x objective and a Hamamatsu ORCA-Flash4.0 LT CMOS camera. Acquisition settings (exposure time and gain) were kept constant within each experiment. Samples were protected from light throughout the preparation and imaging process.</w:t>
      </w:r>
    </w:p>
    <w:p w14:paraId="7DD7C0FB"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Image analysis was performed using ImageJ/FIJI. For each experiment, image stacks were generated, and background subtraction was applied (rolling ball radius = 50). Individual transfected cells were selected using the wand tool on </w:t>
      </w:r>
      <w:proofErr w:type="spellStart"/>
      <w:r>
        <w:rPr>
          <w:rFonts w:ascii="Arial" w:eastAsia="Arial" w:hAnsi="Arial" w:cs="Arial"/>
        </w:rPr>
        <w:t>thresholded</w:t>
      </w:r>
      <w:proofErr w:type="spellEnd"/>
      <w:r>
        <w:rPr>
          <w:rFonts w:ascii="Arial" w:eastAsia="Arial" w:hAnsi="Arial" w:cs="Arial"/>
        </w:rPr>
        <w:t xml:space="preserve"> total GFP images. In case of adjacent cells, manual boundaries were drawn to separate regions of interest. Integrated fluorescence density was measured for surface and total GFP channels for each cell. The surface-to-total fluorescence ratio was calculated and normalized to the mean value of the untreated control condition (set to 1). Graphical representation and statistical analyses were performed using GraphPad Prism version 5.03.</w:t>
      </w:r>
    </w:p>
    <w:p w14:paraId="59135F42"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t xml:space="preserve"> </w:t>
      </w:r>
    </w:p>
    <w:p w14:paraId="573A4D67" w14:textId="77777777" w:rsidR="006C7633" w:rsidRDefault="006C7633">
      <w:pPr>
        <w:spacing w:line="360" w:lineRule="auto"/>
        <w:jc w:val="both"/>
        <w:rPr>
          <w:rFonts w:ascii="Arial" w:eastAsia="Arial" w:hAnsi="Arial" w:cs="Arial"/>
          <w:i/>
          <w:iCs/>
          <w:u w:val="single"/>
        </w:rPr>
      </w:pPr>
      <w:r>
        <w:rPr>
          <w:rFonts w:ascii="Arial" w:eastAsia="Arial" w:hAnsi="Arial" w:cs="Arial"/>
          <w:i/>
          <w:iCs/>
          <w:u w:val="single"/>
        </w:rPr>
        <w:t>Statistics</w:t>
      </w:r>
    </w:p>
    <w:p w14:paraId="72B84DDE" w14:textId="77777777" w:rsidR="006C7633" w:rsidRDefault="006C7633">
      <w:pPr>
        <w:spacing w:line="360" w:lineRule="auto"/>
        <w:ind w:firstLine="720"/>
        <w:jc w:val="both"/>
        <w:rPr>
          <w:rFonts w:ascii="Arial" w:eastAsia="Arial" w:hAnsi="Arial" w:cs="Arial"/>
        </w:rPr>
      </w:pPr>
      <w:r>
        <w:rPr>
          <w:rFonts w:ascii="Arial" w:eastAsia="Arial" w:hAnsi="Arial" w:cs="Arial"/>
        </w:rPr>
        <w:t xml:space="preserve">Statistical analyses were performed using GraphPad Prism version 10.1.1 (GraphPad Software, Boston, MA, USA) or R (version 4.2.3). Data normality was first systematically assessed. When data followed a normal distribution, parametric tests were applied; otherwise, nonparametric tests were used. Comparisons between two conditions were performed using a paired </w:t>
      </w:r>
      <w:proofErr w:type="gramStart"/>
      <w:r>
        <w:rPr>
          <w:rFonts w:ascii="Arial" w:eastAsia="Arial" w:hAnsi="Arial" w:cs="Arial"/>
        </w:rPr>
        <w:t xml:space="preserve">Student’s </w:t>
      </w:r>
      <w:r>
        <w:rPr>
          <w:rFonts w:ascii="Arial" w:eastAsia="Arial" w:hAnsi="Arial" w:cs="Arial"/>
          <w:i/>
          <w:iCs/>
        </w:rPr>
        <w:t>t</w:t>
      </w:r>
      <w:proofErr w:type="gramEnd"/>
      <w:r>
        <w:rPr>
          <w:rFonts w:ascii="Arial" w:eastAsia="Arial" w:hAnsi="Arial" w:cs="Arial"/>
        </w:rPr>
        <w:t xml:space="preserve">-test or, when normality was not satisfied, the nonparametric Mann-Whitney U test. Comparisons among multiple conditions were conducted using a one-way analysis of variance (ANOVA), followed by Tukey’s or Bonferroni’s post hoc tests for multiple comparisons. </w:t>
      </w:r>
      <w:r>
        <w:rPr>
          <w:rFonts w:ascii="Arial" w:eastAsia="Arial" w:hAnsi="Arial" w:cs="Arial"/>
          <w:i/>
          <w:iCs/>
        </w:rPr>
        <w:t>In vitro</w:t>
      </w:r>
      <w:r>
        <w:rPr>
          <w:rFonts w:ascii="Arial" w:eastAsia="Arial" w:hAnsi="Arial" w:cs="Arial"/>
        </w:rPr>
        <w:t xml:space="preserve"> liposome </w:t>
      </w:r>
      <w:r>
        <w:rPr>
          <w:rFonts w:ascii="Arial" w:eastAsia="Arial" w:hAnsi="Arial" w:cs="Arial"/>
        </w:rPr>
        <w:lastRenderedPageBreak/>
        <w:t xml:space="preserve">fusion experiments were analyzed using R with linear mixed-effects models (LMMs). LMMs were fitted with the </w:t>
      </w:r>
      <w:proofErr w:type="spellStart"/>
      <w:r>
        <w:rPr>
          <w:rFonts w:ascii="Arial" w:eastAsia="Arial" w:hAnsi="Arial" w:cs="Arial"/>
        </w:rPr>
        <w:t>lmer</w:t>
      </w:r>
      <w:proofErr w:type="spellEnd"/>
      <w:r>
        <w:rPr>
          <w:rFonts w:ascii="Arial" w:eastAsia="Arial" w:hAnsi="Arial" w:cs="Arial"/>
        </w:rPr>
        <w:t xml:space="preserve"> function from the lme4 package, including AP treatment as a fixed effect and experiment (batch) as a random intercept. Estimated marginal means and pairwise contrasts </w:t>
      </w:r>
      <w:r>
        <w:rPr>
          <w:rFonts w:ascii="Arial" w:eastAsia="Arial" w:hAnsi="Arial" w:cs="Arial"/>
          <w:i/>
          <w:iCs/>
        </w:rPr>
        <w:t>versus</w:t>
      </w:r>
      <w:r>
        <w:rPr>
          <w:rFonts w:ascii="Arial" w:eastAsia="Arial" w:hAnsi="Arial" w:cs="Arial"/>
        </w:rPr>
        <w:t xml:space="preserve"> the control group were computed using the </w:t>
      </w:r>
      <w:proofErr w:type="spellStart"/>
      <w:r>
        <w:rPr>
          <w:rFonts w:ascii="Arial" w:eastAsia="Arial" w:hAnsi="Arial" w:cs="Arial"/>
        </w:rPr>
        <w:t>emmeans</w:t>
      </w:r>
      <w:proofErr w:type="spellEnd"/>
      <w:r>
        <w:rPr>
          <w:rFonts w:ascii="Arial" w:eastAsia="Arial" w:hAnsi="Arial" w:cs="Arial"/>
        </w:rPr>
        <w:t xml:space="preserve"> package, with 95% confidence intervals. Fewer replicates were performed for the AMI condition; these were appropriately accounted for and incorporated into the model estimation. Graphs were generated in GraphPad Prism using the data obtained from R. </w:t>
      </w:r>
    </w:p>
    <w:p w14:paraId="23903B9B" w14:textId="77777777" w:rsidR="006C7633" w:rsidRDefault="006C7633">
      <w:pPr>
        <w:spacing w:line="360" w:lineRule="auto"/>
        <w:jc w:val="both"/>
        <w:rPr>
          <w:rFonts w:ascii="Arial" w:eastAsia="Arial" w:hAnsi="Arial" w:cs="Arial"/>
        </w:rPr>
      </w:pPr>
    </w:p>
    <w:p w14:paraId="6F4B69D2" w14:textId="77777777" w:rsidR="006C7633" w:rsidRDefault="006C7633">
      <w:pPr>
        <w:spacing w:line="360" w:lineRule="auto"/>
        <w:rPr>
          <w:rFonts w:ascii="Arial" w:eastAsia="Arial" w:hAnsi="Arial" w:cs="Arial"/>
        </w:rPr>
      </w:pPr>
    </w:p>
    <w:p w14:paraId="3B278630" w14:textId="77777777" w:rsidR="006C7633" w:rsidRDefault="006C7633">
      <w:pPr>
        <w:spacing w:line="360" w:lineRule="auto"/>
        <w:jc w:val="both"/>
        <w:rPr>
          <w:rFonts w:ascii="Arial" w:eastAsia="Arial" w:hAnsi="Arial" w:cs="Arial"/>
          <w:b/>
          <w:bCs/>
        </w:rPr>
      </w:pPr>
      <w:r>
        <w:br w:type="page"/>
      </w:r>
    </w:p>
    <w:p w14:paraId="7653C4AA" w14:textId="77777777" w:rsidR="006C7633" w:rsidRDefault="006C7633">
      <w:pPr>
        <w:spacing w:line="360" w:lineRule="auto"/>
        <w:jc w:val="both"/>
        <w:rPr>
          <w:rFonts w:ascii="Arial" w:eastAsia="Arial" w:hAnsi="Arial" w:cs="Arial"/>
          <w:b/>
          <w:bCs/>
        </w:rPr>
      </w:pPr>
      <w:r>
        <w:rPr>
          <w:rFonts w:ascii="Arial" w:eastAsia="Arial" w:hAnsi="Arial" w:cs="Arial"/>
          <w:b/>
          <w:bCs/>
        </w:rPr>
        <w:lastRenderedPageBreak/>
        <w:t>Supplementary Text</w:t>
      </w:r>
    </w:p>
    <w:p w14:paraId="06AC96D0" w14:textId="77777777" w:rsidR="006C7633" w:rsidRDefault="006C7633">
      <w:pPr>
        <w:spacing w:line="360" w:lineRule="auto"/>
        <w:jc w:val="both"/>
        <w:rPr>
          <w:rFonts w:ascii="Arial" w:eastAsia="Arial" w:hAnsi="Arial" w:cs="Arial"/>
          <w:b/>
          <w:bCs/>
        </w:rPr>
      </w:pPr>
    </w:p>
    <w:p w14:paraId="26225027" w14:textId="77777777" w:rsidR="006C7633" w:rsidRDefault="006C7633">
      <w:pPr>
        <w:spacing w:line="360" w:lineRule="auto"/>
        <w:jc w:val="both"/>
        <w:rPr>
          <w:rFonts w:ascii="Arial" w:eastAsia="Arial" w:hAnsi="Arial" w:cs="Arial"/>
          <w:b/>
          <w:bCs/>
        </w:rPr>
      </w:pPr>
      <w:r>
        <w:rPr>
          <w:rFonts w:ascii="Arial" w:eastAsia="Arial" w:hAnsi="Arial" w:cs="Arial"/>
          <w:b/>
          <w:bCs/>
        </w:rPr>
        <w:t>Determination of lipid-to-protein ratios in neuronal SNARE-reconstituted proteoliposomes</w:t>
      </w:r>
    </w:p>
    <w:p w14:paraId="0D69B08D" w14:textId="77777777" w:rsidR="006C7633" w:rsidRPr="007A2E70" w:rsidRDefault="006C7633">
      <w:pPr>
        <w:spacing w:line="360" w:lineRule="auto"/>
        <w:jc w:val="both"/>
        <w:rPr>
          <w:rFonts w:ascii="Arial" w:eastAsia="Arial" w:hAnsi="Arial" w:cs="Arial"/>
        </w:rPr>
      </w:pPr>
      <w:r>
        <w:rPr>
          <w:rFonts w:ascii="Arial" w:eastAsia="Arial" w:hAnsi="Arial" w:cs="Arial"/>
          <w:b/>
          <w:bCs/>
        </w:rPr>
        <w:tab/>
      </w:r>
      <w:r w:rsidRPr="007A2E70">
        <w:rPr>
          <w:rFonts w:ascii="Arial" w:eastAsia="Arial" w:hAnsi="Arial" w:cs="Arial"/>
        </w:rPr>
        <w:t xml:space="preserve">The protein surface density of SNARE-reconstituted proteoliposomes is a critical parameter controlling both the kinetics and the extent of SNARE-mediated liposome fusion. Previous work has established the minimal densities of v- and t-SNAREs required for efficient fusion in this in vitro system </w:t>
      </w:r>
      <w:hyperlink r:id="rId17">
        <w:r>
          <w:rPr>
            <w:rFonts w:ascii="Arial" w:eastAsia="Arial" w:hAnsi="Arial" w:cs="Arial"/>
          </w:rPr>
          <w:t>(5)</w:t>
        </w:r>
      </w:hyperlink>
      <w:r w:rsidRPr="007A2E70">
        <w:rPr>
          <w:rFonts w:ascii="Arial" w:eastAsia="Arial Unicode MS" w:hAnsi="Arial" w:cs="Arial"/>
        </w:rPr>
        <w:t>. Specifically, lipid-to-t-SNARE ratios below 800-1600 and lipid-to-v-SNARE ratios below 480 are required to support robust fusion activity. These values are consistent with the average physiological surface densities of t-SNAREs in the plasma membrane (</w:t>
      </w:r>
      <w:r w:rsidRPr="007A2E70">
        <w:rPr>
          <w:rFonts w:ascii="Cambria Math" w:eastAsia="Arial Unicode MS" w:hAnsi="Cambria Math" w:cs="Cambria Math"/>
        </w:rPr>
        <w:t>∼</w:t>
      </w:r>
      <w:r w:rsidRPr="007A2E70">
        <w:rPr>
          <w:rFonts w:ascii="Arial" w:eastAsia="Arial Unicode MS" w:hAnsi="Arial" w:cs="Arial"/>
        </w:rPr>
        <w:t>800, with locally higher concentrations in cholesterol- and sphingomyelin-rich ordered domains) and of v-SNAREs in synaptic vesicle membranes (</w:t>
      </w:r>
      <w:r w:rsidRPr="007A2E70">
        <w:rPr>
          <w:rFonts w:ascii="Cambria Math" w:eastAsia="Arial Unicode MS" w:hAnsi="Cambria Math" w:cs="Cambria Math"/>
        </w:rPr>
        <w:t>∼</w:t>
      </w:r>
      <w:r w:rsidRPr="007A2E70">
        <w:rPr>
          <w:rFonts w:ascii="Arial" w:eastAsia="Arial Unicode MS" w:hAnsi="Arial" w:cs="Arial"/>
        </w:rPr>
        <w:t xml:space="preserve">120) </w:t>
      </w:r>
      <w:hyperlink r:id="rId18">
        <w:r>
          <w:rPr>
            <w:rFonts w:ascii="Arial" w:eastAsia="Arial" w:hAnsi="Arial" w:cs="Arial"/>
          </w:rPr>
          <w:t>(5,12)</w:t>
        </w:r>
      </w:hyperlink>
      <w:r w:rsidRPr="007A2E70">
        <w:rPr>
          <w:rFonts w:ascii="Arial" w:eastAsia="Arial" w:hAnsi="Arial" w:cs="Arial"/>
        </w:rPr>
        <w:t>.</w:t>
      </w:r>
    </w:p>
    <w:p w14:paraId="2AA6D688" w14:textId="77777777" w:rsidR="006C7633" w:rsidRDefault="006C7633">
      <w:pPr>
        <w:spacing w:line="360" w:lineRule="auto"/>
        <w:jc w:val="both"/>
        <w:rPr>
          <w:rFonts w:ascii="Arial" w:eastAsia="Arial" w:hAnsi="Arial" w:cs="Arial"/>
        </w:rPr>
      </w:pPr>
      <w:r>
        <w:rPr>
          <w:rFonts w:ascii="Arial" w:eastAsia="Arial" w:hAnsi="Arial" w:cs="Arial"/>
        </w:rPr>
        <w:tab/>
        <w:t xml:space="preserve">Lipid-to-protein (L/P) ratios were determined by SDS-PAGE following flotation of the proteoliposomes, by quantifying the recovery of both lipids and proteins in the floated fractions (Fig. S2). For each reconstitution condition, floated and non-floated proteoliposomes were loaded on the same polyacrylamide gel (precast </w:t>
      </w:r>
      <w:proofErr w:type="spellStart"/>
      <w:r>
        <w:rPr>
          <w:rFonts w:ascii="Arial" w:eastAsia="Arial" w:hAnsi="Arial" w:cs="Arial"/>
        </w:rPr>
        <w:t>NuPAGE</w:t>
      </w:r>
      <w:proofErr w:type="spellEnd"/>
      <w:r>
        <w:rPr>
          <w:rFonts w:ascii="Arial" w:eastAsia="Arial" w:hAnsi="Arial" w:cs="Arial"/>
        </w:rPr>
        <w:t xml:space="preserve"> 4-12% Bis-Tris gels, 1 mm, 12 wells; Invitrogen). Gels were stained with Coomassie Blue G-250 (</w:t>
      </w:r>
      <w:proofErr w:type="spellStart"/>
      <w:r>
        <w:rPr>
          <w:rFonts w:ascii="Arial" w:eastAsia="Arial" w:hAnsi="Arial" w:cs="Arial"/>
        </w:rPr>
        <w:t>PageBlue</w:t>
      </w:r>
      <w:proofErr w:type="spellEnd"/>
      <w:r>
        <w:rPr>
          <w:rFonts w:ascii="Arial" w:eastAsia="Arial" w:hAnsi="Arial" w:cs="Arial"/>
        </w:rPr>
        <w:t xml:space="preserve"> Protein Staining solution; </w:t>
      </w:r>
      <w:proofErr w:type="spellStart"/>
      <w:r>
        <w:rPr>
          <w:rFonts w:ascii="Arial" w:eastAsia="Arial" w:hAnsi="Arial" w:cs="Arial"/>
        </w:rPr>
        <w:t>ThermoFisher</w:t>
      </w:r>
      <w:proofErr w:type="spellEnd"/>
      <w:r>
        <w:rPr>
          <w:rFonts w:ascii="Arial" w:eastAsia="Arial" w:hAnsi="Arial" w:cs="Arial"/>
        </w:rPr>
        <w:t xml:space="preserve"> Scientific) and imaged using a </w:t>
      </w:r>
      <w:proofErr w:type="spellStart"/>
      <w:r>
        <w:rPr>
          <w:rFonts w:ascii="Arial" w:eastAsia="Arial" w:hAnsi="Arial" w:cs="Arial"/>
        </w:rPr>
        <w:t>ChemiDoc</w:t>
      </w:r>
      <w:proofErr w:type="spellEnd"/>
      <w:r>
        <w:rPr>
          <w:rFonts w:ascii="Arial" w:eastAsia="Arial" w:hAnsi="Arial" w:cs="Arial"/>
        </w:rPr>
        <w:t xml:space="preserve"> Touch Imaging System (Bio-Rad).</w:t>
      </w:r>
    </w:p>
    <w:p w14:paraId="5D80F9EB" w14:textId="3A426569" w:rsidR="006C7633" w:rsidRDefault="006C7633">
      <w:pPr>
        <w:spacing w:line="360" w:lineRule="auto"/>
        <w:jc w:val="both"/>
        <w:rPr>
          <w:rFonts w:ascii="Arial" w:eastAsia="Arial" w:hAnsi="Arial" w:cs="Arial"/>
        </w:rPr>
        <w:sectPr w:rsidR="006C7633" w:rsidSect="006C7633">
          <w:footerReference w:type="even" r:id="rId19"/>
          <w:footerReference w:type="default" r:id="rId20"/>
          <w:pgSz w:w="11906" w:h="16838"/>
          <w:pgMar w:top="1440" w:right="1440" w:bottom="1440" w:left="1440" w:header="708" w:footer="708" w:gutter="0"/>
          <w:pgNumType w:start="1"/>
          <w:cols w:space="720"/>
        </w:sectPr>
      </w:pPr>
      <w:r>
        <w:rPr>
          <w:rFonts w:ascii="Arial" w:eastAsia="Arial" w:hAnsi="Arial" w:cs="Arial"/>
        </w:rPr>
        <w:tab/>
        <w:t xml:space="preserve">Loading floated and non-floated proteoliposomes from the same condition on the same gel ensured identical electrophoretic migration and staining conditions, thereby minimizing variability in band intensities that could introduce bias during signal quantification. When possible, proteoliposomes were loaded with an empty well between adjacent samples to improve band resolution and to avoid </w:t>
      </w:r>
      <w:r w:rsidR="00326705">
        <w:rPr>
          <w:rFonts w:ascii="Arial" w:eastAsia="Arial" w:hAnsi="Arial" w:cs="Arial"/>
        </w:rPr>
        <w:t>overlapping</w:t>
      </w:r>
      <w:r>
        <w:rPr>
          <w:rFonts w:ascii="Arial" w:eastAsia="Arial" w:hAnsi="Arial" w:cs="Arial"/>
        </w:rPr>
        <w:t xml:space="preserve"> between protein and lipid signals.</w:t>
      </w:r>
    </w:p>
    <w:p w14:paraId="38009665" w14:textId="77777777" w:rsidR="006C7633" w:rsidRDefault="006C7633">
      <w:pPr>
        <w:spacing w:line="360" w:lineRule="auto"/>
        <w:rPr>
          <w:rFonts w:ascii="Arial" w:eastAsia="Arial" w:hAnsi="Arial" w:cs="Arial"/>
          <w:b/>
          <w:bCs/>
        </w:rPr>
      </w:pPr>
      <w:r>
        <w:rPr>
          <w:noProof/>
        </w:rPr>
        <w:lastRenderedPageBreak/>
        <w:drawing>
          <wp:anchor distT="114300" distB="114300" distL="114300" distR="114300" simplePos="0" relativeHeight="251659264" behindDoc="0" locked="0" layoutInCell="1" hidden="0" allowOverlap="1" wp14:anchorId="7C54AEAE" wp14:editId="57BE3ABA">
            <wp:simplePos x="0" y="0"/>
            <wp:positionH relativeFrom="column">
              <wp:posOffset>3884246</wp:posOffset>
            </wp:positionH>
            <wp:positionV relativeFrom="paragraph">
              <wp:posOffset>179754</wp:posOffset>
            </wp:positionV>
            <wp:extent cx="2078892" cy="2560831"/>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2085383" cy="2568826"/>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bCs/>
        </w:rPr>
        <w:t>Supplementary Figures</w:t>
      </w:r>
    </w:p>
    <w:p w14:paraId="09967B5C" w14:textId="77777777" w:rsidR="006C7633" w:rsidRDefault="006C7633">
      <w:pPr>
        <w:spacing w:line="360" w:lineRule="auto"/>
        <w:jc w:val="both"/>
        <w:rPr>
          <w:rFonts w:ascii="Arial" w:eastAsia="Arial" w:hAnsi="Arial" w:cs="Arial"/>
          <w:color w:val="000000"/>
        </w:rPr>
      </w:pPr>
      <w:r>
        <w:rPr>
          <w:noProof/>
        </w:rPr>
        <w:drawing>
          <wp:anchor distT="114300" distB="114300" distL="114300" distR="114300" simplePos="0" relativeHeight="251660288" behindDoc="0" locked="0" layoutInCell="1" hidden="0" allowOverlap="1" wp14:anchorId="37DFD29A" wp14:editId="209F4067">
            <wp:simplePos x="0" y="0"/>
            <wp:positionH relativeFrom="column">
              <wp:posOffset>1</wp:posOffset>
            </wp:positionH>
            <wp:positionV relativeFrom="paragraph">
              <wp:posOffset>264765</wp:posOffset>
            </wp:positionV>
            <wp:extent cx="3986526" cy="2359372"/>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3986526" cy="2359372"/>
                    </a:xfrm>
                    <a:prstGeom prst="rect">
                      <a:avLst/>
                    </a:prstGeom>
                    <a:ln/>
                  </pic:spPr>
                </pic:pic>
              </a:graphicData>
            </a:graphic>
          </wp:anchor>
        </w:drawing>
      </w:r>
    </w:p>
    <w:p w14:paraId="6D0723A7" w14:textId="77777777" w:rsidR="006C7633" w:rsidRDefault="006C7633">
      <w:pPr>
        <w:spacing w:line="360" w:lineRule="auto"/>
        <w:jc w:val="both"/>
        <w:rPr>
          <w:rFonts w:ascii="Arial" w:eastAsia="Arial" w:hAnsi="Arial" w:cs="Arial"/>
          <w:color w:val="000000"/>
        </w:rPr>
      </w:pPr>
    </w:p>
    <w:p w14:paraId="45EFB674" w14:textId="77777777" w:rsidR="006C7633" w:rsidRDefault="006C7633">
      <w:pPr>
        <w:spacing w:line="360" w:lineRule="auto"/>
        <w:jc w:val="both"/>
        <w:rPr>
          <w:rFonts w:ascii="Arial" w:eastAsia="Arial" w:hAnsi="Arial" w:cs="Arial"/>
          <w:color w:val="000000"/>
        </w:rPr>
      </w:pPr>
    </w:p>
    <w:p w14:paraId="1837527D" w14:textId="77777777" w:rsidR="006C7633" w:rsidRDefault="006C7633">
      <w:pPr>
        <w:spacing w:line="360" w:lineRule="auto"/>
        <w:jc w:val="both"/>
        <w:rPr>
          <w:rFonts w:ascii="Arial" w:eastAsia="Arial" w:hAnsi="Arial" w:cs="Arial"/>
          <w:color w:val="000000"/>
        </w:rPr>
      </w:pPr>
    </w:p>
    <w:p w14:paraId="1D6450CA" w14:textId="77777777" w:rsidR="006C7633" w:rsidRDefault="006C7633">
      <w:pPr>
        <w:spacing w:line="360" w:lineRule="auto"/>
        <w:jc w:val="both"/>
        <w:rPr>
          <w:rFonts w:ascii="Arial" w:eastAsia="Arial" w:hAnsi="Arial" w:cs="Arial"/>
          <w:color w:val="000000"/>
        </w:rPr>
      </w:pPr>
    </w:p>
    <w:p w14:paraId="2C7C24E2" w14:textId="77777777" w:rsidR="006C7633" w:rsidRDefault="006C7633">
      <w:pPr>
        <w:spacing w:line="360" w:lineRule="auto"/>
        <w:jc w:val="both"/>
        <w:rPr>
          <w:rFonts w:ascii="Arial" w:eastAsia="Arial" w:hAnsi="Arial" w:cs="Arial"/>
          <w:color w:val="000000"/>
        </w:rPr>
      </w:pPr>
    </w:p>
    <w:p w14:paraId="319FC13A" w14:textId="77777777" w:rsidR="006C7633" w:rsidRDefault="006C7633">
      <w:pPr>
        <w:spacing w:line="360" w:lineRule="auto"/>
        <w:jc w:val="both"/>
        <w:rPr>
          <w:rFonts w:ascii="Arial" w:eastAsia="Arial" w:hAnsi="Arial" w:cs="Arial"/>
          <w:color w:val="000000"/>
        </w:rPr>
      </w:pPr>
    </w:p>
    <w:p w14:paraId="58C4A0B7" w14:textId="77777777" w:rsidR="006C7633" w:rsidRDefault="006C7633">
      <w:pPr>
        <w:spacing w:line="360" w:lineRule="auto"/>
        <w:jc w:val="both"/>
        <w:rPr>
          <w:rFonts w:ascii="Arial" w:eastAsia="Arial" w:hAnsi="Arial" w:cs="Arial"/>
          <w:color w:val="000000"/>
        </w:rPr>
      </w:pPr>
    </w:p>
    <w:p w14:paraId="0A5673BC" w14:textId="77777777" w:rsidR="006C7633" w:rsidRDefault="006C7633">
      <w:pPr>
        <w:spacing w:line="360" w:lineRule="auto"/>
        <w:jc w:val="both"/>
        <w:rPr>
          <w:rFonts w:ascii="Arial" w:eastAsia="Arial" w:hAnsi="Arial" w:cs="Arial"/>
          <w:color w:val="000000"/>
        </w:rPr>
      </w:pPr>
    </w:p>
    <w:p w14:paraId="31A2B250" w14:textId="77777777" w:rsidR="006C7633" w:rsidRDefault="006C7633">
      <w:pPr>
        <w:spacing w:line="360" w:lineRule="auto"/>
        <w:jc w:val="both"/>
        <w:rPr>
          <w:rFonts w:ascii="Arial" w:eastAsia="Arial" w:hAnsi="Arial" w:cs="Arial"/>
          <w:color w:val="000000"/>
        </w:rPr>
      </w:pPr>
    </w:p>
    <w:p w14:paraId="499F77AF" w14:textId="77777777" w:rsidR="006C7633" w:rsidRDefault="006C7633">
      <w:pPr>
        <w:spacing w:line="360" w:lineRule="auto"/>
        <w:jc w:val="both"/>
        <w:rPr>
          <w:rFonts w:ascii="Arial" w:eastAsia="Arial" w:hAnsi="Arial" w:cs="Arial"/>
          <w:color w:val="000000"/>
        </w:rPr>
      </w:pPr>
    </w:p>
    <w:p w14:paraId="05BF5F80" w14:textId="77777777" w:rsidR="006C7633" w:rsidRDefault="006C7633">
      <w:pPr>
        <w:spacing w:line="360" w:lineRule="auto"/>
        <w:jc w:val="both"/>
        <w:rPr>
          <w:rFonts w:ascii="Arial" w:eastAsia="Arial" w:hAnsi="Arial" w:cs="Arial"/>
          <w:color w:val="000000"/>
        </w:rPr>
      </w:pPr>
      <w:r>
        <w:rPr>
          <w:rFonts w:ascii="Arial" w:eastAsia="Arial" w:hAnsi="Arial" w:cs="Arial"/>
          <w:b/>
          <w:bCs/>
          <w:color w:val="000000"/>
        </w:rPr>
        <w:t>Figure S1</w:t>
      </w:r>
      <w:r>
        <w:rPr>
          <w:rFonts w:ascii="Arial" w:eastAsia="Arial" w:hAnsi="Arial" w:cs="Arial"/>
          <w:b/>
          <w:bCs/>
        </w:rPr>
        <w:t>.</w:t>
      </w:r>
      <w:r>
        <w:rPr>
          <w:rFonts w:ascii="Arial" w:eastAsia="Arial" w:hAnsi="Arial" w:cs="Arial"/>
          <w:color w:val="000000"/>
        </w:rPr>
        <w:t xml:space="preserve"> </w:t>
      </w:r>
      <w:r>
        <w:rPr>
          <w:rFonts w:ascii="Arial" w:eastAsia="Arial" w:hAnsi="Arial" w:cs="Arial"/>
          <w:b/>
          <w:bCs/>
          <w:color w:val="000000"/>
        </w:rPr>
        <w:t xml:space="preserve">Control experiments for PEG-mediated liposome fusion </w:t>
      </w:r>
      <w:r>
        <w:rPr>
          <w:rFonts w:ascii="Arial" w:eastAsia="Arial" w:hAnsi="Arial" w:cs="Arial"/>
          <w:b/>
          <w:bCs/>
          <w:i/>
          <w:iCs/>
          <w:color w:val="000000"/>
        </w:rPr>
        <w:t>in vitro</w:t>
      </w:r>
      <w:r>
        <w:rPr>
          <w:rFonts w:ascii="Arial" w:eastAsia="Arial" w:hAnsi="Arial" w:cs="Arial"/>
          <w:color w:val="000000"/>
        </w:rPr>
        <w:t>. Left: Representative fusion kinetics of liposomes composed of PC:PS:PE (65:10:25 mol%; 500 µM final lipid concentration) in the absence or presence of CPZ</w:t>
      </w:r>
      <w:r>
        <w:rPr>
          <w:rFonts w:ascii="Arial" w:eastAsia="Arial" w:hAnsi="Arial" w:cs="Arial"/>
        </w:rPr>
        <w:t>,</w:t>
      </w:r>
      <w:r>
        <w:rPr>
          <w:rFonts w:ascii="Arial" w:eastAsia="Arial" w:hAnsi="Arial" w:cs="Arial"/>
          <w:color w:val="000000"/>
        </w:rPr>
        <w:t xml:space="preserve"> CLOZ, or AMI incorporated at an AP/L molar ratio of 1/100. In this FRET-based lipid mixing assay, PEG 8000 was replaced </w:t>
      </w:r>
      <w:r>
        <w:rPr>
          <w:rFonts w:ascii="Arial" w:eastAsia="Arial" w:hAnsi="Arial" w:cs="Arial"/>
        </w:rPr>
        <w:t>with</w:t>
      </w:r>
      <w:r>
        <w:rPr>
          <w:rFonts w:ascii="Arial" w:eastAsia="Arial" w:hAnsi="Arial" w:cs="Arial"/>
          <w:color w:val="000000"/>
        </w:rPr>
        <w:t xml:space="preserve"> buffer H. R</w:t>
      </w:r>
      <w:r>
        <w:rPr>
          <w:rFonts w:ascii="Arial" w:eastAsia="Arial" w:hAnsi="Arial" w:cs="Arial"/>
        </w:rPr>
        <w:t>ight: Control experiment statistics after 90 min. Bars represent estimated marginal means derived from a linear mixed-effects model, including AP treatment as a fixed effect and experiment as a random intercept. Error bars denote 95% confidence intervals. Individual observations are displayed as points. Fewer replicates were performed for the AMI condition; these were appropriately accounted for and incorporated into the model estimation.</w:t>
      </w:r>
    </w:p>
    <w:p w14:paraId="19BF6CB2" w14:textId="77777777" w:rsidR="006C7633" w:rsidRDefault="006C7633">
      <w:pPr>
        <w:spacing w:line="360" w:lineRule="auto"/>
        <w:rPr>
          <w:rFonts w:ascii="Arial" w:eastAsia="Arial" w:hAnsi="Arial" w:cs="Arial"/>
        </w:rPr>
      </w:pPr>
    </w:p>
    <w:p w14:paraId="5FB9AF2C" w14:textId="77777777" w:rsidR="006C7633" w:rsidRDefault="006C7633">
      <w:pPr>
        <w:spacing w:line="360" w:lineRule="auto"/>
        <w:rPr>
          <w:rFonts w:ascii="Arial" w:eastAsia="Arial" w:hAnsi="Arial" w:cs="Arial"/>
        </w:rPr>
      </w:pPr>
      <w:r>
        <w:br w:type="page"/>
      </w:r>
    </w:p>
    <w:p w14:paraId="718201E6" w14:textId="77777777" w:rsidR="006C7633" w:rsidRDefault="006C7633">
      <w:pPr>
        <w:spacing w:line="360" w:lineRule="auto"/>
        <w:jc w:val="both"/>
        <w:rPr>
          <w:rFonts w:ascii="Arial" w:eastAsia="Arial" w:hAnsi="Arial" w:cs="Arial"/>
        </w:rPr>
      </w:pPr>
      <w:r>
        <w:rPr>
          <w:noProof/>
        </w:rPr>
        <w:lastRenderedPageBreak/>
        <w:drawing>
          <wp:anchor distT="114300" distB="114300" distL="114300" distR="114300" simplePos="0" relativeHeight="251661312" behindDoc="1" locked="0" layoutInCell="1" hidden="0" allowOverlap="1" wp14:anchorId="18767CD2" wp14:editId="149F501F">
            <wp:simplePos x="0" y="0"/>
            <wp:positionH relativeFrom="column">
              <wp:posOffset>584363</wp:posOffset>
            </wp:positionH>
            <wp:positionV relativeFrom="paragraph">
              <wp:posOffset>114300</wp:posOffset>
            </wp:positionV>
            <wp:extent cx="4558032" cy="2824163"/>
            <wp:effectExtent l="0" t="0" r="0" b="0"/>
            <wp:wrapNone/>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4558032" cy="2824163"/>
                    </a:xfrm>
                    <a:prstGeom prst="rect">
                      <a:avLst/>
                    </a:prstGeom>
                    <a:ln/>
                  </pic:spPr>
                </pic:pic>
              </a:graphicData>
            </a:graphic>
          </wp:anchor>
        </w:drawing>
      </w:r>
    </w:p>
    <w:p w14:paraId="238FC95F" w14:textId="77777777" w:rsidR="006C7633" w:rsidRDefault="006C7633">
      <w:pPr>
        <w:spacing w:line="360" w:lineRule="auto"/>
        <w:jc w:val="both"/>
        <w:rPr>
          <w:rFonts w:ascii="Arial" w:eastAsia="Arial" w:hAnsi="Arial" w:cs="Arial"/>
        </w:rPr>
      </w:pPr>
    </w:p>
    <w:p w14:paraId="5E2CFBE1" w14:textId="77777777" w:rsidR="006C7633" w:rsidRDefault="006C7633">
      <w:pPr>
        <w:spacing w:line="360" w:lineRule="auto"/>
        <w:jc w:val="both"/>
        <w:rPr>
          <w:rFonts w:ascii="Arial" w:eastAsia="Arial" w:hAnsi="Arial" w:cs="Arial"/>
        </w:rPr>
      </w:pPr>
    </w:p>
    <w:p w14:paraId="7EC7D3AE" w14:textId="77777777" w:rsidR="006C7633" w:rsidRDefault="006C7633">
      <w:pPr>
        <w:spacing w:line="360" w:lineRule="auto"/>
        <w:jc w:val="center"/>
        <w:rPr>
          <w:rFonts w:ascii="Arial" w:eastAsia="Arial" w:hAnsi="Arial" w:cs="Arial"/>
        </w:rPr>
      </w:pPr>
    </w:p>
    <w:p w14:paraId="5310BE75" w14:textId="77777777" w:rsidR="006C7633" w:rsidRDefault="006C7633">
      <w:pPr>
        <w:spacing w:line="360" w:lineRule="auto"/>
        <w:jc w:val="both"/>
        <w:rPr>
          <w:rFonts w:ascii="Arial" w:eastAsia="Arial" w:hAnsi="Arial" w:cs="Arial"/>
        </w:rPr>
      </w:pPr>
    </w:p>
    <w:p w14:paraId="44677F45" w14:textId="77777777" w:rsidR="006C7633" w:rsidRDefault="006C7633">
      <w:pPr>
        <w:spacing w:line="360" w:lineRule="auto"/>
        <w:jc w:val="both"/>
        <w:rPr>
          <w:rFonts w:ascii="Arial" w:eastAsia="Arial" w:hAnsi="Arial" w:cs="Arial"/>
        </w:rPr>
      </w:pPr>
    </w:p>
    <w:p w14:paraId="518A6211" w14:textId="77777777" w:rsidR="006C7633" w:rsidRDefault="006C7633">
      <w:pPr>
        <w:spacing w:line="360" w:lineRule="auto"/>
        <w:jc w:val="both"/>
        <w:rPr>
          <w:rFonts w:ascii="Arial" w:eastAsia="Arial" w:hAnsi="Arial" w:cs="Arial"/>
        </w:rPr>
      </w:pPr>
    </w:p>
    <w:p w14:paraId="44E10483" w14:textId="77777777" w:rsidR="006C7633" w:rsidRDefault="006C7633">
      <w:pPr>
        <w:spacing w:line="360" w:lineRule="auto"/>
        <w:jc w:val="both"/>
        <w:rPr>
          <w:rFonts w:ascii="Arial" w:eastAsia="Arial" w:hAnsi="Arial" w:cs="Arial"/>
        </w:rPr>
      </w:pPr>
    </w:p>
    <w:p w14:paraId="0776E35F" w14:textId="77777777" w:rsidR="006C7633" w:rsidRDefault="006C7633">
      <w:pPr>
        <w:spacing w:line="360" w:lineRule="auto"/>
        <w:jc w:val="both"/>
        <w:rPr>
          <w:rFonts w:ascii="Arial" w:eastAsia="Arial" w:hAnsi="Arial" w:cs="Arial"/>
        </w:rPr>
      </w:pPr>
    </w:p>
    <w:p w14:paraId="76FD5574" w14:textId="77777777" w:rsidR="006C7633" w:rsidRDefault="006C7633">
      <w:pPr>
        <w:spacing w:line="360" w:lineRule="auto"/>
        <w:jc w:val="both"/>
        <w:rPr>
          <w:rFonts w:ascii="Arial" w:eastAsia="Arial" w:hAnsi="Arial" w:cs="Arial"/>
        </w:rPr>
      </w:pPr>
    </w:p>
    <w:p w14:paraId="6FC427D7" w14:textId="77777777" w:rsidR="006C7633" w:rsidRDefault="006C7633">
      <w:pPr>
        <w:spacing w:line="360" w:lineRule="auto"/>
        <w:jc w:val="both"/>
        <w:rPr>
          <w:rFonts w:ascii="Arial" w:eastAsia="Arial" w:hAnsi="Arial" w:cs="Arial"/>
        </w:rPr>
      </w:pPr>
    </w:p>
    <w:p w14:paraId="5339681A" w14:textId="77777777" w:rsidR="006C7633" w:rsidRDefault="006C7633">
      <w:pPr>
        <w:spacing w:line="360" w:lineRule="auto"/>
        <w:jc w:val="both"/>
        <w:rPr>
          <w:rFonts w:ascii="Arial" w:eastAsia="Arial" w:hAnsi="Arial" w:cs="Arial"/>
        </w:rPr>
      </w:pPr>
    </w:p>
    <w:p w14:paraId="5C5B972B" w14:textId="77777777" w:rsidR="006C7633" w:rsidRDefault="006C7633">
      <w:pPr>
        <w:spacing w:line="360" w:lineRule="auto"/>
        <w:jc w:val="both"/>
        <w:rPr>
          <w:rFonts w:ascii="Arial" w:eastAsia="Arial" w:hAnsi="Arial" w:cs="Arial"/>
        </w:rPr>
      </w:pPr>
      <w:r>
        <w:rPr>
          <w:rFonts w:ascii="Arial" w:eastAsia="Arial" w:hAnsi="Arial" w:cs="Arial"/>
          <w:b/>
          <w:bCs/>
        </w:rPr>
        <w:t xml:space="preserve">Figure S2. Estimation of lipid-to-protein ratios in neuronal SNARE-reconstituted proteoliposomes. </w:t>
      </w:r>
      <w:r>
        <w:rPr>
          <w:rFonts w:ascii="Arial" w:eastAsia="Arial" w:hAnsi="Arial" w:cs="Arial"/>
        </w:rPr>
        <w:t>Example of gels used for the quantification in the case of SNARE liposomes without APs. Equal volumes of non-floated (NF) and floated (F) proteoliposomes were loaded onto a polyacrylamide gel, followed by Coomassie Blue staining and imaging. The intensity of each band of interest (Stx1A, SNAP25, VAMP2, and lipids) was quantified using ImageJ. Lipid and protein recovery percentages, as well as lipid-to-protein ratios, were calculated from these measurements.</w:t>
      </w:r>
    </w:p>
    <w:p w14:paraId="40C331C6" w14:textId="77777777" w:rsidR="006C7633" w:rsidRDefault="006C7633">
      <w:pPr>
        <w:spacing w:line="360" w:lineRule="auto"/>
        <w:jc w:val="both"/>
        <w:rPr>
          <w:rFonts w:ascii="Arial" w:eastAsia="Arial" w:hAnsi="Arial" w:cs="Arial"/>
        </w:rPr>
      </w:pPr>
      <w:r>
        <w:br w:type="page"/>
      </w:r>
    </w:p>
    <w:p w14:paraId="1B595B03" w14:textId="77777777" w:rsidR="006C7633" w:rsidRDefault="006C7633">
      <w:pPr>
        <w:spacing w:line="360" w:lineRule="auto"/>
        <w:jc w:val="both"/>
        <w:rPr>
          <w:rFonts w:ascii="Arial" w:eastAsia="Arial" w:hAnsi="Arial" w:cs="Arial"/>
        </w:rPr>
      </w:pPr>
      <w:r>
        <w:rPr>
          <w:noProof/>
        </w:rPr>
        <w:lastRenderedPageBreak/>
        <w:drawing>
          <wp:anchor distT="0" distB="0" distL="114300" distR="114300" simplePos="0" relativeHeight="251662336" behindDoc="1" locked="0" layoutInCell="1" hidden="0" allowOverlap="1" wp14:anchorId="3ED161D8" wp14:editId="01A3783C">
            <wp:simplePos x="0" y="0"/>
            <wp:positionH relativeFrom="column">
              <wp:posOffset>1179675</wp:posOffset>
            </wp:positionH>
            <wp:positionV relativeFrom="paragraph">
              <wp:posOffset>152400</wp:posOffset>
            </wp:positionV>
            <wp:extent cx="3376295" cy="2212975"/>
            <wp:effectExtent l="0" t="0" r="0" b="0"/>
            <wp:wrapNone/>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3376295" cy="2212975"/>
                    </a:xfrm>
                    <a:prstGeom prst="rect">
                      <a:avLst/>
                    </a:prstGeom>
                    <a:ln/>
                  </pic:spPr>
                </pic:pic>
              </a:graphicData>
            </a:graphic>
          </wp:anchor>
        </w:drawing>
      </w:r>
    </w:p>
    <w:p w14:paraId="4E055303" w14:textId="77777777" w:rsidR="006C7633" w:rsidRDefault="006C7633">
      <w:pPr>
        <w:spacing w:line="360" w:lineRule="auto"/>
        <w:jc w:val="both"/>
        <w:rPr>
          <w:rFonts w:ascii="Arial" w:eastAsia="Arial" w:hAnsi="Arial" w:cs="Arial"/>
          <w:b/>
          <w:bCs/>
          <w:color w:val="000000"/>
          <w:u w:val="single"/>
        </w:rPr>
      </w:pPr>
    </w:p>
    <w:p w14:paraId="3D4E7A86" w14:textId="77777777" w:rsidR="006C7633" w:rsidRDefault="006C7633">
      <w:pPr>
        <w:spacing w:line="360" w:lineRule="auto"/>
        <w:jc w:val="both"/>
        <w:rPr>
          <w:rFonts w:ascii="Arial" w:eastAsia="Arial" w:hAnsi="Arial" w:cs="Arial"/>
          <w:b/>
          <w:bCs/>
          <w:color w:val="000000"/>
          <w:u w:val="single"/>
        </w:rPr>
      </w:pPr>
    </w:p>
    <w:p w14:paraId="06BF37C2" w14:textId="77777777" w:rsidR="006C7633" w:rsidRDefault="006C7633">
      <w:pPr>
        <w:spacing w:line="360" w:lineRule="auto"/>
        <w:jc w:val="both"/>
        <w:rPr>
          <w:rFonts w:ascii="Arial" w:eastAsia="Arial" w:hAnsi="Arial" w:cs="Arial"/>
          <w:b/>
          <w:bCs/>
          <w:color w:val="000000"/>
          <w:u w:val="single"/>
        </w:rPr>
      </w:pPr>
    </w:p>
    <w:p w14:paraId="70CAAF1E" w14:textId="77777777" w:rsidR="006C7633" w:rsidRDefault="006C7633">
      <w:pPr>
        <w:spacing w:line="360" w:lineRule="auto"/>
        <w:jc w:val="both"/>
        <w:rPr>
          <w:rFonts w:ascii="Arial" w:eastAsia="Arial" w:hAnsi="Arial" w:cs="Arial"/>
          <w:b/>
          <w:bCs/>
          <w:color w:val="000000"/>
          <w:u w:val="single"/>
        </w:rPr>
      </w:pPr>
    </w:p>
    <w:p w14:paraId="2AAD0118" w14:textId="77777777" w:rsidR="006C7633" w:rsidRDefault="006C7633">
      <w:pPr>
        <w:spacing w:line="360" w:lineRule="auto"/>
        <w:jc w:val="both"/>
        <w:rPr>
          <w:rFonts w:ascii="Arial" w:eastAsia="Arial" w:hAnsi="Arial" w:cs="Arial"/>
          <w:b/>
          <w:bCs/>
          <w:color w:val="000000"/>
          <w:u w:val="single"/>
        </w:rPr>
      </w:pPr>
      <w:r>
        <w:rPr>
          <w:rFonts w:ascii="Arial" w:eastAsia="Arial" w:hAnsi="Arial" w:cs="Arial"/>
          <w:b/>
          <w:bCs/>
        </w:rPr>
        <w:t>(a)</w:t>
      </w:r>
    </w:p>
    <w:p w14:paraId="4A0FBE79" w14:textId="77777777" w:rsidR="006C7633" w:rsidRDefault="006C7633">
      <w:pPr>
        <w:spacing w:line="360" w:lineRule="auto"/>
        <w:jc w:val="both"/>
        <w:rPr>
          <w:rFonts w:ascii="Arial" w:eastAsia="Arial" w:hAnsi="Arial" w:cs="Arial"/>
          <w:b/>
          <w:bCs/>
          <w:color w:val="000000"/>
        </w:rPr>
      </w:pPr>
      <w:r>
        <w:rPr>
          <w:rFonts w:ascii="Arial" w:eastAsia="Arial" w:hAnsi="Arial" w:cs="Arial"/>
          <w:b/>
          <w:bCs/>
          <w:color w:val="000000"/>
        </w:rPr>
        <w:tab/>
      </w:r>
      <w:r>
        <w:rPr>
          <w:rFonts w:ascii="Arial" w:eastAsia="Arial" w:hAnsi="Arial" w:cs="Arial"/>
          <w:b/>
          <w:bCs/>
          <w:color w:val="000000"/>
        </w:rPr>
        <w:tab/>
      </w:r>
    </w:p>
    <w:p w14:paraId="590B101B" w14:textId="77777777" w:rsidR="006C7633" w:rsidRDefault="006C7633">
      <w:pPr>
        <w:spacing w:line="360" w:lineRule="auto"/>
        <w:jc w:val="both"/>
        <w:rPr>
          <w:rFonts w:ascii="Arial" w:eastAsia="Arial" w:hAnsi="Arial" w:cs="Arial"/>
          <w:b/>
          <w:bCs/>
          <w:color w:val="000000"/>
          <w:u w:val="single"/>
        </w:rPr>
      </w:pPr>
    </w:p>
    <w:p w14:paraId="1875C815" w14:textId="77777777" w:rsidR="006C7633" w:rsidRDefault="006C7633">
      <w:pPr>
        <w:spacing w:line="360" w:lineRule="auto"/>
        <w:jc w:val="both"/>
        <w:rPr>
          <w:rFonts w:ascii="Arial" w:eastAsia="Arial" w:hAnsi="Arial" w:cs="Arial"/>
          <w:b/>
          <w:bCs/>
          <w:color w:val="000000"/>
          <w:u w:val="single"/>
        </w:rPr>
      </w:pPr>
    </w:p>
    <w:p w14:paraId="79899329" w14:textId="77777777" w:rsidR="006C7633" w:rsidRDefault="006C7633">
      <w:pPr>
        <w:spacing w:line="360" w:lineRule="auto"/>
        <w:jc w:val="both"/>
        <w:rPr>
          <w:rFonts w:ascii="Arial" w:eastAsia="Arial" w:hAnsi="Arial" w:cs="Arial"/>
          <w:b/>
          <w:bCs/>
          <w:u w:val="single"/>
        </w:rPr>
      </w:pPr>
      <w:r>
        <w:rPr>
          <w:noProof/>
        </w:rPr>
        <w:drawing>
          <wp:anchor distT="114300" distB="114300" distL="114300" distR="114300" simplePos="0" relativeHeight="251663360" behindDoc="0" locked="0" layoutInCell="1" hidden="0" allowOverlap="1" wp14:anchorId="77484453" wp14:editId="2A721CA4">
            <wp:simplePos x="0" y="0"/>
            <wp:positionH relativeFrom="column">
              <wp:posOffset>4048125</wp:posOffset>
            </wp:positionH>
            <wp:positionV relativeFrom="paragraph">
              <wp:posOffset>165757</wp:posOffset>
            </wp:positionV>
            <wp:extent cx="1933012" cy="2343894"/>
            <wp:effectExtent l="0" t="0" r="0" b="0"/>
            <wp:wrapNone/>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1933012" cy="2343894"/>
                    </a:xfrm>
                    <a:prstGeom prst="rect">
                      <a:avLst/>
                    </a:prstGeom>
                    <a:ln/>
                  </pic:spPr>
                </pic:pic>
              </a:graphicData>
            </a:graphic>
          </wp:anchor>
        </w:drawing>
      </w:r>
    </w:p>
    <w:p w14:paraId="2DDF7B50" w14:textId="77777777" w:rsidR="006C7633" w:rsidRDefault="006C7633">
      <w:pPr>
        <w:spacing w:line="360" w:lineRule="auto"/>
        <w:jc w:val="both"/>
        <w:rPr>
          <w:rFonts w:ascii="Arial" w:eastAsia="Arial" w:hAnsi="Arial" w:cs="Arial"/>
          <w:b/>
          <w:bCs/>
          <w:color w:val="000000"/>
          <w:u w:val="single"/>
        </w:rPr>
      </w:pPr>
      <w:r>
        <w:rPr>
          <w:noProof/>
        </w:rPr>
        <w:drawing>
          <wp:anchor distT="114300" distB="114300" distL="114300" distR="114300" simplePos="0" relativeHeight="251664384" behindDoc="0" locked="0" layoutInCell="1" hidden="0" allowOverlap="1" wp14:anchorId="76C18196" wp14:editId="789558AA">
            <wp:simplePos x="0" y="0"/>
            <wp:positionH relativeFrom="column">
              <wp:posOffset>304800</wp:posOffset>
            </wp:positionH>
            <wp:positionV relativeFrom="paragraph">
              <wp:posOffset>200025</wp:posOffset>
            </wp:positionV>
            <wp:extent cx="3744927" cy="220980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744927" cy="2209800"/>
                    </a:xfrm>
                    <a:prstGeom prst="rect">
                      <a:avLst/>
                    </a:prstGeom>
                    <a:ln/>
                  </pic:spPr>
                </pic:pic>
              </a:graphicData>
            </a:graphic>
          </wp:anchor>
        </w:drawing>
      </w:r>
    </w:p>
    <w:p w14:paraId="718A89CC" w14:textId="77777777" w:rsidR="006C7633" w:rsidRDefault="006C7633">
      <w:pPr>
        <w:spacing w:line="360" w:lineRule="auto"/>
        <w:jc w:val="both"/>
        <w:rPr>
          <w:rFonts w:ascii="Arial" w:eastAsia="Arial" w:hAnsi="Arial" w:cs="Arial"/>
          <w:b/>
          <w:bCs/>
          <w:color w:val="000000"/>
          <w:u w:val="single"/>
        </w:rPr>
      </w:pPr>
    </w:p>
    <w:p w14:paraId="6AD539DD" w14:textId="77777777" w:rsidR="006C7633" w:rsidRDefault="006C7633">
      <w:pPr>
        <w:spacing w:line="360" w:lineRule="auto"/>
        <w:jc w:val="both"/>
        <w:rPr>
          <w:rFonts w:ascii="Arial" w:eastAsia="Arial" w:hAnsi="Arial" w:cs="Arial"/>
          <w:b/>
          <w:bCs/>
          <w:color w:val="000000"/>
          <w:u w:val="single"/>
        </w:rPr>
      </w:pPr>
    </w:p>
    <w:p w14:paraId="1119BCB6" w14:textId="77777777" w:rsidR="006C7633" w:rsidRDefault="006C7633">
      <w:pPr>
        <w:spacing w:line="360" w:lineRule="auto"/>
        <w:jc w:val="both"/>
        <w:rPr>
          <w:rFonts w:ascii="Arial" w:eastAsia="Arial" w:hAnsi="Arial" w:cs="Arial"/>
          <w:b/>
          <w:bCs/>
          <w:color w:val="000000"/>
          <w:u w:val="single"/>
        </w:rPr>
      </w:pPr>
    </w:p>
    <w:p w14:paraId="23695B79" w14:textId="77777777" w:rsidR="006C7633" w:rsidRDefault="006C7633">
      <w:pPr>
        <w:spacing w:line="360" w:lineRule="auto"/>
        <w:jc w:val="both"/>
        <w:rPr>
          <w:rFonts w:ascii="Arial" w:eastAsia="Arial" w:hAnsi="Arial" w:cs="Arial"/>
          <w:b/>
          <w:bCs/>
          <w:u w:val="single"/>
        </w:rPr>
      </w:pPr>
      <w:r>
        <w:rPr>
          <w:rFonts w:ascii="Arial" w:eastAsia="Arial" w:hAnsi="Arial" w:cs="Arial"/>
          <w:b/>
          <w:bCs/>
        </w:rPr>
        <w:t>(b)</w:t>
      </w:r>
    </w:p>
    <w:p w14:paraId="1BE70421" w14:textId="77777777" w:rsidR="006C7633" w:rsidRDefault="006C7633">
      <w:pPr>
        <w:spacing w:line="360" w:lineRule="auto"/>
        <w:jc w:val="both"/>
        <w:rPr>
          <w:rFonts w:ascii="Arial" w:eastAsia="Arial" w:hAnsi="Arial" w:cs="Arial"/>
          <w:b/>
          <w:bCs/>
          <w:color w:val="000000"/>
        </w:rPr>
      </w:pPr>
    </w:p>
    <w:p w14:paraId="0896314C" w14:textId="77777777" w:rsidR="006C7633" w:rsidRDefault="006C7633">
      <w:pPr>
        <w:spacing w:line="360" w:lineRule="auto"/>
        <w:jc w:val="both"/>
        <w:rPr>
          <w:rFonts w:ascii="Arial" w:eastAsia="Arial" w:hAnsi="Arial" w:cs="Arial"/>
          <w:b/>
          <w:bCs/>
          <w:color w:val="000000"/>
          <w:u w:val="single"/>
        </w:rPr>
      </w:pPr>
    </w:p>
    <w:p w14:paraId="04EDD2C8" w14:textId="77777777" w:rsidR="006C7633" w:rsidRDefault="006C7633">
      <w:pPr>
        <w:spacing w:line="360" w:lineRule="auto"/>
        <w:jc w:val="both"/>
        <w:rPr>
          <w:rFonts w:ascii="Arial" w:eastAsia="Arial" w:hAnsi="Arial" w:cs="Arial"/>
          <w:b/>
          <w:bCs/>
          <w:color w:val="000000"/>
          <w:u w:val="single"/>
        </w:rPr>
      </w:pPr>
    </w:p>
    <w:p w14:paraId="32BBEF8A" w14:textId="77777777" w:rsidR="006C7633" w:rsidRDefault="006C7633">
      <w:pPr>
        <w:spacing w:line="360" w:lineRule="auto"/>
        <w:jc w:val="both"/>
        <w:rPr>
          <w:rFonts w:ascii="Arial" w:eastAsia="Arial" w:hAnsi="Arial" w:cs="Arial"/>
          <w:b/>
          <w:bCs/>
          <w:u w:val="single"/>
        </w:rPr>
      </w:pPr>
    </w:p>
    <w:p w14:paraId="6EE15367" w14:textId="77777777" w:rsidR="006C7633" w:rsidRDefault="006C7633">
      <w:pPr>
        <w:spacing w:line="360" w:lineRule="auto"/>
        <w:jc w:val="both"/>
        <w:rPr>
          <w:rFonts w:ascii="Arial" w:eastAsia="Arial" w:hAnsi="Arial" w:cs="Arial"/>
          <w:b/>
          <w:bCs/>
          <w:u w:val="single"/>
        </w:rPr>
      </w:pPr>
    </w:p>
    <w:p w14:paraId="55498131" w14:textId="77777777" w:rsidR="006C7633" w:rsidRDefault="006C7633">
      <w:pPr>
        <w:spacing w:line="360" w:lineRule="auto"/>
        <w:jc w:val="both"/>
        <w:rPr>
          <w:rFonts w:ascii="Arial" w:eastAsia="Arial" w:hAnsi="Arial" w:cs="Arial"/>
        </w:rPr>
      </w:pPr>
      <w:r>
        <w:rPr>
          <w:rFonts w:ascii="Arial" w:eastAsia="Arial" w:hAnsi="Arial" w:cs="Arial"/>
          <w:b/>
          <w:bCs/>
          <w:color w:val="000000"/>
        </w:rPr>
        <w:t>Figure S</w:t>
      </w:r>
      <w:r>
        <w:rPr>
          <w:rFonts w:ascii="Arial" w:eastAsia="Arial" w:hAnsi="Arial" w:cs="Arial"/>
          <w:b/>
          <w:bCs/>
        </w:rPr>
        <w:t>3.</w:t>
      </w:r>
      <w:r>
        <w:rPr>
          <w:rFonts w:ascii="Arial" w:eastAsia="Arial" w:hAnsi="Arial" w:cs="Arial"/>
          <w:b/>
          <w:bCs/>
          <w:color w:val="000000"/>
        </w:rPr>
        <w:t xml:space="preserve"> Control experiments for SNARE-mediated liposome fusion </w:t>
      </w:r>
      <w:r>
        <w:rPr>
          <w:rFonts w:ascii="Arial" w:eastAsia="Arial" w:hAnsi="Arial" w:cs="Arial"/>
          <w:b/>
          <w:bCs/>
          <w:i/>
          <w:iCs/>
          <w:color w:val="000000"/>
        </w:rPr>
        <w:t>in vitro</w:t>
      </w:r>
      <w:r>
        <w:rPr>
          <w:rFonts w:ascii="Arial" w:eastAsia="Arial" w:hAnsi="Arial" w:cs="Arial"/>
          <w:b/>
          <w:bCs/>
          <w:color w:val="000000"/>
        </w:rPr>
        <w:t xml:space="preserve">. </w:t>
      </w:r>
      <w:r>
        <w:rPr>
          <w:rFonts w:ascii="Arial" w:eastAsia="Arial" w:hAnsi="Arial" w:cs="Arial"/>
          <w:color w:val="000000"/>
        </w:rPr>
        <w:t xml:space="preserve">(a) Mechanism of action of CDV. Top: In the absence of CDV, cognate v- and t-SNARE proteins assemble </w:t>
      </w:r>
      <w:r>
        <w:rPr>
          <w:rFonts w:ascii="Arial" w:eastAsia="Arial" w:hAnsi="Arial" w:cs="Arial"/>
        </w:rPr>
        <w:t>to</w:t>
      </w:r>
      <w:r>
        <w:rPr>
          <w:rFonts w:ascii="Arial" w:eastAsia="Arial" w:hAnsi="Arial" w:cs="Arial"/>
          <w:color w:val="000000"/>
        </w:rPr>
        <w:t xml:space="preserve"> form the </w:t>
      </w:r>
      <w:r>
        <w:rPr>
          <w:rFonts w:ascii="Arial" w:eastAsia="Arial" w:hAnsi="Arial" w:cs="Arial"/>
        </w:rPr>
        <w:t>trans</w:t>
      </w:r>
      <w:r>
        <w:rPr>
          <w:rFonts w:ascii="Arial" w:eastAsia="Arial" w:hAnsi="Arial" w:cs="Arial"/>
          <w:color w:val="000000"/>
        </w:rPr>
        <w:t xml:space="preserve">-SNARE complex, driving liposome fusion. Bottom: When t-SNARE liposomes are pre-incubated with CDV, the </w:t>
      </w:r>
      <w:r>
        <w:rPr>
          <w:rFonts w:ascii="Arial" w:eastAsia="Arial" w:hAnsi="Arial" w:cs="Arial"/>
        </w:rPr>
        <w:t>resulting</w:t>
      </w:r>
      <w:r>
        <w:rPr>
          <w:rFonts w:ascii="Arial" w:eastAsia="Arial" w:hAnsi="Arial" w:cs="Arial"/>
          <w:color w:val="000000"/>
        </w:rPr>
        <w:t xml:space="preserve"> Stx1A/SNAP25/CDV complex prevent</w:t>
      </w:r>
      <w:r>
        <w:rPr>
          <w:rFonts w:ascii="Arial" w:eastAsia="Arial" w:hAnsi="Arial" w:cs="Arial"/>
        </w:rPr>
        <w:t>s</w:t>
      </w:r>
      <w:r>
        <w:rPr>
          <w:rFonts w:ascii="Arial" w:eastAsia="Arial" w:hAnsi="Arial" w:cs="Arial"/>
          <w:color w:val="000000"/>
        </w:rPr>
        <w:t xml:space="preserve"> full-length VAMP2 in donor liposomes from engaging in the trans-SNARE complex. As a result, membrane fusion is blocked.</w:t>
      </w:r>
      <w:r>
        <w:rPr>
          <w:rFonts w:ascii="Arial" w:eastAsia="Arial" w:hAnsi="Arial" w:cs="Arial"/>
          <w:b/>
          <w:bCs/>
          <w:color w:val="000000"/>
        </w:rPr>
        <w:t xml:space="preserve"> </w:t>
      </w:r>
      <w:r>
        <w:rPr>
          <w:rFonts w:ascii="Arial" w:eastAsia="Arial" w:hAnsi="Arial" w:cs="Arial"/>
          <w:color w:val="000000"/>
        </w:rPr>
        <w:t>(b) Left: Representative fusion kinetics of liposomes composed of PC:PS:PE (65:10:25 mol%; 1 mM final lipid concentration) in the absence or presence of CPZ</w:t>
      </w:r>
      <w:r>
        <w:rPr>
          <w:rFonts w:ascii="Arial" w:eastAsia="Arial" w:hAnsi="Arial" w:cs="Arial"/>
        </w:rPr>
        <w:t>,</w:t>
      </w:r>
      <w:r>
        <w:rPr>
          <w:rFonts w:ascii="Arial" w:eastAsia="Arial" w:hAnsi="Arial" w:cs="Arial"/>
          <w:color w:val="000000"/>
        </w:rPr>
        <w:t xml:space="preserve"> CLOZ, or AMI incorporated at an AP/</w:t>
      </w:r>
      <w:r>
        <w:rPr>
          <w:rFonts w:ascii="Arial" w:eastAsia="Arial" w:hAnsi="Arial" w:cs="Arial"/>
        </w:rPr>
        <w:t>L</w:t>
      </w:r>
      <w:r>
        <w:rPr>
          <w:rFonts w:ascii="Arial" w:eastAsia="Arial" w:hAnsi="Arial" w:cs="Arial"/>
          <w:color w:val="000000"/>
        </w:rPr>
        <w:t xml:space="preserve"> molar ratio of 1/100. Right: </w:t>
      </w:r>
      <w:r>
        <w:rPr>
          <w:rFonts w:ascii="Arial" w:eastAsia="Arial" w:hAnsi="Arial" w:cs="Arial"/>
        </w:rPr>
        <w:t>Control experiment statistics after 90 min. Bars represent estimated marginal means derived from a linear mixed-effects model, including AP treatment as a fixed effect and experiment as a random intercept. Error bars denote 95% confidence intervals. Individual observations are displayed as points. Fewer replicates were performed for the AMI condition; these were appropriately accounted for and incorporated into the model estimation.</w:t>
      </w:r>
    </w:p>
    <w:p w14:paraId="7FEE087E" w14:textId="77777777" w:rsidR="006C7633" w:rsidRDefault="006C7633">
      <w:pPr>
        <w:spacing w:line="360" w:lineRule="auto"/>
        <w:jc w:val="both"/>
        <w:rPr>
          <w:rFonts w:ascii="Arial" w:eastAsia="Arial" w:hAnsi="Arial" w:cs="Arial"/>
        </w:rPr>
      </w:pPr>
    </w:p>
    <w:p w14:paraId="69C8C5DA" w14:textId="77777777" w:rsidR="006C7633" w:rsidRDefault="006C7633">
      <w:pPr>
        <w:spacing w:line="360" w:lineRule="auto"/>
        <w:jc w:val="both"/>
        <w:rPr>
          <w:rFonts w:ascii="Arial" w:eastAsia="Arial" w:hAnsi="Arial" w:cs="Arial"/>
        </w:rPr>
      </w:pPr>
      <w:r>
        <w:rPr>
          <w:rFonts w:ascii="Arial" w:eastAsia="Arial" w:hAnsi="Arial" w:cs="Arial"/>
          <w:noProof/>
        </w:rPr>
        <w:drawing>
          <wp:inline distT="114300" distB="114300" distL="114300" distR="114300" wp14:anchorId="147777A8" wp14:editId="46363249">
            <wp:extent cx="5731200" cy="44831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731200" cy="4483100"/>
                    </a:xfrm>
                    <a:prstGeom prst="rect">
                      <a:avLst/>
                    </a:prstGeom>
                    <a:ln/>
                  </pic:spPr>
                </pic:pic>
              </a:graphicData>
            </a:graphic>
          </wp:inline>
        </w:drawing>
      </w:r>
    </w:p>
    <w:p w14:paraId="565B349B" w14:textId="77777777" w:rsidR="006C7633" w:rsidRDefault="006C7633">
      <w:pPr>
        <w:spacing w:line="360" w:lineRule="auto"/>
        <w:jc w:val="both"/>
        <w:rPr>
          <w:rFonts w:ascii="Arial" w:eastAsia="Arial" w:hAnsi="Arial" w:cs="Arial"/>
        </w:rPr>
      </w:pPr>
    </w:p>
    <w:p w14:paraId="03FDF42E" w14:textId="77777777" w:rsidR="006C7633" w:rsidRDefault="006C7633">
      <w:pPr>
        <w:spacing w:line="360" w:lineRule="auto"/>
        <w:jc w:val="both"/>
        <w:rPr>
          <w:rFonts w:ascii="Arial" w:eastAsia="Arial" w:hAnsi="Arial" w:cs="Arial"/>
          <w:color w:val="000000"/>
        </w:rPr>
      </w:pPr>
      <w:r>
        <w:rPr>
          <w:rFonts w:ascii="Arial" w:eastAsia="Arial" w:hAnsi="Arial" w:cs="Arial"/>
          <w:b/>
          <w:bCs/>
          <w:color w:val="000000"/>
        </w:rPr>
        <w:t>Figure S</w:t>
      </w:r>
      <w:r>
        <w:rPr>
          <w:rFonts w:ascii="Arial" w:eastAsia="Arial" w:hAnsi="Arial" w:cs="Arial"/>
          <w:b/>
          <w:bCs/>
        </w:rPr>
        <w:t>4.</w:t>
      </w:r>
      <w:r>
        <w:rPr>
          <w:rFonts w:ascii="Arial" w:eastAsia="Arial" w:hAnsi="Arial" w:cs="Arial"/>
          <w:color w:val="000000"/>
        </w:rPr>
        <w:t xml:space="preserve"> </w:t>
      </w:r>
      <w:proofErr w:type="gramStart"/>
      <w:r>
        <w:rPr>
          <w:rFonts w:ascii="Arial" w:eastAsia="Arial" w:hAnsi="Arial" w:cs="Arial"/>
          <w:b/>
          <w:bCs/>
          <w:color w:val="000000"/>
        </w:rPr>
        <w:t>Absorption spectra</w:t>
      </w:r>
      <w:proofErr w:type="gramEnd"/>
      <w:r>
        <w:rPr>
          <w:rFonts w:ascii="Arial" w:eastAsia="Arial" w:hAnsi="Arial" w:cs="Arial"/>
          <w:b/>
          <w:bCs/>
          <w:color w:val="000000"/>
        </w:rPr>
        <w:t xml:space="preserve"> of CPZ, CLOZ, and AMI. </w:t>
      </w:r>
      <w:r>
        <w:rPr>
          <w:rFonts w:ascii="Arial" w:eastAsia="Arial" w:hAnsi="Arial" w:cs="Arial"/>
          <w:color w:val="000000"/>
        </w:rPr>
        <w:t xml:space="preserve">Absorption spectra of CPZ, CLOZ, and AMI (30 µM) in buffer H </w:t>
      </w:r>
      <w:r>
        <w:rPr>
          <w:rFonts w:ascii="Arial" w:eastAsia="Arial" w:hAnsi="Arial" w:cs="Arial"/>
        </w:rPr>
        <w:t>supplemented with</w:t>
      </w:r>
      <w:r>
        <w:rPr>
          <w:rFonts w:ascii="Arial" w:eastAsia="Arial" w:hAnsi="Arial" w:cs="Arial"/>
          <w:color w:val="000000"/>
        </w:rPr>
        <w:t xml:space="preserve"> 1% (v/v) DMSO, after subtraction of the buffer signal.</w:t>
      </w:r>
      <w:r>
        <w:rPr>
          <w:rFonts w:ascii="Arial" w:eastAsia="Arial" w:hAnsi="Arial" w:cs="Arial"/>
          <w:b/>
          <w:bCs/>
          <w:color w:val="000000"/>
        </w:rPr>
        <w:t xml:space="preserve"> </w:t>
      </w:r>
      <w:r>
        <w:rPr>
          <w:rFonts w:ascii="Arial" w:eastAsia="Arial" w:hAnsi="Arial" w:cs="Arial"/>
          <w:color w:val="000000"/>
        </w:rPr>
        <w:t>Absorption peaks of each AP are indicated by arrows. For partition coefficient calculations, the following wavelengths were selected: 255 nm for CPZ, 295 nm for CLOZ, and 283 nm for AMI.</w:t>
      </w:r>
    </w:p>
    <w:p w14:paraId="408D4255" w14:textId="77777777" w:rsidR="006C7633" w:rsidRDefault="006C7633">
      <w:pPr>
        <w:spacing w:line="360" w:lineRule="auto"/>
        <w:jc w:val="both"/>
        <w:rPr>
          <w:rFonts w:ascii="Arial" w:eastAsia="Arial" w:hAnsi="Arial" w:cs="Arial"/>
        </w:rPr>
      </w:pPr>
      <w:r>
        <w:br w:type="page"/>
      </w:r>
    </w:p>
    <w:p w14:paraId="06368482" w14:textId="77777777" w:rsidR="006C7633" w:rsidRDefault="006C7633">
      <w:pPr>
        <w:spacing w:line="360" w:lineRule="auto"/>
        <w:jc w:val="both"/>
        <w:rPr>
          <w:rFonts w:ascii="Arial" w:eastAsia="Arial" w:hAnsi="Arial" w:cs="Arial"/>
        </w:rPr>
      </w:pPr>
      <w:r>
        <w:rPr>
          <w:rFonts w:ascii="Arial" w:eastAsia="Arial" w:hAnsi="Arial" w:cs="Arial"/>
          <w:noProof/>
        </w:rPr>
        <w:lastRenderedPageBreak/>
        <w:drawing>
          <wp:inline distT="114300" distB="114300" distL="114300" distR="114300" wp14:anchorId="2833F496" wp14:editId="6C3ADEB4">
            <wp:extent cx="5731200" cy="73787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5731200" cy="7378700"/>
                    </a:xfrm>
                    <a:prstGeom prst="rect">
                      <a:avLst/>
                    </a:prstGeom>
                    <a:ln/>
                  </pic:spPr>
                </pic:pic>
              </a:graphicData>
            </a:graphic>
          </wp:inline>
        </w:drawing>
      </w:r>
    </w:p>
    <w:p w14:paraId="74862998" w14:textId="77777777" w:rsidR="006C7633" w:rsidRDefault="006C7633">
      <w:pPr>
        <w:spacing w:line="360" w:lineRule="auto"/>
        <w:jc w:val="both"/>
        <w:rPr>
          <w:rFonts w:ascii="Arial" w:eastAsia="Arial" w:hAnsi="Arial" w:cs="Arial"/>
        </w:rPr>
      </w:pPr>
    </w:p>
    <w:p w14:paraId="59F6992A" w14:textId="77777777" w:rsidR="006C7633" w:rsidRDefault="006C7633">
      <w:pPr>
        <w:spacing w:line="360" w:lineRule="auto"/>
        <w:jc w:val="both"/>
        <w:rPr>
          <w:rFonts w:ascii="Arial" w:eastAsia="Arial" w:hAnsi="Arial" w:cs="Arial"/>
          <w:color w:val="000000"/>
        </w:rPr>
      </w:pPr>
      <w:r>
        <w:rPr>
          <w:rFonts w:ascii="Arial" w:eastAsia="Arial" w:hAnsi="Arial" w:cs="Arial"/>
          <w:b/>
          <w:bCs/>
          <w:color w:val="000000"/>
        </w:rPr>
        <w:t>Figure S</w:t>
      </w:r>
      <w:r>
        <w:rPr>
          <w:rFonts w:ascii="Arial" w:eastAsia="Arial" w:hAnsi="Arial" w:cs="Arial"/>
          <w:b/>
          <w:bCs/>
        </w:rPr>
        <w:t>5.</w:t>
      </w:r>
      <w:r>
        <w:rPr>
          <w:rFonts w:ascii="Arial" w:eastAsia="Arial" w:hAnsi="Arial" w:cs="Arial"/>
          <w:b/>
          <w:bCs/>
          <w:color w:val="000000"/>
        </w:rPr>
        <w:t xml:space="preserve"> Lipid </w:t>
      </w:r>
      <w:r>
        <w:rPr>
          <w:rFonts w:ascii="Arial" w:eastAsia="Arial" w:hAnsi="Arial" w:cs="Arial"/>
          <w:b/>
          <w:bCs/>
        </w:rPr>
        <w:t>concentration-dependent</w:t>
      </w:r>
      <w:r>
        <w:rPr>
          <w:rFonts w:ascii="Arial" w:eastAsia="Arial" w:hAnsi="Arial" w:cs="Arial"/>
          <w:b/>
          <w:bCs/>
          <w:color w:val="000000"/>
        </w:rPr>
        <w:t xml:space="preserve"> spectral </w:t>
      </w:r>
      <w:r>
        <w:rPr>
          <w:rFonts w:ascii="Arial" w:eastAsia="Arial" w:hAnsi="Arial" w:cs="Arial"/>
          <w:b/>
          <w:bCs/>
        </w:rPr>
        <w:t>changes</w:t>
      </w:r>
      <w:r>
        <w:rPr>
          <w:rFonts w:ascii="Arial" w:eastAsia="Arial" w:hAnsi="Arial" w:cs="Arial"/>
          <w:b/>
          <w:bCs/>
          <w:color w:val="000000"/>
        </w:rPr>
        <w:t xml:space="preserve"> of APs upon membrane interaction. </w:t>
      </w:r>
      <w:r>
        <w:rPr>
          <w:rFonts w:ascii="Arial" w:eastAsia="Arial" w:hAnsi="Arial" w:cs="Arial"/>
          <w:color w:val="000000"/>
        </w:rPr>
        <w:t xml:space="preserve">Absorption spectra of CPZ, CLOZ, and AMI (30 µM) </w:t>
      </w:r>
      <w:r>
        <w:rPr>
          <w:rFonts w:ascii="Arial" w:eastAsia="Arial" w:hAnsi="Arial" w:cs="Arial"/>
        </w:rPr>
        <w:t>recorded in the presence of</w:t>
      </w:r>
      <w:r>
        <w:rPr>
          <w:rFonts w:ascii="Arial" w:eastAsia="Arial" w:hAnsi="Arial" w:cs="Arial"/>
          <w:color w:val="000000"/>
        </w:rPr>
        <w:t xml:space="preserve"> protein-free PC:PS:PE (65:10:25 mol%) liposomes </w:t>
      </w:r>
      <w:r>
        <w:rPr>
          <w:rFonts w:ascii="Arial" w:eastAsia="Arial" w:hAnsi="Arial" w:cs="Arial"/>
        </w:rPr>
        <w:t>at</w:t>
      </w:r>
      <w:r>
        <w:rPr>
          <w:rFonts w:ascii="Arial" w:eastAsia="Arial" w:hAnsi="Arial" w:cs="Arial"/>
          <w:color w:val="000000"/>
        </w:rPr>
        <w:t xml:space="preserve"> increasing lipid concentrations in buffer H supplemented with 1% (v/v) DMSO, after subtraction </w:t>
      </w:r>
      <w:r>
        <w:rPr>
          <w:rFonts w:ascii="Arial" w:eastAsia="Arial" w:hAnsi="Arial" w:cs="Arial"/>
          <w:color w:val="000000"/>
        </w:rPr>
        <w:lastRenderedPageBreak/>
        <w:t xml:space="preserve">of the </w:t>
      </w:r>
      <w:r>
        <w:rPr>
          <w:rFonts w:ascii="Arial" w:eastAsia="Arial" w:hAnsi="Arial" w:cs="Arial"/>
        </w:rPr>
        <w:t>liposome</w:t>
      </w:r>
      <w:r>
        <w:rPr>
          <w:rFonts w:ascii="Arial" w:eastAsia="Arial" w:hAnsi="Arial" w:cs="Arial"/>
          <w:color w:val="000000"/>
        </w:rPr>
        <w:t xml:space="preserve"> signal. Zoomed-in panels highlight the absorption maxima used for membrane partition coefficient calculations. CPZ and CLOZ exhibit a progressive increase in intensity and red shift </w:t>
      </w:r>
      <w:r>
        <w:rPr>
          <w:rFonts w:ascii="Arial" w:eastAsia="Arial" w:hAnsi="Arial" w:cs="Arial"/>
        </w:rPr>
        <w:t>in</w:t>
      </w:r>
      <w:r>
        <w:rPr>
          <w:rFonts w:ascii="Arial" w:eastAsia="Arial" w:hAnsi="Arial" w:cs="Arial"/>
          <w:color w:val="000000"/>
        </w:rPr>
        <w:t xml:space="preserve"> their absorption peaks with increasing lipid concentration, consistent with membrane insertion, whereas no detectable </w:t>
      </w:r>
      <w:r>
        <w:rPr>
          <w:rFonts w:ascii="Arial" w:eastAsia="Arial" w:hAnsi="Arial" w:cs="Arial"/>
        </w:rPr>
        <w:t>changes</w:t>
      </w:r>
      <w:r>
        <w:rPr>
          <w:rFonts w:ascii="Arial" w:eastAsia="Arial" w:hAnsi="Arial" w:cs="Arial"/>
          <w:color w:val="000000"/>
        </w:rPr>
        <w:t xml:space="preserve"> </w:t>
      </w:r>
      <w:r>
        <w:rPr>
          <w:rFonts w:ascii="Arial" w:eastAsia="Arial" w:hAnsi="Arial" w:cs="Arial"/>
        </w:rPr>
        <w:t>are</w:t>
      </w:r>
      <w:r>
        <w:rPr>
          <w:rFonts w:ascii="Arial" w:eastAsia="Arial" w:hAnsi="Arial" w:cs="Arial"/>
          <w:color w:val="000000"/>
        </w:rPr>
        <w:t xml:space="preserve"> observed for AMI under identical conditions.</w:t>
      </w:r>
    </w:p>
    <w:p w14:paraId="645EBE4A" w14:textId="77777777" w:rsidR="006C7633" w:rsidRDefault="006C7633">
      <w:pPr>
        <w:spacing w:line="360" w:lineRule="auto"/>
        <w:jc w:val="both"/>
        <w:rPr>
          <w:rFonts w:ascii="Arial" w:eastAsia="Arial" w:hAnsi="Arial" w:cs="Arial"/>
        </w:rPr>
      </w:pPr>
      <w:r>
        <w:br w:type="page"/>
      </w:r>
    </w:p>
    <w:p w14:paraId="21B71B84" w14:textId="77777777" w:rsidR="006C7633" w:rsidRDefault="006C7633">
      <w:pPr>
        <w:spacing w:line="360" w:lineRule="auto"/>
        <w:jc w:val="center"/>
        <w:rPr>
          <w:rFonts w:ascii="Arial" w:eastAsia="Arial" w:hAnsi="Arial" w:cs="Arial"/>
          <w:b/>
          <w:bCs/>
        </w:rPr>
      </w:pPr>
      <w:r>
        <w:rPr>
          <w:rFonts w:ascii="Arial" w:eastAsia="Arial" w:hAnsi="Arial" w:cs="Arial"/>
          <w:b/>
          <w:bCs/>
          <w:noProof/>
        </w:rPr>
        <w:lastRenderedPageBreak/>
        <w:drawing>
          <wp:inline distT="114300" distB="114300" distL="114300" distR="114300" wp14:anchorId="297E92C8" wp14:editId="77D1D201">
            <wp:extent cx="5731200" cy="84836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5731200" cy="8483600"/>
                    </a:xfrm>
                    <a:prstGeom prst="rect">
                      <a:avLst/>
                    </a:prstGeom>
                    <a:ln/>
                  </pic:spPr>
                </pic:pic>
              </a:graphicData>
            </a:graphic>
          </wp:inline>
        </w:drawing>
      </w:r>
    </w:p>
    <w:p w14:paraId="08A74962" w14:textId="77777777" w:rsidR="006C7633" w:rsidRDefault="006C7633">
      <w:pPr>
        <w:spacing w:line="360" w:lineRule="auto"/>
        <w:rPr>
          <w:rFonts w:ascii="Arial" w:eastAsia="Arial" w:hAnsi="Arial" w:cs="Arial"/>
          <w:b/>
          <w:bCs/>
        </w:rPr>
      </w:pPr>
    </w:p>
    <w:p w14:paraId="14B6F172" w14:textId="77777777" w:rsidR="006C7633" w:rsidRDefault="006C7633">
      <w:pPr>
        <w:spacing w:line="360" w:lineRule="auto"/>
        <w:jc w:val="both"/>
        <w:rPr>
          <w:rFonts w:ascii="Arial" w:eastAsia="Arial" w:hAnsi="Arial" w:cs="Arial"/>
        </w:rPr>
      </w:pPr>
      <w:r>
        <w:rPr>
          <w:rFonts w:ascii="Arial" w:eastAsia="Arial" w:hAnsi="Arial" w:cs="Arial"/>
          <w:b/>
          <w:bCs/>
          <w:color w:val="000000"/>
        </w:rPr>
        <w:lastRenderedPageBreak/>
        <w:t>Figure S</w:t>
      </w:r>
      <w:r>
        <w:rPr>
          <w:rFonts w:ascii="Arial" w:eastAsia="Arial" w:hAnsi="Arial" w:cs="Arial"/>
          <w:b/>
          <w:bCs/>
        </w:rPr>
        <w:t>6.</w:t>
      </w:r>
      <w:r>
        <w:rPr>
          <w:rFonts w:ascii="Arial" w:eastAsia="Arial" w:hAnsi="Arial" w:cs="Arial"/>
          <w:b/>
          <w:bCs/>
          <w:color w:val="000000"/>
        </w:rPr>
        <w:t xml:space="preserve"> </w:t>
      </w:r>
      <w:r>
        <w:rPr>
          <w:rFonts w:ascii="Arial" w:eastAsia="Arial" w:hAnsi="Arial" w:cs="Arial"/>
          <w:b/>
          <w:bCs/>
        </w:rPr>
        <w:t>Analysis of second-derivative absorption spectra for CLOZ and AMI.</w:t>
      </w:r>
      <w:r>
        <w:rPr>
          <w:rFonts w:ascii="Arial" w:eastAsia="Arial" w:hAnsi="Arial" w:cs="Arial"/>
        </w:rPr>
        <w:t xml:space="preserve"> </w:t>
      </w:r>
      <w:r>
        <w:rPr>
          <w:rFonts w:ascii="Arial" w:eastAsia="Arial" w:hAnsi="Arial" w:cs="Arial"/>
          <w:b/>
          <w:bCs/>
        </w:rPr>
        <w:t>(a)</w:t>
      </w:r>
      <w:r>
        <w:rPr>
          <w:rFonts w:ascii="Arial" w:eastAsia="Arial" w:hAnsi="Arial" w:cs="Arial"/>
        </w:rPr>
        <w:t xml:space="preserve"> Second-derivative absorption spectra of CLOZ (30 µM) at increasing lipid concentrations in buffer H supplemented with 1% (v/v) DMSO. Vertical dashed lines indicate the wavelengths used for partition coefficient determination. For CLOZ, 285 nm was selected rather than 295 nm due to signal instability observed at 0.05 mM lipid (red curve). Small variations in the working wavelength near the initially selected value do not significantly affect the determination of partition coefficients, as previously reported </w:t>
      </w:r>
      <w:hyperlink r:id="rId30">
        <w:r>
          <w:rPr>
            <w:rFonts w:ascii="Arial" w:eastAsia="Arial" w:hAnsi="Arial" w:cs="Arial"/>
          </w:rPr>
          <w:t>(6)</w:t>
        </w:r>
      </w:hyperlink>
      <w:r>
        <w:rPr>
          <w:rFonts w:ascii="Arial" w:eastAsia="Arial" w:hAnsi="Arial" w:cs="Arial"/>
        </w:rPr>
        <w:t xml:space="preserve">. </w:t>
      </w:r>
      <w:r>
        <w:rPr>
          <w:rFonts w:ascii="Arial" w:eastAsia="Arial" w:hAnsi="Arial" w:cs="Arial"/>
          <w:i/>
          <w:iCs/>
          <w:color w:val="000000"/>
        </w:rPr>
        <w:t xml:space="preserve">ΔD </w:t>
      </w:r>
      <w:r>
        <w:rPr>
          <w:rFonts w:ascii="Arial" w:eastAsia="Arial" w:hAnsi="Arial" w:cs="Arial"/>
          <w:color w:val="000000"/>
        </w:rPr>
        <w:t xml:space="preserve">values were calculated as the difference between the second-derivative intensity measured at a given lipid concentration and that obtained in the absence of liposomes (right panel, example at 0.2 mM lipid). </w:t>
      </w:r>
      <w:r>
        <w:rPr>
          <w:rFonts w:ascii="Arial" w:eastAsia="Arial" w:hAnsi="Arial" w:cs="Arial"/>
          <w:b/>
          <w:bCs/>
          <w:color w:val="000000"/>
        </w:rPr>
        <w:t>(b)</w:t>
      </w:r>
      <w:r>
        <w:rPr>
          <w:rFonts w:ascii="Arial" w:eastAsia="Arial" w:hAnsi="Arial" w:cs="Arial"/>
          <w:color w:val="000000"/>
        </w:rPr>
        <w:t xml:space="preserve"> </w:t>
      </w:r>
      <w:r>
        <w:rPr>
          <w:rFonts w:ascii="Arial" w:eastAsia="Arial" w:hAnsi="Arial" w:cs="Arial"/>
          <w:i/>
          <w:iCs/>
          <w:color w:val="000000"/>
        </w:rPr>
        <w:t xml:space="preserve">ΔD </w:t>
      </w:r>
      <w:r>
        <w:rPr>
          <w:rFonts w:ascii="Arial" w:eastAsia="Arial" w:hAnsi="Arial" w:cs="Arial"/>
          <w:color w:val="000000"/>
        </w:rPr>
        <w:t>values for CLOZ at 285 nm plotted as a function of lipid concentration and fitted using a membrane partitioning model to extract the molar partition coefficient (</w:t>
      </w:r>
      <w:proofErr w:type="spellStart"/>
      <w:r>
        <w:rPr>
          <w:rFonts w:ascii="Arial" w:eastAsia="Arial" w:hAnsi="Arial" w:cs="Arial"/>
          <w:i/>
          <w:iCs/>
          <w:color w:val="000000"/>
        </w:rPr>
        <w:t>Kp</w:t>
      </w:r>
      <w:proofErr w:type="spellEnd"/>
      <w:r>
        <w:rPr>
          <w:rFonts w:ascii="Arial" w:eastAsia="Arial" w:hAnsi="Arial" w:cs="Arial"/>
          <w:color w:val="000000"/>
        </w:rPr>
        <w:t>) and the maximal derivative change (</w:t>
      </w:r>
      <w:proofErr w:type="spellStart"/>
      <w:r>
        <w:rPr>
          <w:rFonts w:ascii="Arial" w:eastAsia="Arial" w:hAnsi="Arial" w:cs="Arial"/>
          <w:i/>
          <w:iCs/>
          <w:color w:val="000000"/>
        </w:rPr>
        <w:t>ΔD</w:t>
      </w:r>
      <w:r>
        <w:rPr>
          <w:rFonts w:ascii="Arial" w:eastAsia="Arial" w:hAnsi="Arial" w:cs="Arial"/>
          <w:i/>
          <w:iCs/>
          <w:color w:val="000000"/>
          <w:vertAlign w:val="subscript"/>
        </w:rPr>
        <w:t>max</w:t>
      </w:r>
      <w:proofErr w:type="spellEnd"/>
      <w:r>
        <w:rPr>
          <w:rFonts w:ascii="Arial" w:eastAsia="Arial" w:hAnsi="Arial" w:cs="Arial"/>
          <w:color w:val="000000"/>
        </w:rPr>
        <w:t>). Symbols</w:t>
      </w:r>
      <w:r>
        <w:rPr>
          <w:rFonts w:ascii="Arial" w:eastAsia="Arial" w:hAnsi="Arial" w:cs="Arial"/>
        </w:rPr>
        <w:t xml:space="preserve"> represent </w:t>
      </w:r>
      <w:proofErr w:type="gramStart"/>
      <w:r>
        <w:rPr>
          <w:rFonts w:ascii="Arial" w:eastAsia="Arial" w:hAnsi="Arial" w:cs="Arial"/>
        </w:rPr>
        <w:t>the experimental</w:t>
      </w:r>
      <w:proofErr w:type="gramEnd"/>
      <w:r>
        <w:rPr>
          <w:rFonts w:ascii="Arial" w:eastAsia="Arial" w:hAnsi="Arial" w:cs="Arial"/>
        </w:rPr>
        <w:t xml:space="preserve"> data points. </w:t>
      </w:r>
      <w:r>
        <w:rPr>
          <w:rFonts w:ascii="Arial" w:eastAsia="Arial" w:hAnsi="Arial" w:cs="Arial"/>
          <w:b/>
          <w:bCs/>
          <w:color w:val="000000"/>
        </w:rPr>
        <w:t>(c)</w:t>
      </w:r>
      <w:r>
        <w:rPr>
          <w:rFonts w:ascii="Arial" w:eastAsia="Arial" w:hAnsi="Arial" w:cs="Arial"/>
          <w:color w:val="000000"/>
        </w:rPr>
        <w:t xml:space="preserve"> </w:t>
      </w:r>
      <w:r>
        <w:rPr>
          <w:rFonts w:ascii="Arial" w:eastAsia="Arial" w:hAnsi="Arial" w:cs="Arial"/>
        </w:rPr>
        <w:t xml:space="preserve">Second-derivative absorption spectra of AMI (30 µM) at increasing lipid concentrations in buffer H supplemented with 1% (v/v) DMSO. </w:t>
      </w:r>
      <w:r>
        <w:rPr>
          <w:rFonts w:ascii="Arial" w:eastAsia="Arial" w:hAnsi="Arial" w:cs="Arial"/>
          <w:b/>
          <w:bCs/>
        </w:rPr>
        <w:t>(d)</w:t>
      </w:r>
      <w:r>
        <w:rPr>
          <w:rFonts w:ascii="Arial" w:eastAsia="Arial" w:hAnsi="Arial" w:cs="Arial"/>
        </w:rPr>
        <w:t xml:space="preserve"> </w:t>
      </w:r>
      <w:r>
        <w:rPr>
          <w:rFonts w:ascii="Arial" w:eastAsia="Arial" w:hAnsi="Arial" w:cs="Arial"/>
          <w:i/>
          <w:iCs/>
          <w:color w:val="000000"/>
        </w:rPr>
        <w:t xml:space="preserve">ΔD </w:t>
      </w:r>
      <w:r>
        <w:rPr>
          <w:rFonts w:ascii="Arial" w:eastAsia="Arial" w:hAnsi="Arial" w:cs="Arial"/>
          <w:color w:val="000000"/>
        </w:rPr>
        <w:t>values for AMI at 283 nm plotted as a function of lipid concentration.</w:t>
      </w:r>
      <w:r>
        <w:rPr>
          <w:rFonts w:ascii="Arial" w:eastAsia="Arial" w:hAnsi="Arial" w:cs="Arial"/>
        </w:rPr>
        <w:t xml:space="preserve"> No reliable fit could be obtained for AMI under these conditions.</w:t>
      </w:r>
    </w:p>
    <w:p w14:paraId="495968C6" w14:textId="77777777" w:rsidR="006C7633" w:rsidRDefault="006C7633">
      <w:pPr>
        <w:spacing w:line="360" w:lineRule="auto"/>
        <w:jc w:val="both"/>
        <w:rPr>
          <w:rFonts w:ascii="Arial" w:eastAsia="Arial" w:hAnsi="Arial" w:cs="Arial"/>
        </w:rPr>
      </w:pPr>
      <w:r>
        <w:br w:type="page"/>
      </w:r>
    </w:p>
    <w:p w14:paraId="06153CEA" w14:textId="77777777" w:rsidR="006C7633" w:rsidRDefault="006C7633">
      <w:pPr>
        <w:spacing w:line="360" w:lineRule="auto"/>
        <w:rPr>
          <w:rFonts w:ascii="Arial" w:eastAsia="Arial" w:hAnsi="Arial" w:cs="Arial"/>
          <w:b/>
          <w:bCs/>
        </w:rPr>
      </w:pPr>
      <w:r>
        <w:rPr>
          <w:noProof/>
        </w:rPr>
        <w:lastRenderedPageBreak/>
        <w:drawing>
          <wp:anchor distT="114300" distB="114300" distL="114300" distR="114300" simplePos="0" relativeHeight="251665408" behindDoc="0" locked="0" layoutInCell="1" hidden="0" allowOverlap="1" wp14:anchorId="477257EA" wp14:editId="08A3870D">
            <wp:simplePos x="0" y="0"/>
            <wp:positionH relativeFrom="column">
              <wp:posOffset>790575</wp:posOffset>
            </wp:positionH>
            <wp:positionV relativeFrom="paragraph">
              <wp:posOffset>257175</wp:posOffset>
            </wp:positionV>
            <wp:extent cx="4243388" cy="2498783"/>
            <wp:effectExtent l="0" t="0" r="0" b="0"/>
            <wp:wrapSquare wrapText="bothSides" distT="114300" distB="114300" distL="114300" distR="1143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4243388" cy="2498783"/>
                    </a:xfrm>
                    <a:prstGeom prst="rect">
                      <a:avLst/>
                    </a:prstGeom>
                    <a:ln/>
                  </pic:spPr>
                </pic:pic>
              </a:graphicData>
            </a:graphic>
          </wp:anchor>
        </w:drawing>
      </w:r>
    </w:p>
    <w:p w14:paraId="77CE8D55" w14:textId="77777777" w:rsidR="006C7633" w:rsidRDefault="006C7633">
      <w:pPr>
        <w:spacing w:line="360" w:lineRule="auto"/>
        <w:jc w:val="center"/>
        <w:rPr>
          <w:rFonts w:ascii="Arial" w:eastAsia="Arial" w:hAnsi="Arial" w:cs="Arial"/>
          <w:b/>
          <w:bCs/>
        </w:rPr>
      </w:pPr>
    </w:p>
    <w:p w14:paraId="4A10FC26" w14:textId="77777777" w:rsidR="006C7633" w:rsidRDefault="006C7633">
      <w:pPr>
        <w:spacing w:line="360" w:lineRule="auto"/>
        <w:jc w:val="center"/>
        <w:rPr>
          <w:rFonts w:ascii="Arial" w:eastAsia="Arial" w:hAnsi="Arial" w:cs="Arial"/>
          <w:b/>
          <w:bCs/>
        </w:rPr>
      </w:pPr>
    </w:p>
    <w:p w14:paraId="08A62AD4" w14:textId="77777777" w:rsidR="006C7633" w:rsidRDefault="006C7633">
      <w:pPr>
        <w:spacing w:line="360" w:lineRule="auto"/>
        <w:jc w:val="center"/>
        <w:rPr>
          <w:rFonts w:ascii="Arial" w:eastAsia="Arial" w:hAnsi="Arial" w:cs="Arial"/>
          <w:b/>
          <w:bCs/>
        </w:rPr>
      </w:pPr>
    </w:p>
    <w:p w14:paraId="69C5C581" w14:textId="77777777" w:rsidR="006C7633" w:rsidRDefault="006C7633">
      <w:pPr>
        <w:spacing w:line="360" w:lineRule="auto"/>
        <w:jc w:val="center"/>
        <w:rPr>
          <w:rFonts w:ascii="Arial" w:eastAsia="Arial" w:hAnsi="Arial" w:cs="Arial"/>
          <w:b/>
          <w:bCs/>
        </w:rPr>
      </w:pPr>
    </w:p>
    <w:p w14:paraId="6336D26F" w14:textId="77777777" w:rsidR="006C7633" w:rsidRDefault="006C7633">
      <w:pPr>
        <w:spacing w:line="360" w:lineRule="auto"/>
        <w:ind w:firstLine="720"/>
        <w:rPr>
          <w:rFonts w:ascii="Arial" w:eastAsia="Arial" w:hAnsi="Arial" w:cs="Arial"/>
          <w:b/>
          <w:bCs/>
          <w:u w:val="single"/>
        </w:rPr>
      </w:pPr>
      <w:r>
        <w:rPr>
          <w:rFonts w:ascii="Arial" w:eastAsia="Arial" w:hAnsi="Arial" w:cs="Arial"/>
          <w:b/>
          <w:bCs/>
        </w:rPr>
        <w:t>(a)</w:t>
      </w:r>
    </w:p>
    <w:p w14:paraId="4933CDBB" w14:textId="77777777" w:rsidR="006C7633" w:rsidRDefault="006C7633">
      <w:pPr>
        <w:spacing w:line="360" w:lineRule="auto"/>
        <w:jc w:val="center"/>
        <w:rPr>
          <w:rFonts w:ascii="Arial" w:eastAsia="Arial" w:hAnsi="Arial" w:cs="Arial"/>
          <w:b/>
          <w:bCs/>
          <w:u w:val="single"/>
        </w:rPr>
      </w:pPr>
    </w:p>
    <w:p w14:paraId="63685DDE" w14:textId="77777777" w:rsidR="006C7633" w:rsidRDefault="006C7633">
      <w:pPr>
        <w:spacing w:line="360" w:lineRule="auto"/>
        <w:jc w:val="both"/>
        <w:rPr>
          <w:rFonts w:ascii="Arial" w:eastAsia="Arial" w:hAnsi="Arial" w:cs="Arial"/>
          <w:b/>
          <w:bCs/>
          <w:u w:val="single"/>
        </w:rPr>
      </w:pPr>
    </w:p>
    <w:p w14:paraId="35E5ECCF" w14:textId="77777777" w:rsidR="006C7633" w:rsidRDefault="006C7633">
      <w:pPr>
        <w:spacing w:line="360" w:lineRule="auto"/>
        <w:jc w:val="both"/>
        <w:rPr>
          <w:rFonts w:ascii="Arial" w:eastAsia="Arial" w:hAnsi="Arial" w:cs="Arial"/>
          <w:b/>
          <w:bCs/>
          <w:u w:val="single"/>
        </w:rPr>
      </w:pPr>
    </w:p>
    <w:p w14:paraId="50BA8EE6" w14:textId="77777777" w:rsidR="006C7633" w:rsidRDefault="006C7633">
      <w:pPr>
        <w:spacing w:line="360" w:lineRule="auto"/>
        <w:jc w:val="both"/>
        <w:rPr>
          <w:rFonts w:ascii="Arial" w:eastAsia="Arial" w:hAnsi="Arial" w:cs="Arial"/>
          <w:b/>
          <w:bCs/>
          <w:u w:val="single"/>
        </w:rPr>
      </w:pPr>
    </w:p>
    <w:p w14:paraId="2008F542" w14:textId="77777777" w:rsidR="006C7633" w:rsidRDefault="006C7633">
      <w:pPr>
        <w:spacing w:line="360" w:lineRule="auto"/>
        <w:jc w:val="both"/>
        <w:rPr>
          <w:rFonts w:ascii="Arial" w:eastAsia="Arial" w:hAnsi="Arial" w:cs="Arial"/>
          <w:b/>
          <w:bCs/>
          <w:u w:val="single"/>
        </w:rPr>
      </w:pPr>
      <w:r>
        <w:rPr>
          <w:noProof/>
        </w:rPr>
        <w:drawing>
          <wp:anchor distT="114300" distB="114300" distL="114300" distR="114300" simplePos="0" relativeHeight="251666432" behindDoc="0" locked="0" layoutInCell="1" hidden="0" allowOverlap="1" wp14:anchorId="0480A570" wp14:editId="56577781">
            <wp:simplePos x="0" y="0"/>
            <wp:positionH relativeFrom="column">
              <wp:posOffset>790575</wp:posOffset>
            </wp:positionH>
            <wp:positionV relativeFrom="paragraph">
              <wp:posOffset>203857</wp:posOffset>
            </wp:positionV>
            <wp:extent cx="4419600" cy="2620389"/>
            <wp:effectExtent l="0" t="0" r="0" b="0"/>
            <wp:wrapSquare wrapText="bothSides" distT="114300" distB="114300" distL="114300" distR="11430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4419600" cy="2620389"/>
                    </a:xfrm>
                    <a:prstGeom prst="rect">
                      <a:avLst/>
                    </a:prstGeom>
                    <a:ln/>
                  </pic:spPr>
                </pic:pic>
              </a:graphicData>
            </a:graphic>
          </wp:anchor>
        </w:drawing>
      </w:r>
    </w:p>
    <w:p w14:paraId="12B5A771" w14:textId="77777777" w:rsidR="006C7633" w:rsidRDefault="006C7633">
      <w:pPr>
        <w:spacing w:line="360" w:lineRule="auto"/>
        <w:jc w:val="both"/>
        <w:rPr>
          <w:rFonts w:ascii="Arial" w:eastAsia="Arial" w:hAnsi="Arial" w:cs="Arial"/>
          <w:b/>
          <w:bCs/>
          <w:u w:val="single"/>
        </w:rPr>
      </w:pPr>
    </w:p>
    <w:p w14:paraId="5DE551F2" w14:textId="77777777" w:rsidR="006C7633" w:rsidRDefault="006C7633">
      <w:pPr>
        <w:spacing w:line="360" w:lineRule="auto"/>
        <w:jc w:val="both"/>
        <w:rPr>
          <w:rFonts w:ascii="Arial" w:eastAsia="Arial" w:hAnsi="Arial" w:cs="Arial"/>
          <w:b/>
          <w:bCs/>
          <w:u w:val="single"/>
        </w:rPr>
      </w:pPr>
    </w:p>
    <w:p w14:paraId="41859E16" w14:textId="77777777" w:rsidR="006C7633" w:rsidRDefault="006C7633">
      <w:pPr>
        <w:spacing w:line="360" w:lineRule="auto"/>
        <w:jc w:val="both"/>
        <w:rPr>
          <w:rFonts w:ascii="Arial" w:eastAsia="Arial" w:hAnsi="Arial" w:cs="Arial"/>
          <w:b/>
          <w:bCs/>
          <w:u w:val="single"/>
        </w:rPr>
      </w:pPr>
    </w:p>
    <w:p w14:paraId="3E0E7E6B" w14:textId="77777777" w:rsidR="006C7633" w:rsidRDefault="006C7633">
      <w:pPr>
        <w:spacing w:line="360" w:lineRule="auto"/>
        <w:ind w:firstLine="720"/>
        <w:jc w:val="both"/>
        <w:rPr>
          <w:rFonts w:ascii="Arial" w:eastAsia="Arial" w:hAnsi="Arial" w:cs="Arial"/>
          <w:b/>
          <w:bCs/>
        </w:rPr>
      </w:pPr>
    </w:p>
    <w:p w14:paraId="4D14B333" w14:textId="77777777" w:rsidR="006C7633" w:rsidRDefault="006C7633">
      <w:pPr>
        <w:spacing w:line="360" w:lineRule="auto"/>
        <w:ind w:firstLine="720"/>
        <w:jc w:val="both"/>
        <w:rPr>
          <w:rFonts w:ascii="Arial" w:eastAsia="Arial" w:hAnsi="Arial" w:cs="Arial"/>
          <w:b/>
          <w:bCs/>
        </w:rPr>
      </w:pPr>
      <w:r>
        <w:rPr>
          <w:rFonts w:ascii="Arial" w:eastAsia="Arial" w:hAnsi="Arial" w:cs="Arial"/>
          <w:b/>
          <w:bCs/>
        </w:rPr>
        <w:t>(b)</w:t>
      </w:r>
    </w:p>
    <w:p w14:paraId="2E2B8DAF" w14:textId="77777777" w:rsidR="006C7633" w:rsidRDefault="006C7633">
      <w:pPr>
        <w:spacing w:line="360" w:lineRule="auto"/>
        <w:jc w:val="both"/>
        <w:rPr>
          <w:rFonts w:ascii="Arial" w:eastAsia="Arial" w:hAnsi="Arial" w:cs="Arial"/>
          <w:b/>
          <w:bCs/>
          <w:u w:val="single"/>
        </w:rPr>
      </w:pPr>
    </w:p>
    <w:p w14:paraId="57E74A77" w14:textId="77777777" w:rsidR="006C7633" w:rsidRDefault="006C7633">
      <w:pPr>
        <w:spacing w:line="360" w:lineRule="auto"/>
        <w:jc w:val="both"/>
        <w:rPr>
          <w:rFonts w:ascii="Arial" w:eastAsia="Arial" w:hAnsi="Arial" w:cs="Arial"/>
          <w:b/>
          <w:bCs/>
          <w:u w:val="single"/>
        </w:rPr>
      </w:pPr>
    </w:p>
    <w:p w14:paraId="5F20938A" w14:textId="77777777" w:rsidR="006C7633" w:rsidRDefault="006C7633">
      <w:pPr>
        <w:spacing w:line="360" w:lineRule="auto"/>
        <w:jc w:val="both"/>
        <w:rPr>
          <w:rFonts w:ascii="Arial" w:eastAsia="Arial" w:hAnsi="Arial" w:cs="Arial"/>
          <w:b/>
          <w:bCs/>
          <w:u w:val="single"/>
        </w:rPr>
      </w:pPr>
    </w:p>
    <w:p w14:paraId="7FC90CF1" w14:textId="77777777" w:rsidR="006C7633" w:rsidRDefault="006C7633">
      <w:pPr>
        <w:spacing w:line="360" w:lineRule="auto"/>
        <w:jc w:val="both"/>
        <w:rPr>
          <w:rFonts w:ascii="Arial" w:eastAsia="Arial" w:hAnsi="Arial" w:cs="Arial"/>
          <w:b/>
          <w:bCs/>
          <w:u w:val="single"/>
        </w:rPr>
      </w:pPr>
    </w:p>
    <w:p w14:paraId="5F026466" w14:textId="77777777" w:rsidR="006C7633" w:rsidRDefault="006C7633">
      <w:pPr>
        <w:spacing w:line="360" w:lineRule="auto"/>
        <w:jc w:val="both"/>
        <w:rPr>
          <w:rFonts w:ascii="Arial" w:eastAsia="Arial" w:hAnsi="Arial" w:cs="Arial"/>
          <w:b/>
          <w:bCs/>
          <w:u w:val="single"/>
        </w:rPr>
      </w:pPr>
    </w:p>
    <w:p w14:paraId="79D277CA" w14:textId="77777777" w:rsidR="006C7633" w:rsidRDefault="006C7633">
      <w:pPr>
        <w:spacing w:line="360" w:lineRule="auto"/>
        <w:jc w:val="both"/>
        <w:rPr>
          <w:rFonts w:ascii="Arial" w:eastAsia="Arial" w:hAnsi="Arial" w:cs="Arial"/>
          <w:b/>
          <w:bCs/>
          <w:u w:val="single"/>
        </w:rPr>
      </w:pPr>
    </w:p>
    <w:p w14:paraId="1A4A7F50" w14:textId="77777777" w:rsidR="006C7633" w:rsidRDefault="006C7633">
      <w:pPr>
        <w:spacing w:line="360" w:lineRule="auto"/>
        <w:jc w:val="both"/>
        <w:rPr>
          <w:rFonts w:ascii="Arial" w:eastAsia="Arial" w:hAnsi="Arial" w:cs="Arial"/>
        </w:rPr>
        <w:sectPr w:rsidR="006C7633" w:rsidSect="006C7633">
          <w:pgSz w:w="11906" w:h="16838"/>
          <w:pgMar w:top="1440" w:right="1440" w:bottom="1440" w:left="1440" w:header="708" w:footer="708" w:gutter="0"/>
          <w:cols w:space="720"/>
        </w:sectPr>
      </w:pPr>
      <w:r>
        <w:rPr>
          <w:rFonts w:ascii="Arial" w:eastAsia="Arial" w:hAnsi="Arial" w:cs="Arial"/>
          <w:b/>
          <w:bCs/>
        </w:rPr>
        <w:t xml:space="preserve">Figure S7. Effects of the antipsychotics CPZ and CLOZ on PEG- and SNARE-mediated liposome fusion </w:t>
      </w:r>
      <w:r>
        <w:rPr>
          <w:rFonts w:ascii="Arial" w:eastAsia="Arial" w:hAnsi="Arial" w:cs="Arial"/>
          <w:b/>
          <w:bCs/>
          <w:i/>
          <w:iCs/>
        </w:rPr>
        <w:t>in vitro</w:t>
      </w:r>
      <w:r>
        <w:rPr>
          <w:rFonts w:ascii="Arial" w:eastAsia="Arial" w:hAnsi="Arial" w:cs="Arial"/>
          <w:b/>
          <w:bCs/>
        </w:rPr>
        <w:t xml:space="preserve"> following their addition to pre-formed liposomes. </w:t>
      </w:r>
      <w:r>
        <w:rPr>
          <w:rFonts w:ascii="Arial" w:eastAsia="Arial" w:hAnsi="Arial" w:cs="Arial"/>
        </w:rPr>
        <w:t>(a) Representative fusion kinetics of PEG-mediated liposome fusion for liposomes composed of PC:PS:PE (65:10:25 mol%; 500 µM final lipid concentration) in the absence or presence of APs added at an AP/L molar ratio of 1/100. (b) Representative fusion kinetics of SNARE-mediated liposome fusion for liposomes composed of PC:PS:PE (65:10:25 mol%; 1 mM final lipid concentration) in the absence or presence of APs added at an AP/L molar ratio of 1/100. Fluorescent donor and non-fluorescent acceptor liposomes were separately pre-incubated with APs for 30 min at 37°C immediately before the start of the fusion assay. APs were added from a 10% (v/v) DMSO solution, and all fusion experiments (with or without APs) were performed with a final DMSO concentration of 1% (v/v) in buffer H.</w:t>
      </w:r>
    </w:p>
    <w:p w14:paraId="3702EE83" w14:textId="77777777" w:rsidR="006C7633" w:rsidRDefault="006C7633">
      <w:pPr>
        <w:spacing w:line="360" w:lineRule="auto"/>
        <w:jc w:val="both"/>
        <w:rPr>
          <w:rFonts w:ascii="Arial" w:eastAsia="Arial" w:hAnsi="Arial" w:cs="Arial"/>
          <w:b/>
          <w:bCs/>
        </w:rPr>
      </w:pPr>
      <w:r>
        <w:rPr>
          <w:rFonts w:ascii="Arial" w:eastAsia="Arial" w:hAnsi="Arial" w:cs="Arial"/>
          <w:b/>
          <w:bCs/>
        </w:rPr>
        <w:lastRenderedPageBreak/>
        <w:t>Supplementary Table</w:t>
      </w:r>
    </w:p>
    <w:p w14:paraId="0684F840" w14:textId="77777777" w:rsidR="006C7633" w:rsidRDefault="006C7633">
      <w:pPr>
        <w:spacing w:line="360" w:lineRule="auto"/>
        <w:jc w:val="both"/>
        <w:rPr>
          <w:rFonts w:ascii="Arial" w:eastAsia="Arial" w:hAnsi="Arial" w:cs="Arial"/>
        </w:rPr>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321"/>
        <w:gridCol w:w="3006"/>
      </w:tblGrid>
      <w:tr w:rsidR="006C7633" w14:paraId="7FED3A14" w14:textId="77777777">
        <w:tc>
          <w:tcPr>
            <w:tcW w:w="2689" w:type="dxa"/>
          </w:tcPr>
          <w:p w14:paraId="36346EDD" w14:textId="77777777" w:rsidR="006C7633" w:rsidRDefault="006C7633">
            <w:pPr>
              <w:pBdr>
                <w:top w:val="nil"/>
                <w:left w:val="nil"/>
                <w:bottom w:val="nil"/>
                <w:right w:val="nil"/>
                <w:between w:val="nil"/>
              </w:pBdr>
              <w:spacing w:line="360" w:lineRule="auto"/>
              <w:jc w:val="center"/>
              <w:rPr>
                <w:rFonts w:ascii="Arial" w:eastAsia="Arial" w:hAnsi="Arial" w:cs="Arial"/>
                <w:color w:val="000000"/>
              </w:rPr>
            </w:pPr>
          </w:p>
        </w:tc>
        <w:tc>
          <w:tcPr>
            <w:tcW w:w="3321" w:type="dxa"/>
          </w:tcPr>
          <w:p w14:paraId="148DF64B" w14:textId="4A9E35D9" w:rsidR="006C7633" w:rsidRDefault="006C7633">
            <w:pPr>
              <w:pBdr>
                <w:top w:val="nil"/>
                <w:left w:val="nil"/>
                <w:bottom w:val="nil"/>
                <w:right w:val="nil"/>
                <w:between w:val="nil"/>
              </w:pBdr>
              <w:spacing w:line="360" w:lineRule="auto"/>
              <w:jc w:val="center"/>
              <w:rPr>
                <w:rFonts w:ascii="Arial" w:eastAsia="Arial" w:hAnsi="Arial" w:cs="Arial"/>
                <w:b/>
                <w:bCs/>
                <w:color w:val="000000"/>
                <w:sz w:val="22"/>
                <w:szCs w:val="22"/>
              </w:rPr>
            </w:pPr>
            <w:r>
              <w:rPr>
                <w:rFonts w:ascii="Arial" w:eastAsia="Arial" w:hAnsi="Arial" w:cs="Arial"/>
                <w:b/>
                <w:bCs/>
                <w:color w:val="000000"/>
                <w:sz w:val="22"/>
                <w:szCs w:val="22"/>
              </w:rPr>
              <w:t>CPZ 10 µM</w:t>
            </w:r>
          </w:p>
        </w:tc>
        <w:tc>
          <w:tcPr>
            <w:tcW w:w="3006" w:type="dxa"/>
          </w:tcPr>
          <w:p w14:paraId="252E6534" w14:textId="274A0000" w:rsidR="006C7633" w:rsidRDefault="006C7633">
            <w:pPr>
              <w:pBdr>
                <w:top w:val="nil"/>
                <w:left w:val="nil"/>
                <w:bottom w:val="nil"/>
                <w:right w:val="nil"/>
                <w:between w:val="nil"/>
              </w:pBdr>
              <w:spacing w:line="360" w:lineRule="auto"/>
              <w:jc w:val="center"/>
              <w:rPr>
                <w:rFonts w:ascii="Arial" w:eastAsia="Arial" w:hAnsi="Arial" w:cs="Arial"/>
                <w:b/>
                <w:bCs/>
                <w:color w:val="000000"/>
                <w:sz w:val="22"/>
                <w:szCs w:val="22"/>
              </w:rPr>
            </w:pPr>
            <w:r>
              <w:rPr>
                <w:rFonts w:ascii="Arial" w:eastAsia="Arial" w:hAnsi="Arial" w:cs="Arial"/>
                <w:b/>
                <w:bCs/>
                <w:color w:val="000000"/>
                <w:sz w:val="22"/>
                <w:szCs w:val="22"/>
              </w:rPr>
              <w:t>CPZ 30 µM</w:t>
            </w:r>
          </w:p>
        </w:tc>
      </w:tr>
      <w:tr w:rsidR="006C7633" w14:paraId="0BE5841A" w14:textId="77777777">
        <w:tc>
          <w:tcPr>
            <w:tcW w:w="2689" w:type="dxa"/>
          </w:tcPr>
          <w:p w14:paraId="4ADA0854" w14:textId="77777777" w:rsidR="006C7633" w:rsidRDefault="006C7633">
            <w:pPr>
              <w:pBdr>
                <w:top w:val="nil"/>
                <w:left w:val="nil"/>
                <w:bottom w:val="nil"/>
                <w:right w:val="nil"/>
                <w:between w:val="nil"/>
              </w:pBdr>
              <w:spacing w:line="360" w:lineRule="auto"/>
              <w:jc w:val="center"/>
              <w:rPr>
                <w:rFonts w:ascii="Arial" w:eastAsia="Arial" w:hAnsi="Arial" w:cs="Arial"/>
                <w:i/>
                <w:iCs/>
                <w:color w:val="000000"/>
                <w:sz w:val="22"/>
                <w:szCs w:val="22"/>
              </w:rPr>
            </w:pPr>
            <w:proofErr w:type="spellStart"/>
            <w:r>
              <w:rPr>
                <w:rFonts w:ascii="Arial" w:eastAsia="Arial" w:hAnsi="Arial" w:cs="Arial"/>
                <w:i/>
                <w:iCs/>
                <w:color w:val="000000"/>
                <w:sz w:val="22"/>
                <w:szCs w:val="22"/>
              </w:rPr>
              <w:t>Kp</w:t>
            </w:r>
            <w:proofErr w:type="spellEnd"/>
            <w:r>
              <w:rPr>
                <w:rFonts w:ascii="Arial" w:eastAsia="Arial" w:hAnsi="Arial" w:cs="Arial"/>
                <w:i/>
                <w:iCs/>
                <w:color w:val="000000"/>
                <w:sz w:val="22"/>
                <w:szCs w:val="22"/>
              </w:rPr>
              <w:t xml:space="preserve"> </w:t>
            </w:r>
            <w:r>
              <w:rPr>
                <w:rFonts w:ascii="Arial" w:eastAsia="Arial" w:hAnsi="Arial" w:cs="Arial"/>
                <w:color w:val="000000"/>
                <w:sz w:val="22"/>
                <w:szCs w:val="22"/>
              </w:rPr>
              <w:t>(95% CI)</w:t>
            </w:r>
          </w:p>
        </w:tc>
        <w:tc>
          <w:tcPr>
            <w:tcW w:w="3321" w:type="dxa"/>
          </w:tcPr>
          <w:p w14:paraId="297E4A1F" w14:textId="7F2ECDDA"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263</w:t>
            </w:r>
            <w:r w:rsidR="002B0CD6">
              <w:rPr>
                <w:rFonts w:ascii="Arial" w:eastAsia="Arial" w:hAnsi="Arial" w:cs="Arial"/>
                <w:color w:val="000000"/>
                <w:sz w:val="22"/>
                <w:szCs w:val="22"/>
              </w:rPr>
              <w:t xml:space="preserve"> </w:t>
            </w:r>
            <w:r>
              <w:rPr>
                <w:rFonts w:ascii="Arial" w:eastAsia="Arial" w:hAnsi="Arial" w:cs="Arial"/>
                <w:color w:val="000000"/>
                <w:sz w:val="22"/>
                <w:szCs w:val="22"/>
              </w:rPr>
              <w:t>187 (192</w:t>
            </w:r>
            <w:r w:rsidR="002B0CD6">
              <w:rPr>
                <w:rFonts w:ascii="Arial" w:eastAsia="Arial" w:hAnsi="Arial" w:cs="Arial"/>
                <w:color w:val="000000"/>
                <w:sz w:val="22"/>
                <w:szCs w:val="22"/>
              </w:rPr>
              <w:t xml:space="preserve"> </w:t>
            </w:r>
            <w:r>
              <w:rPr>
                <w:rFonts w:ascii="Arial" w:eastAsia="Arial" w:hAnsi="Arial" w:cs="Arial"/>
                <w:color w:val="000000"/>
                <w:sz w:val="22"/>
                <w:szCs w:val="22"/>
              </w:rPr>
              <w:t>652</w:t>
            </w:r>
            <w:r w:rsidR="00BB5024">
              <w:rPr>
                <w:rFonts w:ascii="Arial" w:eastAsia="Arial" w:hAnsi="Arial" w:cs="Arial"/>
                <w:color w:val="000000"/>
                <w:sz w:val="22"/>
                <w:szCs w:val="22"/>
              </w:rPr>
              <w:t>-</w:t>
            </w:r>
            <w:r>
              <w:rPr>
                <w:rFonts w:ascii="Arial" w:eastAsia="Arial" w:hAnsi="Arial" w:cs="Arial"/>
                <w:color w:val="000000"/>
                <w:sz w:val="22"/>
                <w:szCs w:val="22"/>
              </w:rPr>
              <w:t>361</w:t>
            </w:r>
            <w:r w:rsidR="002B0CD6">
              <w:rPr>
                <w:rFonts w:ascii="Arial" w:eastAsia="Arial" w:hAnsi="Arial" w:cs="Arial"/>
                <w:color w:val="000000"/>
                <w:sz w:val="22"/>
                <w:szCs w:val="22"/>
              </w:rPr>
              <w:t xml:space="preserve"> </w:t>
            </w:r>
            <w:r>
              <w:rPr>
                <w:rFonts w:ascii="Arial" w:eastAsia="Arial" w:hAnsi="Arial" w:cs="Arial"/>
                <w:color w:val="000000"/>
                <w:sz w:val="22"/>
                <w:szCs w:val="22"/>
              </w:rPr>
              <w:t>122)</w:t>
            </w:r>
          </w:p>
        </w:tc>
        <w:tc>
          <w:tcPr>
            <w:tcW w:w="3006" w:type="dxa"/>
          </w:tcPr>
          <w:p w14:paraId="6CEE454D" w14:textId="092767B2"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232</w:t>
            </w:r>
            <w:r w:rsidR="002B0CD6">
              <w:rPr>
                <w:rFonts w:ascii="Arial" w:eastAsia="Arial" w:hAnsi="Arial" w:cs="Arial"/>
                <w:color w:val="000000"/>
                <w:sz w:val="22"/>
                <w:szCs w:val="22"/>
              </w:rPr>
              <w:t xml:space="preserve"> </w:t>
            </w:r>
            <w:r>
              <w:rPr>
                <w:rFonts w:ascii="Arial" w:eastAsia="Arial" w:hAnsi="Arial" w:cs="Arial"/>
                <w:color w:val="000000"/>
                <w:sz w:val="22"/>
                <w:szCs w:val="22"/>
              </w:rPr>
              <w:t>014 (185</w:t>
            </w:r>
            <w:r w:rsidR="002B0CD6">
              <w:rPr>
                <w:rFonts w:ascii="Arial" w:eastAsia="Arial" w:hAnsi="Arial" w:cs="Arial"/>
                <w:color w:val="000000"/>
                <w:sz w:val="22"/>
                <w:szCs w:val="22"/>
              </w:rPr>
              <w:t xml:space="preserve"> </w:t>
            </w:r>
            <w:r>
              <w:rPr>
                <w:rFonts w:ascii="Arial" w:eastAsia="Arial" w:hAnsi="Arial" w:cs="Arial"/>
                <w:color w:val="000000"/>
                <w:sz w:val="22"/>
                <w:szCs w:val="22"/>
              </w:rPr>
              <w:t>212</w:t>
            </w:r>
            <w:r w:rsidR="00BB5024">
              <w:rPr>
                <w:rFonts w:ascii="Arial" w:eastAsia="Arial" w:hAnsi="Arial" w:cs="Arial"/>
                <w:color w:val="000000"/>
                <w:sz w:val="22"/>
                <w:szCs w:val="22"/>
              </w:rPr>
              <w:t>-</w:t>
            </w:r>
            <w:r>
              <w:rPr>
                <w:rFonts w:ascii="Arial" w:eastAsia="Arial" w:hAnsi="Arial" w:cs="Arial"/>
                <w:color w:val="000000"/>
                <w:sz w:val="22"/>
                <w:szCs w:val="22"/>
              </w:rPr>
              <w:t>291</w:t>
            </w:r>
            <w:r w:rsidR="002B0CD6">
              <w:rPr>
                <w:rFonts w:ascii="Arial" w:eastAsia="Arial" w:hAnsi="Arial" w:cs="Arial"/>
                <w:color w:val="000000"/>
                <w:sz w:val="22"/>
                <w:szCs w:val="22"/>
              </w:rPr>
              <w:t xml:space="preserve"> </w:t>
            </w:r>
            <w:r>
              <w:rPr>
                <w:rFonts w:ascii="Arial" w:eastAsia="Arial" w:hAnsi="Arial" w:cs="Arial"/>
                <w:color w:val="000000"/>
                <w:sz w:val="22"/>
                <w:szCs w:val="22"/>
              </w:rPr>
              <w:t>540)</w:t>
            </w:r>
          </w:p>
        </w:tc>
      </w:tr>
      <w:tr w:rsidR="006C7633" w14:paraId="76260BBA" w14:textId="77777777">
        <w:tc>
          <w:tcPr>
            <w:tcW w:w="2689" w:type="dxa"/>
          </w:tcPr>
          <w:p w14:paraId="7F0986EC" w14:textId="77777777"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proofErr w:type="spellStart"/>
            <w:r>
              <w:rPr>
                <w:rFonts w:ascii="Arial" w:eastAsia="Arial" w:hAnsi="Arial" w:cs="Arial"/>
                <w:i/>
                <w:iCs/>
                <w:color w:val="000000"/>
                <w:sz w:val="22"/>
                <w:szCs w:val="22"/>
              </w:rPr>
              <w:t>ΔD</w:t>
            </w:r>
            <w:r>
              <w:rPr>
                <w:rFonts w:ascii="Arial" w:eastAsia="Arial" w:hAnsi="Arial" w:cs="Arial"/>
                <w:i/>
                <w:iCs/>
                <w:color w:val="000000"/>
                <w:sz w:val="22"/>
                <w:szCs w:val="22"/>
                <w:vertAlign w:val="subscript"/>
              </w:rPr>
              <w:t>max</w:t>
            </w:r>
            <w:proofErr w:type="spellEnd"/>
            <w:r>
              <w:rPr>
                <w:rFonts w:ascii="Arial" w:eastAsia="Arial" w:hAnsi="Arial" w:cs="Arial"/>
                <w:color w:val="000000"/>
                <w:sz w:val="22"/>
                <w:szCs w:val="22"/>
              </w:rPr>
              <w:t xml:space="preserve"> (95% CI)</w:t>
            </w:r>
          </w:p>
        </w:tc>
        <w:tc>
          <w:tcPr>
            <w:tcW w:w="3321" w:type="dxa"/>
          </w:tcPr>
          <w:p w14:paraId="2B8A15C1" w14:textId="761ED5E8"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7.77 (5.95</w:t>
            </w:r>
            <w:r w:rsidR="00BB5024">
              <w:rPr>
                <w:rFonts w:ascii="Arial" w:eastAsia="Arial" w:hAnsi="Arial" w:cs="Arial"/>
                <w:color w:val="000000"/>
                <w:sz w:val="22"/>
                <w:szCs w:val="22"/>
              </w:rPr>
              <w:t>-</w:t>
            </w:r>
            <w:r>
              <w:rPr>
                <w:rFonts w:ascii="Arial" w:eastAsia="Arial" w:hAnsi="Arial" w:cs="Arial"/>
                <w:color w:val="000000"/>
                <w:sz w:val="22"/>
                <w:szCs w:val="22"/>
              </w:rPr>
              <w:t>11.90</w:t>
            </w:r>
            <w:r w:rsidR="00BB5024">
              <w:rPr>
                <w:rFonts w:ascii="Arial" w:eastAsia="Arial" w:hAnsi="Arial" w:cs="Arial"/>
                <w:color w:val="000000"/>
                <w:sz w:val="22"/>
                <w:szCs w:val="22"/>
              </w:rPr>
              <w:t>)</w:t>
            </w:r>
            <w:r>
              <w:rPr>
                <w:rFonts w:ascii="Arial" w:eastAsia="Arial" w:hAnsi="Arial" w:cs="Arial"/>
                <w:color w:val="000000"/>
                <w:sz w:val="22"/>
                <w:szCs w:val="22"/>
              </w:rPr>
              <w:t xml:space="preserve"> x 10</w:t>
            </w:r>
            <w:r>
              <w:rPr>
                <w:rFonts w:ascii="Arial" w:eastAsia="Arial" w:hAnsi="Arial" w:cs="Arial"/>
                <w:color w:val="000000"/>
                <w:sz w:val="22"/>
                <w:szCs w:val="22"/>
                <w:vertAlign w:val="superscript"/>
              </w:rPr>
              <w:t>-4</w:t>
            </w:r>
          </w:p>
        </w:tc>
        <w:tc>
          <w:tcPr>
            <w:tcW w:w="3006" w:type="dxa"/>
          </w:tcPr>
          <w:p w14:paraId="6B715711" w14:textId="59771C1F"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1.71 (1.35</w:t>
            </w:r>
            <w:r w:rsidR="00BB5024">
              <w:rPr>
                <w:rFonts w:ascii="Arial" w:eastAsia="Arial" w:hAnsi="Arial" w:cs="Arial"/>
                <w:color w:val="000000"/>
                <w:sz w:val="22"/>
                <w:szCs w:val="22"/>
              </w:rPr>
              <w:t>-</w:t>
            </w:r>
            <w:r>
              <w:rPr>
                <w:rFonts w:ascii="Arial" w:eastAsia="Arial" w:hAnsi="Arial" w:cs="Arial"/>
                <w:color w:val="000000"/>
                <w:sz w:val="22"/>
                <w:szCs w:val="22"/>
              </w:rPr>
              <w:t>2.41</w:t>
            </w:r>
            <w:r w:rsidR="00BB5024">
              <w:rPr>
                <w:rFonts w:ascii="Arial" w:eastAsia="Arial" w:hAnsi="Arial" w:cs="Arial"/>
                <w:color w:val="000000"/>
                <w:sz w:val="22"/>
                <w:szCs w:val="22"/>
              </w:rPr>
              <w:t>)</w:t>
            </w:r>
            <w:r>
              <w:rPr>
                <w:rFonts w:ascii="Arial" w:eastAsia="Arial" w:hAnsi="Arial" w:cs="Arial"/>
                <w:color w:val="000000"/>
                <w:sz w:val="22"/>
                <w:szCs w:val="22"/>
              </w:rPr>
              <w:t xml:space="preserve"> x 10</w:t>
            </w:r>
            <w:r>
              <w:rPr>
                <w:rFonts w:ascii="Arial" w:eastAsia="Arial" w:hAnsi="Arial" w:cs="Arial"/>
                <w:color w:val="000000"/>
                <w:sz w:val="22"/>
                <w:szCs w:val="22"/>
                <w:vertAlign w:val="superscript"/>
              </w:rPr>
              <w:t>-</w:t>
            </w:r>
            <w:r w:rsidR="00BB5024">
              <w:rPr>
                <w:rFonts w:ascii="Arial" w:eastAsia="Arial" w:hAnsi="Arial" w:cs="Arial"/>
                <w:color w:val="000000"/>
                <w:sz w:val="22"/>
                <w:szCs w:val="22"/>
                <w:vertAlign w:val="superscript"/>
              </w:rPr>
              <w:t>3</w:t>
            </w:r>
          </w:p>
        </w:tc>
      </w:tr>
      <w:tr w:rsidR="006C7633" w14:paraId="0AFB1708" w14:textId="77777777">
        <w:tc>
          <w:tcPr>
            <w:tcW w:w="2689" w:type="dxa"/>
          </w:tcPr>
          <w:p w14:paraId="2C9CD5C8" w14:textId="77777777"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i/>
                <w:iCs/>
                <w:color w:val="000000"/>
                <w:sz w:val="22"/>
                <w:szCs w:val="22"/>
              </w:rPr>
              <w:t>ΔD/</w:t>
            </w:r>
            <w:proofErr w:type="spellStart"/>
            <w:r>
              <w:rPr>
                <w:rFonts w:ascii="Arial" w:eastAsia="Arial" w:hAnsi="Arial" w:cs="Arial"/>
                <w:i/>
                <w:iCs/>
                <w:color w:val="000000"/>
                <w:sz w:val="22"/>
                <w:szCs w:val="22"/>
              </w:rPr>
              <w:t>ΔD</w:t>
            </w:r>
            <w:r>
              <w:rPr>
                <w:rFonts w:ascii="Arial" w:eastAsia="Arial" w:hAnsi="Arial" w:cs="Arial"/>
                <w:i/>
                <w:iCs/>
                <w:color w:val="000000"/>
                <w:sz w:val="22"/>
                <w:szCs w:val="22"/>
                <w:vertAlign w:val="subscript"/>
              </w:rPr>
              <w:t>max</w:t>
            </w:r>
            <w:proofErr w:type="spellEnd"/>
            <w:r>
              <w:rPr>
                <w:rFonts w:ascii="Arial" w:eastAsia="Arial" w:hAnsi="Arial" w:cs="Arial"/>
                <w:color w:val="000000"/>
                <w:sz w:val="22"/>
                <w:szCs w:val="22"/>
              </w:rPr>
              <w:t xml:space="preserve"> (0.5 mM lipid)</w:t>
            </w:r>
          </w:p>
        </w:tc>
        <w:tc>
          <w:tcPr>
            <w:tcW w:w="3321" w:type="dxa"/>
          </w:tcPr>
          <w:p w14:paraId="17C23333" w14:textId="20AE4176"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70%</w:t>
            </w:r>
          </w:p>
        </w:tc>
        <w:tc>
          <w:tcPr>
            <w:tcW w:w="3006" w:type="dxa"/>
          </w:tcPr>
          <w:p w14:paraId="1032E154" w14:textId="77777777"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68%</w:t>
            </w:r>
          </w:p>
        </w:tc>
      </w:tr>
      <w:tr w:rsidR="006C7633" w14:paraId="50493F08" w14:textId="77777777">
        <w:tc>
          <w:tcPr>
            <w:tcW w:w="2689" w:type="dxa"/>
          </w:tcPr>
          <w:p w14:paraId="5DAF3445" w14:textId="77777777"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i/>
                <w:iCs/>
                <w:color w:val="000000"/>
                <w:sz w:val="22"/>
                <w:szCs w:val="22"/>
              </w:rPr>
              <w:t>ΔD/</w:t>
            </w:r>
            <w:proofErr w:type="spellStart"/>
            <w:r>
              <w:rPr>
                <w:rFonts w:ascii="Arial" w:eastAsia="Arial" w:hAnsi="Arial" w:cs="Arial"/>
                <w:i/>
                <w:iCs/>
                <w:color w:val="000000"/>
                <w:sz w:val="22"/>
                <w:szCs w:val="22"/>
              </w:rPr>
              <w:t>ΔD</w:t>
            </w:r>
            <w:r>
              <w:rPr>
                <w:rFonts w:ascii="Arial" w:eastAsia="Arial" w:hAnsi="Arial" w:cs="Arial"/>
                <w:i/>
                <w:iCs/>
                <w:color w:val="000000"/>
                <w:sz w:val="22"/>
                <w:szCs w:val="22"/>
                <w:vertAlign w:val="subscript"/>
              </w:rPr>
              <w:t>max</w:t>
            </w:r>
            <w:proofErr w:type="spellEnd"/>
            <w:r>
              <w:rPr>
                <w:rFonts w:ascii="Arial" w:eastAsia="Arial" w:hAnsi="Arial" w:cs="Arial"/>
                <w:color w:val="000000"/>
                <w:sz w:val="22"/>
                <w:szCs w:val="22"/>
              </w:rPr>
              <w:t xml:space="preserve"> (1 mM lipid)</w:t>
            </w:r>
          </w:p>
        </w:tc>
        <w:tc>
          <w:tcPr>
            <w:tcW w:w="3321" w:type="dxa"/>
          </w:tcPr>
          <w:p w14:paraId="257514E8" w14:textId="77777777"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79%</w:t>
            </w:r>
          </w:p>
        </w:tc>
        <w:tc>
          <w:tcPr>
            <w:tcW w:w="3006" w:type="dxa"/>
          </w:tcPr>
          <w:p w14:paraId="17AFD9F5" w14:textId="77777777" w:rsidR="006C7633" w:rsidRDefault="006C763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83%</w:t>
            </w:r>
          </w:p>
        </w:tc>
      </w:tr>
    </w:tbl>
    <w:p w14:paraId="2503E422" w14:textId="77777777" w:rsidR="006C7633" w:rsidRDefault="006C7633">
      <w:pPr>
        <w:spacing w:line="360" w:lineRule="auto"/>
        <w:jc w:val="both"/>
        <w:rPr>
          <w:rFonts w:ascii="Arial" w:eastAsia="Arial" w:hAnsi="Arial" w:cs="Arial"/>
          <w:b/>
          <w:bCs/>
          <w:i/>
          <w:iCs/>
          <w:u w:val="single"/>
        </w:rPr>
      </w:pPr>
    </w:p>
    <w:p w14:paraId="2153B81B" w14:textId="77777777" w:rsidR="006C7633" w:rsidRDefault="006C7633">
      <w:pPr>
        <w:spacing w:line="360" w:lineRule="auto"/>
        <w:jc w:val="both"/>
        <w:rPr>
          <w:rFonts w:ascii="Arial" w:eastAsia="Arial" w:hAnsi="Arial" w:cs="Arial"/>
        </w:rPr>
      </w:pPr>
      <w:r>
        <w:rPr>
          <w:rFonts w:ascii="Arial" w:eastAsia="Arial" w:hAnsi="Arial" w:cs="Arial"/>
          <w:b/>
          <w:bCs/>
        </w:rPr>
        <w:t>Table S1.</w:t>
      </w:r>
      <w:r>
        <w:rPr>
          <w:rFonts w:ascii="Arial" w:eastAsia="Arial" w:hAnsi="Arial" w:cs="Arial"/>
        </w:rPr>
        <w:t xml:space="preserve"> </w:t>
      </w:r>
      <w:r>
        <w:rPr>
          <w:rFonts w:ascii="Arial" w:eastAsia="Arial" w:hAnsi="Arial" w:cs="Arial"/>
          <w:b/>
          <w:bCs/>
        </w:rPr>
        <w:t xml:space="preserve">Membrane partition coefficient parameters of CPZ at 10 and 30 µM in buffer H in the presence of PC:PS:PE (65:10:25 mol%) liposomes. </w:t>
      </w:r>
      <w:r>
        <w:rPr>
          <w:rFonts w:ascii="Arial" w:eastAsia="Arial" w:hAnsi="Arial" w:cs="Arial"/>
        </w:rPr>
        <w:t>95% CI, 95% confidence interval.</w:t>
      </w:r>
    </w:p>
    <w:p w14:paraId="23CAAFCA" w14:textId="77777777" w:rsidR="006C7633" w:rsidRDefault="006C7633">
      <w:pPr>
        <w:widowControl w:val="0"/>
        <w:pBdr>
          <w:top w:val="nil"/>
          <w:left w:val="nil"/>
          <w:bottom w:val="nil"/>
          <w:right w:val="nil"/>
          <w:between w:val="nil"/>
        </w:pBdr>
        <w:spacing w:after="110" w:line="360" w:lineRule="auto"/>
        <w:rPr>
          <w:rFonts w:ascii="Arial" w:eastAsia="Arial" w:hAnsi="Arial" w:cs="Arial"/>
          <w:color w:val="000000"/>
        </w:rPr>
      </w:pPr>
    </w:p>
    <w:p w14:paraId="31C692E7" w14:textId="77777777" w:rsidR="006C7633" w:rsidRDefault="006C7633">
      <w:pPr>
        <w:widowControl w:val="0"/>
        <w:pBdr>
          <w:top w:val="nil"/>
          <w:left w:val="nil"/>
          <w:bottom w:val="nil"/>
          <w:right w:val="nil"/>
          <w:between w:val="nil"/>
        </w:pBdr>
        <w:spacing w:after="110" w:line="360" w:lineRule="auto"/>
        <w:rPr>
          <w:rFonts w:ascii="Arial" w:eastAsia="Arial" w:hAnsi="Arial" w:cs="Arial"/>
          <w:color w:val="000000"/>
        </w:rPr>
      </w:pPr>
      <w:r>
        <w:br w:type="page"/>
      </w:r>
    </w:p>
    <w:p w14:paraId="0D0B9CA9" w14:textId="2AE27517" w:rsidR="006C7633" w:rsidRPr="006C7633" w:rsidRDefault="006C7633" w:rsidP="006C6221">
      <w:pPr>
        <w:widowControl w:val="0"/>
        <w:pBdr>
          <w:top w:val="nil"/>
          <w:left w:val="nil"/>
          <w:bottom w:val="nil"/>
          <w:right w:val="nil"/>
          <w:between w:val="nil"/>
        </w:pBdr>
        <w:spacing w:line="360" w:lineRule="auto"/>
        <w:rPr>
          <w:rFonts w:ascii="Arial" w:eastAsia="Arial" w:hAnsi="Arial" w:cs="Arial"/>
          <w:b/>
          <w:bCs/>
          <w:color w:val="000000"/>
        </w:rPr>
      </w:pPr>
      <w:r>
        <w:rPr>
          <w:rFonts w:ascii="Arial" w:eastAsia="Arial" w:hAnsi="Arial" w:cs="Arial"/>
          <w:b/>
          <w:bCs/>
        </w:rPr>
        <w:lastRenderedPageBreak/>
        <w:t>References</w:t>
      </w:r>
    </w:p>
    <w:p w14:paraId="1185B6C5" w14:textId="77777777" w:rsidR="006C7633" w:rsidRPr="006C7633" w:rsidRDefault="006C7633" w:rsidP="006C6221">
      <w:pPr>
        <w:pStyle w:val="NormalWeb"/>
        <w:spacing w:afterLines="100" w:after="240" w:afterAutospacing="0"/>
        <w:ind w:left="700" w:hanging="700"/>
        <w:rPr>
          <w:rFonts w:ascii="Arial" w:hAnsi="Arial" w:cs="Arial"/>
          <w:color w:val="000000"/>
        </w:rPr>
      </w:pPr>
      <w:hyperlink r:id="rId33" w:history="1">
        <w:r w:rsidRPr="006C7633">
          <w:rPr>
            <w:rStyle w:val="csl-left-margin"/>
            <w:rFonts w:ascii="Arial" w:hAnsi="Arial" w:cs="Arial"/>
            <w:color w:val="000000"/>
          </w:rPr>
          <w:t>1. 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proofErr w:type="spellStart"/>
        <w:r w:rsidRPr="006C7633">
          <w:rPr>
            <w:rStyle w:val="csl-right-inline"/>
            <w:rFonts w:ascii="Arial" w:hAnsi="Arial" w:cs="Arial"/>
            <w:color w:val="000000"/>
          </w:rPr>
          <w:t>Parlati</w:t>
        </w:r>
        <w:proofErr w:type="spellEnd"/>
        <w:r w:rsidRPr="006C7633">
          <w:rPr>
            <w:rStyle w:val="csl-right-inline"/>
            <w:rFonts w:ascii="Arial" w:hAnsi="Arial" w:cs="Arial"/>
            <w:color w:val="000000"/>
          </w:rPr>
          <w:t xml:space="preserve"> F, Weber T, McNew JA, Westermann B, </w:t>
        </w:r>
        <w:proofErr w:type="spellStart"/>
        <w:r w:rsidRPr="006C7633">
          <w:rPr>
            <w:rStyle w:val="csl-right-inline"/>
            <w:rFonts w:ascii="Arial" w:hAnsi="Arial" w:cs="Arial"/>
            <w:color w:val="000000"/>
          </w:rPr>
          <w:t>Söllner</w:t>
        </w:r>
        <w:proofErr w:type="spellEnd"/>
        <w:r w:rsidRPr="006C7633">
          <w:rPr>
            <w:rStyle w:val="csl-right-inline"/>
            <w:rFonts w:ascii="Arial" w:hAnsi="Arial" w:cs="Arial"/>
            <w:color w:val="000000"/>
          </w:rPr>
          <w:t xml:space="preserve"> TH, Rothman JE. Rapid and efficient fusion of phospholipid vesicles by the alpha-helical core of a SNARE complex in the absence of an N-terminal regulatory domain. Proc Natl Acad Sci USA. 1999 Oct 26;96(22):12565–70.</w:t>
        </w:r>
      </w:hyperlink>
    </w:p>
    <w:p w14:paraId="51C15FF5" w14:textId="77777777" w:rsidR="006C7633" w:rsidRPr="006C7633" w:rsidRDefault="006C7633" w:rsidP="006C7633">
      <w:pPr>
        <w:pStyle w:val="NormalWeb"/>
        <w:spacing w:afterLines="100" w:after="240"/>
        <w:ind w:left="700" w:hanging="700"/>
        <w:rPr>
          <w:rFonts w:ascii="Arial" w:hAnsi="Arial" w:cs="Arial"/>
          <w:color w:val="000000"/>
        </w:rPr>
      </w:pPr>
      <w:hyperlink r:id="rId34" w:history="1">
        <w:r w:rsidRPr="006C7633">
          <w:rPr>
            <w:rStyle w:val="csl-left-margin"/>
            <w:rFonts w:ascii="Arial" w:hAnsi="Arial" w:cs="Arial"/>
            <w:color w:val="000000"/>
          </w:rPr>
          <w:t>2. 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 xml:space="preserve">Weber T, Zemelman BV, McNew JA, Westermann B, </w:t>
        </w:r>
        <w:proofErr w:type="spellStart"/>
        <w:r w:rsidRPr="006C7633">
          <w:rPr>
            <w:rStyle w:val="csl-right-inline"/>
            <w:rFonts w:ascii="Arial" w:hAnsi="Arial" w:cs="Arial"/>
            <w:color w:val="000000"/>
          </w:rPr>
          <w:t>Gmachl</w:t>
        </w:r>
        <w:proofErr w:type="spellEnd"/>
        <w:r w:rsidRPr="006C7633">
          <w:rPr>
            <w:rStyle w:val="csl-right-inline"/>
            <w:rFonts w:ascii="Arial" w:hAnsi="Arial" w:cs="Arial"/>
            <w:color w:val="000000"/>
          </w:rPr>
          <w:t xml:space="preserve"> M, </w:t>
        </w:r>
        <w:proofErr w:type="spellStart"/>
        <w:r w:rsidRPr="006C7633">
          <w:rPr>
            <w:rStyle w:val="csl-right-inline"/>
            <w:rFonts w:ascii="Arial" w:hAnsi="Arial" w:cs="Arial"/>
            <w:color w:val="000000"/>
          </w:rPr>
          <w:t>Parlati</w:t>
        </w:r>
        <w:proofErr w:type="spellEnd"/>
        <w:r w:rsidRPr="006C7633">
          <w:rPr>
            <w:rStyle w:val="csl-right-inline"/>
            <w:rFonts w:ascii="Arial" w:hAnsi="Arial" w:cs="Arial"/>
            <w:color w:val="000000"/>
          </w:rPr>
          <w:t xml:space="preserve"> F, et al. </w:t>
        </w:r>
        <w:proofErr w:type="spellStart"/>
        <w:r w:rsidRPr="006C7633">
          <w:rPr>
            <w:rStyle w:val="csl-right-inline"/>
            <w:rFonts w:ascii="Arial" w:hAnsi="Arial" w:cs="Arial"/>
            <w:color w:val="000000"/>
          </w:rPr>
          <w:t>SNAREpins</w:t>
        </w:r>
        <w:proofErr w:type="spellEnd"/>
        <w:r w:rsidRPr="006C7633">
          <w:rPr>
            <w:rStyle w:val="csl-right-inline"/>
            <w:rFonts w:ascii="Arial" w:hAnsi="Arial" w:cs="Arial"/>
            <w:color w:val="000000"/>
          </w:rPr>
          <w:t>: minimal machinery for membrane fusion. Cell. 1998 Mar 20;92(6):759–72.</w:t>
        </w:r>
      </w:hyperlink>
    </w:p>
    <w:p w14:paraId="028B2348" w14:textId="77777777" w:rsidR="006C7633" w:rsidRPr="006C7633" w:rsidRDefault="006C7633" w:rsidP="006C7633">
      <w:pPr>
        <w:pStyle w:val="NormalWeb"/>
        <w:spacing w:afterLines="100" w:after="240"/>
        <w:ind w:left="700" w:hanging="700"/>
        <w:rPr>
          <w:rFonts w:ascii="Arial" w:hAnsi="Arial" w:cs="Arial"/>
          <w:color w:val="000000"/>
        </w:rPr>
      </w:pPr>
      <w:hyperlink r:id="rId35" w:history="1">
        <w:r w:rsidRPr="006C7633">
          <w:rPr>
            <w:rStyle w:val="csl-left-margin"/>
            <w:rFonts w:ascii="Arial" w:hAnsi="Arial" w:cs="Arial"/>
            <w:color w:val="000000"/>
          </w:rPr>
          <w:t>3. 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 xml:space="preserve">McNew JA, Weber T, </w:t>
        </w:r>
        <w:proofErr w:type="spellStart"/>
        <w:r w:rsidRPr="006C7633">
          <w:rPr>
            <w:rStyle w:val="csl-right-inline"/>
            <w:rFonts w:ascii="Arial" w:hAnsi="Arial" w:cs="Arial"/>
            <w:color w:val="000000"/>
          </w:rPr>
          <w:t>Parlati</w:t>
        </w:r>
        <w:proofErr w:type="spellEnd"/>
        <w:r w:rsidRPr="006C7633">
          <w:rPr>
            <w:rStyle w:val="csl-right-inline"/>
            <w:rFonts w:ascii="Arial" w:hAnsi="Arial" w:cs="Arial"/>
            <w:color w:val="000000"/>
          </w:rPr>
          <w:t xml:space="preserve"> F, Johnston RJ, Melia TJ, </w:t>
        </w:r>
        <w:proofErr w:type="spellStart"/>
        <w:r w:rsidRPr="006C7633">
          <w:rPr>
            <w:rStyle w:val="csl-right-inline"/>
            <w:rFonts w:ascii="Arial" w:hAnsi="Arial" w:cs="Arial"/>
            <w:color w:val="000000"/>
          </w:rPr>
          <w:t>Söllner</w:t>
        </w:r>
        <w:proofErr w:type="spellEnd"/>
        <w:r w:rsidRPr="006C7633">
          <w:rPr>
            <w:rStyle w:val="csl-right-inline"/>
            <w:rFonts w:ascii="Arial" w:hAnsi="Arial" w:cs="Arial"/>
            <w:color w:val="000000"/>
          </w:rPr>
          <w:t xml:space="preserve"> TH, et al. Close is not enough: SNARE-dependent membrane fusion requires an active mechanism that transduces force to membrane anchors. J Cell Biol. 2000 Jul 10;150(1):105–17.</w:t>
        </w:r>
      </w:hyperlink>
    </w:p>
    <w:p w14:paraId="2ED53C80" w14:textId="77777777" w:rsidR="006C7633" w:rsidRPr="006C7633" w:rsidRDefault="006C7633" w:rsidP="006C7633">
      <w:pPr>
        <w:pStyle w:val="NormalWeb"/>
        <w:spacing w:afterLines="100" w:after="240"/>
        <w:ind w:left="700" w:hanging="700"/>
        <w:rPr>
          <w:rFonts w:ascii="Arial" w:hAnsi="Arial" w:cs="Arial"/>
          <w:color w:val="000000"/>
        </w:rPr>
      </w:pPr>
      <w:hyperlink r:id="rId36" w:history="1">
        <w:r w:rsidRPr="006C7633">
          <w:rPr>
            <w:rStyle w:val="csl-left-margin"/>
            <w:rFonts w:ascii="Arial" w:hAnsi="Arial" w:cs="Arial"/>
            <w:color w:val="000000"/>
          </w:rPr>
          <w:t>4. 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 xml:space="preserve">Scott BL, Van Komen JS, Liu S, Weber T, Melia TJ, McNew JA. Liposome fusion assay to monitor intracellular membrane fusion machines. Meth </w:t>
        </w:r>
        <w:proofErr w:type="spellStart"/>
        <w:r w:rsidRPr="006C7633">
          <w:rPr>
            <w:rStyle w:val="csl-right-inline"/>
            <w:rFonts w:ascii="Arial" w:hAnsi="Arial" w:cs="Arial"/>
            <w:color w:val="000000"/>
          </w:rPr>
          <w:t>Enzymol</w:t>
        </w:r>
        <w:proofErr w:type="spellEnd"/>
        <w:r w:rsidRPr="006C7633">
          <w:rPr>
            <w:rStyle w:val="csl-right-inline"/>
            <w:rFonts w:ascii="Arial" w:hAnsi="Arial" w:cs="Arial"/>
            <w:color w:val="000000"/>
          </w:rPr>
          <w:t xml:space="preserve">. </w:t>
        </w:r>
        <w:proofErr w:type="gramStart"/>
        <w:r w:rsidRPr="006C7633">
          <w:rPr>
            <w:rStyle w:val="csl-right-inline"/>
            <w:rFonts w:ascii="Arial" w:hAnsi="Arial" w:cs="Arial"/>
            <w:color w:val="000000"/>
          </w:rPr>
          <w:t>2003;372:274</w:t>
        </w:r>
        <w:proofErr w:type="gramEnd"/>
        <w:r w:rsidRPr="006C7633">
          <w:rPr>
            <w:rStyle w:val="csl-right-inline"/>
            <w:rFonts w:ascii="Arial" w:hAnsi="Arial" w:cs="Arial"/>
            <w:color w:val="000000"/>
          </w:rPr>
          <w:t>–300.</w:t>
        </w:r>
      </w:hyperlink>
    </w:p>
    <w:p w14:paraId="457ECEF2" w14:textId="77777777" w:rsidR="006C7633" w:rsidRPr="006C7633" w:rsidRDefault="006C7633" w:rsidP="006C6221">
      <w:pPr>
        <w:pStyle w:val="NormalWeb"/>
        <w:spacing w:afterLines="100" w:after="240" w:afterAutospacing="0"/>
        <w:ind w:left="697" w:hanging="697"/>
        <w:rPr>
          <w:rFonts w:ascii="Arial" w:hAnsi="Arial" w:cs="Arial"/>
          <w:color w:val="000000"/>
        </w:rPr>
      </w:pPr>
      <w:hyperlink r:id="rId37" w:history="1">
        <w:r w:rsidRPr="006C7633">
          <w:rPr>
            <w:rStyle w:val="csl-left-margin"/>
            <w:rFonts w:ascii="Arial" w:hAnsi="Arial" w:cs="Arial"/>
            <w:color w:val="000000"/>
          </w:rPr>
          <w:t>5. 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 xml:space="preserve">Ji H, Coleman J, Yang R, Melia TJ, Rothman JE, Tareste D. Protein determinants of SNARE-mediated lipid mixing. </w:t>
        </w:r>
        <w:proofErr w:type="spellStart"/>
        <w:r w:rsidRPr="006C7633">
          <w:rPr>
            <w:rStyle w:val="csl-right-inline"/>
            <w:rFonts w:ascii="Arial" w:hAnsi="Arial" w:cs="Arial"/>
            <w:color w:val="000000"/>
          </w:rPr>
          <w:t>Biophys</w:t>
        </w:r>
        <w:proofErr w:type="spellEnd"/>
        <w:r w:rsidRPr="006C7633">
          <w:rPr>
            <w:rStyle w:val="csl-right-inline"/>
            <w:rFonts w:ascii="Arial" w:hAnsi="Arial" w:cs="Arial"/>
            <w:color w:val="000000"/>
          </w:rPr>
          <w:t xml:space="preserve"> J. 2010 Jul 21;99(2):553–60.</w:t>
        </w:r>
      </w:hyperlink>
    </w:p>
    <w:p w14:paraId="2CD5FF98" w14:textId="77777777" w:rsidR="006C7633" w:rsidRPr="006C7633" w:rsidRDefault="006C7633" w:rsidP="006C7633">
      <w:pPr>
        <w:pStyle w:val="NormalWeb"/>
        <w:spacing w:afterLines="100" w:after="240"/>
        <w:ind w:left="700" w:hanging="700"/>
        <w:rPr>
          <w:rFonts w:ascii="Arial" w:hAnsi="Arial" w:cs="Arial"/>
          <w:color w:val="000000"/>
        </w:rPr>
      </w:pPr>
      <w:hyperlink r:id="rId38" w:history="1">
        <w:r w:rsidRPr="006C7633">
          <w:rPr>
            <w:rStyle w:val="csl-left-margin"/>
            <w:rFonts w:ascii="Arial" w:hAnsi="Arial" w:cs="Arial"/>
            <w:color w:val="000000"/>
          </w:rPr>
          <w:t>6. 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 xml:space="preserve">Kitamura K, </w:t>
        </w:r>
        <w:proofErr w:type="spellStart"/>
        <w:r w:rsidRPr="006C7633">
          <w:rPr>
            <w:rStyle w:val="csl-right-inline"/>
            <w:rFonts w:ascii="Arial" w:hAnsi="Arial" w:cs="Arial"/>
            <w:color w:val="000000"/>
          </w:rPr>
          <w:t>Imayoshi</w:t>
        </w:r>
        <w:proofErr w:type="spellEnd"/>
        <w:r w:rsidRPr="006C7633">
          <w:rPr>
            <w:rStyle w:val="csl-right-inline"/>
            <w:rFonts w:ascii="Arial" w:hAnsi="Arial" w:cs="Arial"/>
            <w:color w:val="000000"/>
          </w:rPr>
          <w:t xml:space="preserve"> N, Goto T, Shiro H, Mano T, Nakai Y. Second derivative spectrophotometric determination of partition coefficients of chlorpromazine and promazine between lecithin bilayer vesicles and water. Anal Chim Acta. 1995 Mar;304(1):101–6.</w:t>
        </w:r>
      </w:hyperlink>
    </w:p>
    <w:p w14:paraId="28BB305A" w14:textId="77777777" w:rsidR="006C7633" w:rsidRPr="006C7633" w:rsidRDefault="006C7633" w:rsidP="006C7633">
      <w:pPr>
        <w:pStyle w:val="NormalWeb"/>
        <w:spacing w:afterLines="100" w:after="240"/>
        <w:ind w:left="700" w:hanging="700"/>
        <w:rPr>
          <w:rFonts w:ascii="Arial" w:hAnsi="Arial" w:cs="Arial"/>
          <w:color w:val="000000"/>
        </w:rPr>
      </w:pPr>
      <w:hyperlink r:id="rId39" w:history="1">
        <w:r w:rsidRPr="006C7633">
          <w:rPr>
            <w:rStyle w:val="csl-left-margin"/>
            <w:rFonts w:ascii="Arial" w:hAnsi="Arial" w:cs="Arial"/>
            <w:color w:val="000000"/>
          </w:rPr>
          <w:t>7. 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proofErr w:type="spellStart"/>
        <w:r w:rsidRPr="006C7633">
          <w:rPr>
            <w:rStyle w:val="csl-right-inline"/>
            <w:rFonts w:ascii="Arial" w:hAnsi="Arial" w:cs="Arial"/>
            <w:color w:val="000000"/>
          </w:rPr>
          <w:t>Savitzky</w:t>
        </w:r>
        <w:proofErr w:type="spellEnd"/>
        <w:r w:rsidRPr="006C7633">
          <w:rPr>
            <w:rStyle w:val="csl-right-inline"/>
            <w:rFonts w:ascii="Arial" w:hAnsi="Arial" w:cs="Arial"/>
            <w:color w:val="000000"/>
          </w:rPr>
          <w:t xml:space="preserve"> Abraham, Golay MJE. Smoothing and differentiation of data by simplified least squares procedures. Anal Chem. 1964 Jul;36(8):1627–39.</w:t>
        </w:r>
      </w:hyperlink>
    </w:p>
    <w:p w14:paraId="303AC723" w14:textId="77777777" w:rsidR="006C7633" w:rsidRPr="006C7633" w:rsidRDefault="006C7633" w:rsidP="006C7633">
      <w:pPr>
        <w:pStyle w:val="NormalWeb"/>
        <w:spacing w:afterLines="100" w:after="240"/>
        <w:ind w:left="700" w:hanging="700"/>
        <w:rPr>
          <w:rFonts w:ascii="Arial" w:hAnsi="Arial" w:cs="Arial"/>
          <w:color w:val="000000"/>
        </w:rPr>
      </w:pPr>
      <w:hyperlink r:id="rId40" w:history="1">
        <w:r w:rsidRPr="006C7633">
          <w:rPr>
            <w:rStyle w:val="csl-left-margin"/>
            <w:rFonts w:ascii="Arial" w:hAnsi="Arial" w:cs="Arial"/>
            <w:color w:val="000000"/>
          </w:rPr>
          <w:t>8. 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proofErr w:type="spellStart"/>
        <w:r w:rsidRPr="006C7633">
          <w:rPr>
            <w:rStyle w:val="csl-right-inline"/>
            <w:rFonts w:ascii="Arial" w:hAnsi="Arial" w:cs="Arial"/>
            <w:color w:val="000000"/>
          </w:rPr>
          <w:t>Videira</w:t>
        </w:r>
        <w:proofErr w:type="spellEnd"/>
        <w:r w:rsidRPr="006C7633">
          <w:rPr>
            <w:rStyle w:val="csl-right-inline"/>
            <w:rFonts w:ascii="Arial" w:hAnsi="Arial" w:cs="Arial"/>
            <w:color w:val="000000"/>
          </w:rPr>
          <w:t xml:space="preserve"> RA, Antunes-Madeira M do C, Custódio JB, Madeira VM. Partition of DDE in synthetic and native membranes determined by ultraviolet derivative spectroscopy. </w:t>
        </w:r>
        <w:proofErr w:type="spellStart"/>
        <w:r w:rsidRPr="006C7633">
          <w:rPr>
            <w:rStyle w:val="csl-right-inline"/>
            <w:rFonts w:ascii="Arial" w:hAnsi="Arial" w:cs="Arial"/>
            <w:color w:val="000000"/>
          </w:rPr>
          <w:t>Biochim</w:t>
        </w:r>
        <w:proofErr w:type="spellEnd"/>
        <w:r w:rsidRPr="006C7633">
          <w:rPr>
            <w:rStyle w:val="csl-right-inline"/>
            <w:rFonts w:ascii="Arial" w:hAnsi="Arial" w:cs="Arial"/>
            <w:color w:val="000000"/>
          </w:rPr>
          <w:t xml:space="preserve"> </w:t>
        </w:r>
        <w:proofErr w:type="spellStart"/>
        <w:r w:rsidRPr="006C7633">
          <w:rPr>
            <w:rStyle w:val="csl-right-inline"/>
            <w:rFonts w:ascii="Arial" w:hAnsi="Arial" w:cs="Arial"/>
            <w:color w:val="000000"/>
          </w:rPr>
          <w:t>Biophys</w:t>
        </w:r>
        <w:proofErr w:type="spellEnd"/>
        <w:r w:rsidRPr="006C7633">
          <w:rPr>
            <w:rStyle w:val="csl-right-inline"/>
            <w:rFonts w:ascii="Arial" w:hAnsi="Arial" w:cs="Arial"/>
            <w:color w:val="000000"/>
          </w:rPr>
          <w:t xml:space="preserve"> Acta. 1995 Aug 23;1238(1):22–8.</w:t>
        </w:r>
      </w:hyperlink>
    </w:p>
    <w:p w14:paraId="59F64668" w14:textId="77777777" w:rsidR="006C7633" w:rsidRPr="006C7633" w:rsidRDefault="006C7633" w:rsidP="006C7633">
      <w:pPr>
        <w:pStyle w:val="NormalWeb"/>
        <w:spacing w:afterLines="100" w:after="240"/>
        <w:ind w:left="700" w:hanging="700"/>
        <w:rPr>
          <w:rFonts w:ascii="Arial" w:hAnsi="Arial" w:cs="Arial"/>
          <w:color w:val="000000"/>
        </w:rPr>
      </w:pPr>
      <w:hyperlink r:id="rId41" w:history="1">
        <w:r w:rsidRPr="006C7633">
          <w:rPr>
            <w:rStyle w:val="csl-left-margin"/>
            <w:rFonts w:ascii="Arial" w:hAnsi="Arial" w:cs="Arial"/>
            <w:color w:val="000000"/>
          </w:rPr>
          <w:t>9. 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de Castro B, Gameiro P, Lima JL, Matos C, Reis S. A fast and reliable spectroscopic method for the determination of membrane--water partition coefficients of organic compounds. Lipids. 2001 Jan;36(1):89–96.</w:t>
        </w:r>
      </w:hyperlink>
    </w:p>
    <w:p w14:paraId="57F7E290" w14:textId="77777777" w:rsidR="006C7633" w:rsidRPr="006C7633" w:rsidRDefault="006C7633" w:rsidP="006C7633">
      <w:pPr>
        <w:pStyle w:val="NormalWeb"/>
        <w:spacing w:afterLines="100" w:after="240"/>
        <w:ind w:left="700" w:hanging="700"/>
        <w:rPr>
          <w:rFonts w:ascii="Arial" w:hAnsi="Arial" w:cs="Arial"/>
          <w:color w:val="000000"/>
        </w:rPr>
      </w:pPr>
      <w:hyperlink r:id="rId42" w:history="1">
        <w:r w:rsidRPr="006C7633">
          <w:rPr>
            <w:rStyle w:val="csl-left-margin"/>
            <w:rFonts w:ascii="Arial" w:hAnsi="Arial" w:cs="Arial"/>
            <w:color w:val="000000"/>
          </w:rPr>
          <w:t>10. 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 xml:space="preserve">Omran AA, Kitamura K, </w:t>
        </w:r>
        <w:proofErr w:type="spellStart"/>
        <w:r w:rsidRPr="006C7633">
          <w:rPr>
            <w:rStyle w:val="csl-right-inline"/>
            <w:rFonts w:ascii="Arial" w:hAnsi="Arial" w:cs="Arial"/>
            <w:color w:val="000000"/>
          </w:rPr>
          <w:t>Takegami</w:t>
        </w:r>
        <w:proofErr w:type="spellEnd"/>
        <w:r w:rsidRPr="006C7633">
          <w:rPr>
            <w:rStyle w:val="csl-right-inline"/>
            <w:rFonts w:ascii="Arial" w:hAnsi="Arial" w:cs="Arial"/>
            <w:color w:val="000000"/>
          </w:rPr>
          <w:t xml:space="preserve"> S, El-Sayed AA, Abdel-</w:t>
        </w:r>
        <w:proofErr w:type="spellStart"/>
        <w:r w:rsidRPr="006C7633">
          <w:rPr>
            <w:rStyle w:val="csl-right-inline"/>
            <w:rFonts w:ascii="Arial" w:hAnsi="Arial" w:cs="Arial"/>
            <w:color w:val="000000"/>
          </w:rPr>
          <w:t>Mottaleb</w:t>
        </w:r>
        <w:proofErr w:type="spellEnd"/>
        <w:r w:rsidRPr="006C7633">
          <w:rPr>
            <w:rStyle w:val="csl-right-inline"/>
            <w:rFonts w:ascii="Arial" w:hAnsi="Arial" w:cs="Arial"/>
            <w:color w:val="000000"/>
          </w:rPr>
          <w:t xml:space="preserve"> M. Determination of partition coefficients of diazepam and flurazepam between phosphatidylcholine bilayer vesicles and water by second derivative spectrophotometric method. J Pharm Biomed Anal. 2001 May;25(2):319–24.</w:t>
        </w:r>
      </w:hyperlink>
    </w:p>
    <w:p w14:paraId="5BBBA5E6" w14:textId="77777777" w:rsidR="006C7633" w:rsidRPr="006C7633" w:rsidRDefault="006C7633" w:rsidP="006C7633">
      <w:pPr>
        <w:pStyle w:val="NormalWeb"/>
        <w:spacing w:afterLines="100" w:after="240"/>
        <w:ind w:left="700" w:hanging="700"/>
        <w:rPr>
          <w:rFonts w:ascii="Arial" w:hAnsi="Arial" w:cs="Arial"/>
          <w:color w:val="000000"/>
        </w:rPr>
      </w:pPr>
      <w:hyperlink r:id="rId43" w:history="1">
        <w:r w:rsidRPr="006C7633">
          <w:rPr>
            <w:rStyle w:val="csl-left-margin"/>
            <w:rFonts w:ascii="Arial" w:hAnsi="Arial" w:cs="Arial"/>
            <w:color w:val="000000"/>
          </w:rPr>
          <w:t>11. 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Rodrigues C, Gameiro P, Reis S, Lima JL, de Castro B. Derivative spectrophotometry as a tool for the determination of drug partition coefficients in water/</w:t>
        </w:r>
        <w:proofErr w:type="spellStart"/>
        <w:r w:rsidRPr="006C7633">
          <w:rPr>
            <w:rStyle w:val="csl-right-inline"/>
            <w:rFonts w:ascii="Arial" w:hAnsi="Arial" w:cs="Arial"/>
            <w:color w:val="000000"/>
          </w:rPr>
          <w:t>dimyristoyl</w:t>
        </w:r>
        <w:proofErr w:type="spellEnd"/>
        <w:r w:rsidRPr="006C7633">
          <w:rPr>
            <w:rStyle w:val="csl-right-inline"/>
            <w:rFonts w:ascii="Arial" w:hAnsi="Arial" w:cs="Arial"/>
            <w:color w:val="000000"/>
          </w:rPr>
          <w:t xml:space="preserve">-L-alpha-phosphatidylglycerol (DMPG) liposomes. </w:t>
        </w:r>
        <w:proofErr w:type="spellStart"/>
        <w:r w:rsidRPr="006C7633">
          <w:rPr>
            <w:rStyle w:val="csl-right-inline"/>
            <w:rFonts w:ascii="Arial" w:hAnsi="Arial" w:cs="Arial"/>
            <w:color w:val="000000"/>
          </w:rPr>
          <w:t>Biophys</w:t>
        </w:r>
        <w:proofErr w:type="spellEnd"/>
        <w:r w:rsidRPr="006C7633">
          <w:rPr>
            <w:rStyle w:val="csl-right-inline"/>
            <w:rFonts w:ascii="Arial" w:hAnsi="Arial" w:cs="Arial"/>
            <w:color w:val="000000"/>
          </w:rPr>
          <w:t xml:space="preserve"> Chem. 2001 Dec 11;94(1–2):97–106.</w:t>
        </w:r>
      </w:hyperlink>
    </w:p>
    <w:p w14:paraId="43144981" w14:textId="48D83E7F" w:rsidR="006C7633" w:rsidRDefault="006C7633" w:rsidP="006C7633">
      <w:pPr>
        <w:widowControl w:val="0"/>
        <w:pBdr>
          <w:top w:val="nil"/>
          <w:left w:val="nil"/>
          <w:bottom w:val="nil"/>
          <w:right w:val="nil"/>
          <w:between w:val="nil"/>
        </w:pBdr>
        <w:spacing w:afterLines="100" w:after="240"/>
        <w:ind w:left="700" w:hanging="700"/>
        <w:rPr>
          <w:rFonts w:ascii="Arial" w:eastAsia="Arial" w:hAnsi="Arial" w:cs="Arial"/>
          <w:color w:val="000000"/>
        </w:rPr>
      </w:pPr>
      <w:hyperlink r:id="rId44" w:history="1">
        <w:r w:rsidRPr="006C7633">
          <w:rPr>
            <w:rStyle w:val="csl-left-margin"/>
            <w:rFonts w:ascii="Arial" w:hAnsi="Arial" w:cs="Arial"/>
            <w:color w:val="000000"/>
          </w:rPr>
          <w:t>12. </w:t>
        </w:r>
        <w:r w:rsidRPr="006C7633">
          <w:rPr>
            <w:rStyle w:val="csl-left-margin"/>
            <w:rFonts w:ascii="Arial" w:hAnsi="Arial" w:cs="Arial"/>
            <w:color w:val="000000"/>
          </w:rPr>
          <w:t> </w:t>
        </w:r>
        <w:r w:rsidRPr="006C7633">
          <w:rPr>
            <w:rStyle w:val="csl-left-margin"/>
            <w:rFonts w:ascii="Arial" w:hAnsi="Arial" w:cs="Arial"/>
            <w:color w:val="000000"/>
          </w:rPr>
          <w:t> </w:t>
        </w:r>
        <w:r w:rsidRPr="006C7633">
          <w:rPr>
            <w:rStyle w:val="csl-right-inline"/>
            <w:rFonts w:ascii="Arial" w:hAnsi="Arial" w:cs="Arial"/>
            <w:color w:val="000000"/>
          </w:rPr>
          <w:t>Takamori S, Holt M, Stenius K, Lemke EA, Grønborg M, Riedel D, et al. Molecular anatomy of a trafficking organelle. Cell. 2006 Nov 17;127(4):831–46.</w:t>
        </w:r>
      </w:hyperlink>
      <w:r w:rsidRPr="006C7633">
        <w:rPr>
          <w:rFonts w:ascii="Arial" w:hAnsi="Arial" w:cs="Arial"/>
          <w:color w:val="000000"/>
        </w:rPr>
        <w:t xml:space="preserve"> </w:t>
      </w:r>
    </w:p>
    <w:sectPr w:rsidR="006C7633">
      <w:footerReference w:type="even" r:id="rId45"/>
      <w:footerReference w:type="default" r:id="rId4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B520" w14:textId="77777777" w:rsidR="00D715DD" w:rsidRDefault="00D715DD">
      <w:r>
        <w:separator/>
      </w:r>
    </w:p>
  </w:endnote>
  <w:endnote w:type="continuationSeparator" w:id="0">
    <w:p w14:paraId="63E7DB4B" w14:textId="77777777" w:rsidR="00D715DD" w:rsidRDefault="00D7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A319831-257B-45ED-BD52-DF9F2DBC6A1F}"/>
  </w:font>
  <w:font w:name="Calibri">
    <w:panose1 w:val="020F0502020204030204"/>
    <w:charset w:val="00"/>
    <w:family w:val="swiss"/>
    <w:pitch w:val="variable"/>
    <w:sig w:usb0="E4002EFF" w:usb1="C000247B" w:usb2="00000009" w:usb3="00000000" w:csb0="000001FF" w:csb1="00000000"/>
    <w:embedRegular r:id="rId2" w:fontKey="{A41F5C3B-697E-467C-B8FB-C51F4ECA65AD}"/>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3" w:fontKey="{47EFEACC-93F1-4F7A-B0A6-57708BC7CC6A}"/>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4" w:fontKey="{B88B4838-61C4-4D29-BCBB-5064588C88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6414" w14:textId="77777777" w:rsidR="006C7633" w:rsidRDefault="006C7633">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625C59C3" w14:textId="77777777" w:rsidR="006C7633" w:rsidRDefault="006C7633">
    <w:pPr>
      <w:pBdr>
        <w:top w:val="nil"/>
        <w:left w:val="nil"/>
        <w:bottom w:val="nil"/>
        <w:right w:val="nil"/>
        <w:between w:val="nil"/>
      </w:pBdr>
      <w:tabs>
        <w:tab w:val="center" w:pos="4513"/>
        <w:tab w:val="right" w:pos="9026"/>
      </w:tabs>
      <w:ind w:right="360"/>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4CC8" w14:textId="77777777" w:rsidR="006C7633" w:rsidRDefault="006C7633">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p>
  <w:p w14:paraId="526957DE" w14:textId="77777777" w:rsidR="006C7633" w:rsidRDefault="006C7633">
    <w:pPr>
      <w:pBdr>
        <w:top w:val="nil"/>
        <w:left w:val="nil"/>
        <w:bottom w:val="nil"/>
        <w:right w:val="nil"/>
        <w:between w:val="nil"/>
      </w:pBdr>
      <w:tabs>
        <w:tab w:val="center" w:pos="4513"/>
        <w:tab w:val="right" w:pos="9026"/>
      </w:tabs>
      <w:ind w:right="360"/>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034B" w14:textId="77777777" w:rsidR="00404887" w:rsidRDefault="004B6DB0">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34C61330" w14:textId="77777777" w:rsidR="00404887" w:rsidRDefault="00404887">
    <w:pPr>
      <w:pBdr>
        <w:top w:val="nil"/>
        <w:left w:val="nil"/>
        <w:bottom w:val="nil"/>
        <w:right w:val="nil"/>
        <w:between w:val="nil"/>
      </w:pBdr>
      <w:tabs>
        <w:tab w:val="center" w:pos="4513"/>
        <w:tab w:val="right" w:pos="9026"/>
      </w:tabs>
      <w:ind w:right="360"/>
      <w:rPr>
        <w:rFonts w:ascii="Calibri" w:eastAsia="Calibri" w:hAnsi="Calibri"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7B66" w14:textId="77777777" w:rsidR="00404887" w:rsidRDefault="004B6DB0">
    <w:pPr>
      <w:pBdr>
        <w:top w:val="nil"/>
        <w:left w:val="nil"/>
        <w:bottom w:val="nil"/>
        <w:right w:val="nil"/>
        <w:between w:val="nil"/>
      </w:pBdr>
      <w:tabs>
        <w:tab w:val="center" w:pos="4513"/>
        <w:tab w:val="right" w:pos="9026"/>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F73EBC">
      <w:rPr>
        <w:rFonts w:ascii="Calibri" w:eastAsia="Calibri" w:hAnsi="Calibri" w:cs="Calibri"/>
        <w:noProof/>
        <w:color w:val="000000"/>
      </w:rPr>
      <w:t>1</w:t>
    </w:r>
    <w:r>
      <w:rPr>
        <w:rFonts w:ascii="Calibri" w:eastAsia="Calibri" w:hAnsi="Calibri" w:cs="Calibri"/>
        <w:color w:val="000000"/>
      </w:rPr>
      <w:fldChar w:fldCharType="end"/>
    </w:r>
  </w:p>
  <w:p w14:paraId="162AD93D" w14:textId="77777777" w:rsidR="00404887" w:rsidRDefault="00404887">
    <w:pPr>
      <w:pBdr>
        <w:top w:val="nil"/>
        <w:left w:val="nil"/>
        <w:bottom w:val="nil"/>
        <w:right w:val="nil"/>
        <w:between w:val="nil"/>
      </w:pBdr>
      <w:tabs>
        <w:tab w:val="center" w:pos="4513"/>
        <w:tab w:val="right" w:pos="9026"/>
      </w:tabs>
      <w:ind w:right="360"/>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B131A" w14:textId="77777777" w:rsidR="00D715DD" w:rsidRDefault="00D715DD">
      <w:r>
        <w:separator/>
      </w:r>
    </w:p>
  </w:footnote>
  <w:footnote w:type="continuationSeparator" w:id="0">
    <w:p w14:paraId="3E1A1649" w14:textId="77777777" w:rsidR="00D715DD" w:rsidRDefault="00D715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887"/>
    <w:rsid w:val="00062ECC"/>
    <w:rsid w:val="00137E40"/>
    <w:rsid w:val="002B0CD6"/>
    <w:rsid w:val="00303D06"/>
    <w:rsid w:val="00326705"/>
    <w:rsid w:val="00404887"/>
    <w:rsid w:val="00474620"/>
    <w:rsid w:val="004B6DB0"/>
    <w:rsid w:val="004F7F03"/>
    <w:rsid w:val="00560799"/>
    <w:rsid w:val="005D605E"/>
    <w:rsid w:val="0065007F"/>
    <w:rsid w:val="006610FC"/>
    <w:rsid w:val="006A1EA5"/>
    <w:rsid w:val="006C6221"/>
    <w:rsid w:val="006C7633"/>
    <w:rsid w:val="00737C58"/>
    <w:rsid w:val="00774169"/>
    <w:rsid w:val="007A2E70"/>
    <w:rsid w:val="007B5051"/>
    <w:rsid w:val="007E41D3"/>
    <w:rsid w:val="007F6067"/>
    <w:rsid w:val="008516DC"/>
    <w:rsid w:val="008C2949"/>
    <w:rsid w:val="00905442"/>
    <w:rsid w:val="00AD16F3"/>
    <w:rsid w:val="00AD30D6"/>
    <w:rsid w:val="00B6562E"/>
    <w:rsid w:val="00B75500"/>
    <w:rsid w:val="00BB5024"/>
    <w:rsid w:val="00C71137"/>
    <w:rsid w:val="00CB5714"/>
    <w:rsid w:val="00CE3747"/>
    <w:rsid w:val="00D53730"/>
    <w:rsid w:val="00D715DD"/>
    <w:rsid w:val="00DF405E"/>
    <w:rsid w:val="00E954CD"/>
    <w:rsid w:val="00F7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3FD2"/>
  <w15:docId w15:val="{4F291CFA-F3D1-E547-AB91-F23DE526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character" w:styleId="Lienhypertexte">
    <w:name w:val="Hyperlink"/>
    <w:basedOn w:val="Policepardfaut"/>
    <w:uiPriority w:val="99"/>
    <w:unhideWhenUsed/>
    <w:rsid w:val="00D53730"/>
    <w:rPr>
      <w:color w:val="0000FF" w:themeColor="hyperlink"/>
      <w:u w:val="single"/>
    </w:rPr>
  </w:style>
  <w:style w:type="paragraph" w:styleId="NormalWeb">
    <w:name w:val="Normal (Web)"/>
    <w:basedOn w:val="Normal"/>
    <w:uiPriority w:val="99"/>
    <w:semiHidden/>
    <w:unhideWhenUsed/>
    <w:rsid w:val="006C7633"/>
    <w:pPr>
      <w:spacing w:before="100" w:beforeAutospacing="1" w:after="100" w:afterAutospacing="1"/>
    </w:pPr>
    <w:rPr>
      <w:rFonts w:eastAsiaTheme="minorEastAsia"/>
      <w:lang w:val="en-US" w:eastAsia="en-US"/>
    </w:rPr>
  </w:style>
  <w:style w:type="character" w:customStyle="1" w:styleId="csl-left-margin">
    <w:name w:val="csl-left-margin"/>
    <w:basedOn w:val="Policepardfaut"/>
    <w:rsid w:val="006C7633"/>
  </w:style>
  <w:style w:type="character" w:customStyle="1" w:styleId="csl-right-inline">
    <w:name w:val="csl-right-inline"/>
    <w:basedOn w:val="Policepardfaut"/>
    <w:rsid w:val="006C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ciwheel.com/work/citation?ids=9907024&amp;pre=&amp;suf=&amp;sa=0" TargetMode="External"/><Relationship Id="rId18" Type="http://schemas.openxmlformats.org/officeDocument/2006/relationships/hyperlink" Target="https://sciwheel.com/work/citation?ids=417439,45226&amp;pre=&amp;pre=&amp;suf=&amp;suf=&amp;sa=0,0" TargetMode="External"/><Relationship Id="rId26" Type="http://schemas.openxmlformats.org/officeDocument/2006/relationships/image" Target="media/image8.png"/><Relationship Id="rId39" Type="http://schemas.openxmlformats.org/officeDocument/2006/relationships/hyperlink" Target="https://sciwheel.com/work/bibliography/4080265" TargetMode="External"/><Relationship Id="rId21" Type="http://schemas.openxmlformats.org/officeDocument/2006/relationships/image" Target="media/image3.png"/><Relationship Id="rId34" Type="http://schemas.openxmlformats.org/officeDocument/2006/relationships/hyperlink" Target="https://sciwheel.com/work/bibliography/53203" TargetMode="External"/><Relationship Id="rId42" Type="http://schemas.openxmlformats.org/officeDocument/2006/relationships/hyperlink" Target="https://sciwheel.com/work/bibliography/18889832" TargetMode="External"/><Relationship Id="rId47" Type="http://schemas.openxmlformats.org/officeDocument/2006/relationships/fontTable" Target="fontTable.xml"/><Relationship Id="rId7" Type="http://schemas.openxmlformats.org/officeDocument/2006/relationships/hyperlink" Target="https://sciwheel.com/work/citation?ids=236344&amp;pre=&amp;suf=&amp;sa=0" TargetMode="External"/><Relationship Id="rId2" Type="http://schemas.openxmlformats.org/officeDocument/2006/relationships/settings" Target="settings.xml"/><Relationship Id="rId16" Type="http://schemas.openxmlformats.org/officeDocument/2006/relationships/image" Target="media/image2.emf"/><Relationship Id="rId29"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avid.tareste@inserm.fr" TargetMode="External"/><Relationship Id="rId11" Type="http://schemas.openxmlformats.org/officeDocument/2006/relationships/hyperlink" Target="https://sciwheel.com/work/citation?ids=417439&amp;pre=&amp;suf=&amp;sa=0" TargetMode="External"/><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hyperlink" Target="https://sciwheel.com/work/bibliography/417439" TargetMode="External"/><Relationship Id="rId40" Type="http://schemas.openxmlformats.org/officeDocument/2006/relationships/hyperlink" Target="https://sciwheel.com/work/bibliography/18889798" TargetMode="External"/><Relationship Id="rId45"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sciwheel.com/work/citation?ids=9907024,18889798,18889802,18889832,18889900&amp;pre=&amp;pre=&amp;pre=&amp;pre=&amp;pre=&amp;suf=&amp;suf=&amp;suf=&amp;suf=&amp;suf=&amp;sa=0,0,0,0,0"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sciwheel.com/work/bibliography/1293307" TargetMode="External"/><Relationship Id="rId10" Type="http://schemas.openxmlformats.org/officeDocument/2006/relationships/hyperlink" Target="https://sciwheel.com/work/citation?ids=1293307&amp;pre=&amp;suf=&amp;sa=0" TargetMode="External"/><Relationship Id="rId19"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hyperlink" Target="https://sciwheel.com/work/bibliography/45226" TargetMode="External"/><Relationship Id="rId4" Type="http://schemas.openxmlformats.org/officeDocument/2006/relationships/footnotes" Target="footnotes.xml"/><Relationship Id="rId9" Type="http://schemas.openxmlformats.org/officeDocument/2006/relationships/hyperlink" Target="https://sciwheel.com/work/citation?ids=236323&amp;pre=&amp;suf=&amp;sa=0" TargetMode="External"/><Relationship Id="rId14" Type="http://schemas.openxmlformats.org/officeDocument/2006/relationships/hyperlink" Target="https://sciwheel.com/work/citation?ids=4080265&amp;pre=&amp;suf=&amp;sa=0"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sciwheel.com/work/citation?ids=9907024&amp;pre=&amp;suf=&amp;sa=0" TargetMode="External"/><Relationship Id="rId35" Type="http://schemas.openxmlformats.org/officeDocument/2006/relationships/hyperlink" Target="https://sciwheel.com/work/bibliography/236323" TargetMode="External"/><Relationship Id="rId43" Type="http://schemas.openxmlformats.org/officeDocument/2006/relationships/hyperlink" Target="https://sciwheel.com/work/bibliography/18889900" TargetMode="External"/><Relationship Id="rId48" Type="http://schemas.openxmlformats.org/officeDocument/2006/relationships/theme" Target="theme/theme1.xml"/><Relationship Id="rId8" Type="http://schemas.openxmlformats.org/officeDocument/2006/relationships/hyperlink" Target="https://sciwheel.com/work/citation?ids=53203&amp;pre=&amp;suf=&amp;sa=0" TargetMode="External"/><Relationship Id="rId3"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yperlink" Target="https://sciwheel.com/work/citation?ids=417439&amp;pre=&amp;suf=&amp;sa=0" TargetMode="External"/><Relationship Id="rId25" Type="http://schemas.openxmlformats.org/officeDocument/2006/relationships/image" Target="media/image7.png"/><Relationship Id="rId33" Type="http://schemas.openxmlformats.org/officeDocument/2006/relationships/hyperlink" Target="https://sciwheel.com/work/bibliography/236344" TargetMode="External"/><Relationship Id="rId38" Type="http://schemas.openxmlformats.org/officeDocument/2006/relationships/hyperlink" Target="https://sciwheel.com/work/bibliography/9907024" TargetMode="External"/><Relationship Id="rId46" Type="http://schemas.openxmlformats.org/officeDocument/2006/relationships/footer" Target="footer4.xml"/><Relationship Id="rId20" Type="http://schemas.openxmlformats.org/officeDocument/2006/relationships/footer" Target="footer2.xml"/><Relationship Id="rId41" Type="http://schemas.openxmlformats.org/officeDocument/2006/relationships/hyperlink" Target="https://sciwheel.com/work/bibliography/1888980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94A8BF-93D1-4C97-B801-EEDA799AF3C4}">
  <we:reference id="wa200002534" version="7.0.0.1" store="en-001" storeType="OMEX"/>
  <we:alternateReferences>
    <we:reference id="WA200002534" version="7.0.0.1" store="" storeType="OMEX"/>
  </we:alternateReferences>
  <we:properties>
    <we:property name="sciwheel-csl-items" value="[{&quot;title&quot;:&quot;Derivative spectrophotometry as a tool for the determination of drug partition coefficients in water/dimyristoyl-L-alpha-phosphatidylglycerol (DMPG) liposomes.&quot;,&quot;page&quot;:&quot;97-106&quot;,&quot;volume&quot;:&quot;94&quot;,&quot;issue&quot;:&quot;1-2&quot;,&quot;journalAbbreviation&quot;:&quot;Biophys. Chem.&quot;,&quot;id&quot;:&quot;18889900&quot;,&quot;type&quot;:&quot;article-journal&quot;,&quot;container-title&quot;:&quot;Biophysical Chemistry&quot;,&quot;container-title-short&quot;:&quot;Biophys. Chem.&quot;,&quot;abstract&quot;:&quot;The partition coefficients (K(p)) between lipid bilayers of dimyristoyl-L-alpha-phosphatidylglycerol (DMPG) unilamellar liposomes and water were determined using derivative spectrophotometry for chlordiazepoxide (benzodiazepine), isoniazid and rifampicin (tuberculostatic drugs) and dibucaine (local anaesthetic). A comparison of the K(p) values in water/DMPG with those in water/DMPC (dimyristoyl-L-alpha-phosphatidylcholine) revealed that for chlordiazepoxide and isoniazid, neutral drugs at physiological pH, the partition coefficients are similar in anionic (DMPG) and zwitterionic (DMPC) liposomes. However, for ionised drugs at physiological pH, the electrostatic interactions are different with DMPG and DMPC, with the cationic dibucaine having a stronger interaction with DMPG, and the anionic rifampicin having a much larger K(p) in zwitterionic DMPC. These results show that liposomes are a better model membrane than an isotropic two-phase solvent system, such as water-octanol, to predict drug-membrane partition coefficients, as they mimic better the hydrophobic part and the outer polar charged surface of the phospholipids of natural membranes.&quot;,&quot;author&quot;:[{&quot;family&quot;:&quot;Rodrigues&quot;,&quot;given&quot;:&quot;C&quot;},{&quot;family&quot;:&quot;Gameiro&quot;,&quot;given&quot;:&quot;P&quot;},{&quot;family&quot;:&quot;Reis&quot;,&quot;given&quot;:&quot;S&quot;},{&quot;family&quot;:&quot;Lima&quot;,&quot;given&quot;:&quot;J L&quot;},{&quot;family&quot;:&quot;de Castro&quot;,&quot;given&quot;:&quot;B&quot;}],&quot;issued&quot;:{&quot;date-parts&quot;:[[&quot;2001&quot;,&quot;12&quot;,&quot;11&quot;]]},&quot;DOI&quot;:&quot;10.1016/s0301-4622(01)00227-7&quot;,&quot;PMID&quot;:&quot;11744194&quot;,&quot;citation-label&quot;:&quot;18889900&quot;},{&quot;title&quot;:&quot;Determination of partition coefficients of diazepam and flurazepam between phosphatidylcholine bilayer vesicles and water by second derivative spectrophotometric method.&quot;,&quot;page&quot;:&quot;319-324&quot;,&quot;volume&quot;:&quot;25&quot;,&quot;issue&quot;:&quot;2&quot;,&quot;journalAbbreviation&quot;:&quot;J. Pharm. Biomed. Anal.&quot;,&quot;id&quot;:&quot;18889832&quot;,&quot;type&quot;:&quot;article-journal&quot;,&quot;container-title&quot;:&quot;Journal of Pharmaceutical and Biomedical Analysis&quot;,&quot;container-title-short&quot;:&quot;J. Pharm. Biomed. Anal.&quot;,&quot;abstract&quot;:&quot;Second derivative spectrophotometry allowed the establishment of a simple and accurate method for the determination of partition coefficients of benzodiazepine drugs in a liposome/water system. The absorption spectra of diazepam (DZ) and flurazepam (FZ) in phosphatidylcholine (egg yolk) bilayer vesicle suspensions showed small spectral changes depending on the concentration of phosphatidylcholine vesicles. However, the intense background signals caused by the light scattering of the phosphatidylcholine vesicles made it difficult to yield a correct base line, thus the quantitative spectral data could not be obtained. In the second derivative spectra, the spectral changes were enhanced and three derivative isosbestic points were observed for each drug indicating the entire elimination of the residual background signal effects. The derivative intensity change of each drug (DeltaD) induced by its interaction with phosphatidylcholine bilayers was measured at a specific wavelength. From the relationship between the DeltaD value and the lipid concentration, the molar partition coefficients (K(p)s) of DZ and FZ were calculated and obtained with a good precision of R.S.D below 10%. The fractions of the partitioned DZ and FZ calculated by using the obtained K(p) values agreed well with the experimental values. The results prove that the derivative method can be usefully and easily applied to the determination of partition coefficients of benzodiazepines in the liposomes/water system without any separation procedures.&quot;,&quot;author&quot;:[{&quot;family&quot;:&quot;Omran&quot;,&quot;given&quot;:&quot;A A&quot;},{&quot;family&quot;:&quot;Kitamura&quot;,&quot;given&quot;:&quot;K&quot;},{&quot;family&quot;:&quot;Takegami&quot;,&quot;given&quot;:&quot;S&quot;},{&quot;family&quot;:&quot;El-Sayed&quot;,&quot;given&quot;:&quot;A A&quot;},{&quot;family&quot;:&quot;Abdel-Mottaleb&quot;,&quot;given&quot;:&quot;M&quot;}],&quot;issued&quot;:{&quot;date-parts&quot;:[[&quot;2001&quot;,&quot;5&quot;]]},&quot;PMID&quot;:&quot;11275439&quot;,&quot;citation-label&quot;:&quot;18889832&quot;},{&quot;title&quot;:&quot;A fast and reliable spectroscopic method for the determination of membrane--water partition coefficients of organic compounds.&quot;,&quot;page&quot;:&quot;89-96&quot;,&quot;volume&quot;:&quot;36&quot;,&quot;issue&quot;:&quot;1&quot;,&quot;journalAbbreviation&quot;:&quot;Lipids&quot;,&quot;id&quot;:&quot;18889802&quot;,&quot;type&quot;:&quot;article-journal&quot;,&quot;container-title&quot;:&quot;Lipids&quot;,&quot;container-title-short&quot;:&quot;Lipids&quot;,&quot;abstract&quot;:&quot;Partition coefficients (Kp) between egg yolk phosphatidylcholine multilamellar vesicles and water were determined for two nonsteroidal anti-inflammatory drugs (indomethacin and acemetacin) using two independent methodologies: derivative spectrophotometry and variation of the experimental acidity constant in the presence of increasing vesicle concentration. Second-derivative spectrophotometry allowed for total elimination of background signal effects arising from lipid vesicles, without the need for separation techniques that may disturb equilibrium states. By using a model based on a simple partition, the values of K(T)p can be obtained directly; furthermore, by performing determinations at two different pH values it is possible to calculate partition coefficients for the neutral and negatively charged forms of the drugs (K(AH)p and K(A)p). In the other methodology, values of apparent acidity constants (K(app)) were determined by spectrophotometry at different pH values and different lipid concentrations, and an increase in K(app) with decreasing lipid concentration was observed for both drugs, and from this dependence it was possible to calculate K(AH)p and K(A-)p for each drug. These values were used as a check for those obtained by derivative spectroscopy, which has proven to be a reliable and more expeditious method to obtain K(AH)p and K(A-)p .&quot;,&quot;author&quot;:[{&quot;family&quot;:&quot;de Castro&quot;,&quot;given&quot;:&quot;B&quot;},{&quot;family&quot;:&quot;Gameiro&quot;,&quot;given&quot;:&quot;P&quot;},{&quot;family&quot;:&quot;Lima&quot;,&quot;given&quot;:&quot;J L&quot;},{&quot;family&quot;:&quot;Matos&quot;,&quot;given&quot;:&quot;C&quot;},{&quot;family&quot;:&quot;Reis&quot;,&quot;given&quot;:&quot;S&quot;}],&quot;issued&quot;:{&quot;date-parts&quot;:[[&quot;2001&quot;,&quot;1&quot;]]},&quot;DOI&quot;:&quot;10.1007/s11745-001-0673-0&quot;,&quot;PMID&quot;:&quot;11214736&quot;,&quot;citation-label&quot;:&quot;18889802&quot;},{&quot;title&quot;:&quot;Partition of DDE in synthetic and native membranes determined by ultraviolet derivative spectroscopy.&quot;,&quot;page&quot;:&quot;22-28&quot;,&quot;volume&quot;:&quot;1238&quot;,&quot;issue&quot;:&quot;1&quot;,&quot;journalAbbreviation&quot;:&quot;Biochim. Biophys. Acta&quot;,&quot;id&quot;:&quot;18889798&quot;,&quot;type&quot;:&quot;article-journal&quot;,&quot;container-title&quot;:&quot;Biochimica et Biophysica Acta&quot;,&quot;container-title-short&quot;:&quot;Biochim. Biophys. Acta&quot;,&quot;abstract&quot;:&quot;Partition coefficients of DDE (2,2-bis(p-chlorophenyl)-1,1-dichloroethylene) were determined, in model and native membranes, as a function of temperature, lipid chain length, cholesterol content and DDE concentration, by means of second derivative ultraviolet spectrophotometry. DDE incorporation increases with the temperature, since the partition values in dimyristoylphosphatidylcholine (DMPC), at 24, 30 and 37 degrees C, are 5722 +/- 138, 10356 +/- 763 and 14006 +/- 740, respectively. The insecticide incorporates better into bilayers of DMPC as compared with DPPC (dipalmitoylphosphatidylcholine). The partition decreases from 10355 +/- 763 in DMPC to 6432 +/- 613 in DPPC, at temperatures 5-7 degrees C above the midpoint of their transitions. The addition of cholesterol to fluid membranes of DMPC depresses the partition of DDE. In agreement with the results in models of synthetic lipids, the partition of DDE into native membranes increases with the temperature and decreases with the intrinsic cholesterol. It is concluded that a fluid membrane favors the accumulation of DDE.&quot;,&quot;author&quot;:[{&quot;family&quot;:&quot;Videira&quot;,&quot;given&quot;:&quot;R A&quot;},{&quot;family&quot;:&quot;Antunes-Madeira&quot;,&quot;given&quot;:&quot;M do C&quot;},{&quot;family&quot;:&quot;Custódio&quot;,&quot;given&quot;:&quot;J B&quot;},{&quot;family&quot;:&quot;Madeira&quot;,&quot;given&quot;:&quot;V M&quot;}],&quot;issued&quot;:{&quot;date-parts&quot;:[[&quot;1995&quot;,&quot;8&quot;,&quot;23&quot;]]},&quot;DOI&quot;:&quot;10.1016/0005-2736(95)00102-9&quot;,&quot;PMID&quot;:&quot;7654747&quot;,&quot;citation-label&quot;:&quot;18889798&quot;},{&quot;title&quot;:&quot;Smoothing and differentiation of data by simplified least squares procedures.&quot;,&quot;page&quot;:&quot;1627-1639&quot;,&quot;volume&quot;:&quot;36&quot;,&quot;issue&quot;:&quot;8&quot;,&quot;journalAbbreviation&quot;:&quot;Anal. Chem.&quot;,&quot;id&quot;:&quot;4080265&quot;,&quot;type&quot;:&quot;article-journal&quot;,&quot;container-title&quot;:&quot;Analytical Chemistry&quot;,&quot;container-title-short&quot;:&quot;Anal. Chem.&quot;,&quot;author&quot;:[{&quot;family&quot;:&quot;Savitzky&quot;,&quot;given&quot;:&quot;Abraham.&quot;},{&quot;family&quot;:&quot;Golay&quot;,&quot;given&quot;:&quot;M J E&quot;}],&quot;issued&quot;:{&quot;date-parts&quot;:[[&quot;1964&quot;,&quot;7&quot;]]},&quot;DOI&quot;:&quot;10.1021/ac60214a047&quot;,&quot;citation-label&quot;:&quot;4080265&quot;},{&quot;title&quot;:&quot;Second derivative spectrophotometric determination of partition coefficients of chlorpromazine and promazine between lecithin bilayer vesicles and water&quot;,&quot;page&quot;:&quot;101-106&quot;,&quot;volume&quot;:&quot;304&quot;,&quot;issue&quot;:&quot;1&quot;,&quot;journalAbbreviation&quot;:&quot;Anal. Chim. Acta&quot;,&quot;id&quot;:&quot;9907024&quot;,&quot;type&quot;:&quot;article-journal&quot;,&quot;container-title&quot;:&quot;Analytica Chimica Acta&quot;,&quot;container-title-short&quot;:&quot;Anal. Chim. Acta&quot;,&quot;author&quot;:[{&quot;family&quot;:&quot;Kitamura&quot;,&quot;given&quot;:&quot;Keisuke&quot;},{&quot;family&quot;:&quot;Imayoshi&quot;,&quot;given&quot;:&quot;Noriyuki&quot;},{&quot;family&quot;:&quot;Goto&quot;,&quot;given&quot;:&quot;Takashi&quot;},{&quot;family&quot;:&quot;Shiro&quot;,&quot;given&quot;:&quot;Hiroto&quot;},{&quot;family&quot;:&quot;Mano&quot;,&quot;given&quot;:&quot;Takako&quot;},{&quot;family&quot;:&quot;Nakai&quot;,&quot;given&quot;:&quot;Yuko&quot;}],&quot;issued&quot;:{&quot;date-parts&quot;:[[&quot;1995&quot;,&quot;3&quot;]]},&quot;DOI&quot;:&quot;10.1016/0003-2670(94)00566-5&quot;,&quot;citation-label&quot;:&quot;9907024&quot;},{&quot;title&quot;:&quot;Protein determinants of SNARE-mediated lipid mixing.&quot;,&quot;page&quot;:&quot;553-560&quot;,&quot;volume&quot;:&quot;99&quot;,&quot;issue&quot;:&quot;2&quot;,&quot;journalAbbreviation&quot;:&quot;Biophys. J.&quot;,&quot;id&quot;:&quot;417439&quot;,&quot;type&quot;:&quot;article-journal&quot;,&quot;container-title&quot;:&quot;Biophysical Journal&quot;,&quot;container-title-short&quot;:&quot;Biophys. J.&quot;,&quot;abstract&quot;:&quot;Soluble N-ethylmaleimide sensitive factor attachment protein receptor (SNARE)-mediated lipid mixing can be efficiently recapitulated in vitro by the incorporation of purified vesicle membrane (-v) SNARE and target membrane (t-) SNARE proteins into separate liposome populations. Despite the strong correlation between the observed activities in this system and the known SNARE physiology, some recent works have suggested that SNARE-mediated lipid mixing may be limited to circumstances where membrane defects arise from artifactual reconstitution conditions (such as nonphysiological high-protein concentrations or unrealistically small liposome populations). Here, we show that the previously published strategies used to reconstitute SNAREs into liposomes do not significantly affect either the physical parameters of the proteoliposomes or the ability of SNAREs to drive lipid mixing in vitro. The surface density of SNARE proteins turns out to be the most critical parameter, which controls both the rate and the extent of SNARE-mediated liposome fusion. In addition, the specific activity of the t-SNARE complex is significantly influenced by expression and reconstitution protocols, such that we only observe optimal lipid mixing when the t-SNARE proteins are coexpressed before purification.Copyright (c) 2010 Biophysical Society. Published by Elsevier Inc. All rights reserved.&quot;,&quot;author&quot;:[{&quot;family&quot;:&quot;Ji&quot;,&quot;given&quot;:&quot;Hong&quot;},{&quot;family&quot;:&quot;Coleman&quot;,&quot;given&quot;:&quot;Jeff&quot;},{&quot;family&quot;:&quot;Yang&quot;,&quot;given&quot;:&quot;Rong&quot;},{&quot;family&quot;:&quot;Melia&quot;,&quot;given&quot;:&quot;Thomas J&quot;},{&quot;family&quot;:&quot;Rothman&quot;,&quot;given&quot;:&quot;James E&quot;},{&quot;family&quot;:&quot;Tareste&quot;,&quot;given&quot;:&quot;David&quot;}],&quot;issued&quot;:{&quot;date-parts&quot;:[[&quot;2010&quot;,&quot;7&quot;,&quot;21&quot;]]},&quot;DOI&quot;:&quot;10.1016/j.bpj.2010.04.060&quot;,&quot;PMID&quot;:&quot;20643074&quot;,&quot;PMCID&quot;:&quot;PMC2905075&quot;,&quot;citation-label&quot;:&quot;417439&quot;},{&quot;title&quot;:&quot;Rapid and efficient fusion of phospholipid vesicles by the alpha-helical core of a SNARE complex in the absence of an N-terminal regulatory domain.&quot;,&quot;page&quot;:&quot;12565-12570&quot;,&quot;volume&quot;:&quot;96&quot;,&quot;issue&quot;:&quot;22&quot;,&quot;journalAbbreviation&quot;:&quot;Proc Natl Acad Sci USA&quot;,&quot;id&quot;:&quot;236344&quot;,&quot;type&quot;:&quot;article-journal&quot;,&quot;container-title&quot;:&quot;Proceedings of the National Academy of Sciences of the United States of America&quot;,&quot;container-title-short&quot;:&quot;Proc Natl Acad Sci USA&quot;,&quot;abstract&quot;:&quot;A protease-resistant core domain of the neuronal SNARE complex consists of an alpha-helical bundle similar to the proposed fusogenic core of viral fusion proteins [Skehel, J. J. &amp; Wiley, D. C. (1998) Cell 95, 871-874]. We find that the isolated core of a SNARE complex efficiently fuses artificial bilayers and does so faster than full length SNAREs. Unexpectedly, a dramatic increase in speed results from removal of the N-terminal domain of the t-SNARE syntaxin, which does not affect the rate of assembly of v-t SNARES. In the absence of this negative regulatory domain, the half-time for fusion of an entire population of lipid vesicles by isolated SNARE cores ( approximately 10 min) is compatible with the kinetics of fusion in many cell types.&quot;,&quot;author&quot;:[{&quot;family&quot;:&quot;Parlati&quot;,&quot;given&quot;:&quot;F&quot;},{&quot;family&quot;:&quot;Weber&quot;,&quot;given&quot;:&quot;T&quot;},{&quot;family&quot;:&quot;McNew&quot;,&quot;given&quot;:&quot;J A&quot;},{&quot;family&quot;:&quot;Westermann&quot;,&quot;given&quot;:&quot;B&quot;},{&quot;family&quot;:&quot;Söllner&quot;,&quot;given&quot;:&quot;T H&quot;},{&quot;family&quot;:&quot;Rothman&quot;,&quot;given&quot;:&quot;J E&quot;}],&quot;issued&quot;:{&quot;date-parts&quot;:[[&quot;1999&quot;,&quot;10&quot;,&quot;26&quot;]]},&quot;DOI&quot;:&quot;10.1073/pnas.96.22.12565&quot;,&quot;PMID&quot;:&quot;10535962&quot;,&quot;PMCID&quot;:&quot;PMC22992&quot;,&quot;citation-label&quot;:&quot;236344&quot;},{&quot;title&quot;:&quot;Close is not enough: SNARE-dependent membrane fusion requires an active mechanism that transduces force to membrane anchors.&quot;,&quot;page&quot;:&quot;105-117&quot;,&quot;volume&quot;:&quot;150&quot;,&quot;issue&quot;:&quot;1&quot;,&quot;journalAbbreviation&quot;:&quot;J. Cell Biol.&quot;,&quot;id&quot;:&quot;236323&quot;,&quot;type&quot;:&quot;article-journal&quot;,&quot;container-title&quot;:&quot;The Journal of Cell Biology&quot;,&quot;container-title-short&quot;:&quot;J. Cell Biol.&quot;,&quot;abstract&quot;:&quot;Is membrane fusion an essentially passive or an active process? It could be that fusion proteins simply need to pin two bilayers together long enough, and the bilayers could do the rest spontaneously. Or, it could be that the fusion proteins play an active role after pinning two bilayers, exerting force in the bilayer in one or another way to direct the fusion process. To distinguish these alternatives, we replaced one or both of the peptidic membrane anchors of exocytic vesicle (v)- and target membrane (t)-SNAREs (soluble N-ethylmaleimide-sensitive fusion protein [NSF] attachment protein [SNAP] receptor) with covalently attached lipids. Replacing either anchor with a phospholipid prevented fusion of liposomes by the isolated SNAREs, but still allowed assembly of trans-SNARE complexes docking vesicles. This result implies an active mechanism; if fusion occurred passively, simply holding the bilayers together long enough would have been sufficient. Studies using polyisoprenoid anchors ranging from 15-55 carbons and multiple phospholipid-containing anchors reveal distinct requirements for anchors of v- and t-SNAREs to function: v-SNAREs require anchors capable of spanning both leaflets, whereas t-SNAREs do not, so long as the anchor is sufficiently hydrophobic. These data, together with previous results showing fusion is inhibited as the length of the linker connecting the helical bundle-containing rod of the SNARE complex to the anchors is increased (McNew, J.A., T. Weber, D.M. Engelman, T.H. Sollner, and J.E. Rothman, 1999. Mol. Cell. 4:415-421), suggests a model in which one activity of the SNARE complex promoting fusion is to exert force on the anchors by pulling on the linkers. This motion would lead to the simultaneous inward movement of lipids from both bilayers, and in the case of the v-SNARE, from both leaflets.&quot;,&quot;author&quot;:[{&quot;family&quot;:&quot;McNew&quot;,&quot;given&quot;:&quot;J A&quot;},{&quot;family&quot;:&quot;Weber&quot;,&quot;given&quot;:&quot;T&quot;},{&quot;family&quot;:&quot;Parlati&quot;,&quot;given&quot;:&quot;F&quot;},{&quot;family&quot;:&quot;Johnston&quot;,&quot;given&quot;:&quot;R J&quot;},{&quot;family&quot;:&quot;Melia&quot;,&quot;given&quot;:&quot;T J&quot;},{&quot;family&quot;:&quot;Söllner&quot;,&quot;given&quot;:&quot;T H&quot;},{&quot;family&quot;:&quot;Rothman&quot;,&quot;given&quot;:&quot;J E&quot;}],&quot;issued&quot;:{&quot;date-parts&quot;:[[&quot;2000&quot;,&quot;7&quot;,&quot;10&quot;]]},&quot;DOI&quot;:&quot;10.1083/jcb.150.1.105&quot;,&quot;PMID&quot;:&quot;10893260&quot;,&quot;PMCID&quot;:&quot;PMC2185554&quot;,&quot;citation-label&quot;:&quot;236323&quot;},{&quot;title&quot;:&quot;Liposome fusion assay to monitor intracellular membrane fusion machines.&quot;,&quot;page&quot;:&quot;274-300&quot;,&quot;volume&quot;:&quot;372&quot;,&quot;journalAbbreviation&quot;:&quot;Meth. Enzymol.&quot;,&quot;id&quot;:&quot;1293307&quot;,&quot;type&quot;:&quot;article-journal&quot;,&quot;container-title&quot;:&quot;Methods in Enzymology&quot;,&quot;container-title-short&quot;:&quot;Meth. Enzymol.&quot;,&quot;author&quot;:[{&quot;family&quot;:&quot;Scott&quot;,&quot;given&quot;:&quot;Brenton L&quot;},{&quot;family&quot;:&quot;Van Komen&quot;,&quot;given&quot;:&quot;Jeffrey S&quot;},{&quot;family&quot;:&quot;Liu&quot;,&quot;given&quot;:&quot;Song&quot;},{&quot;family&quot;:&quot;Weber&quot;,&quot;given&quot;:&quot;Thomas&quot;},{&quot;family&quot;:&quot;Melia&quot;,&quot;given&quot;:&quot;Thomas J&quot;},{&quot;family&quot;:&quot;McNew&quot;,&quot;given&quot;:&quot;James A&quot;}],&quot;issued&quot;:{&quot;date-parts&quot;:[[&quot;2003&quot;]]},&quot;DOI&quot;:&quot;10.1016/S0076-6879(03)72016-3&quot;,&quot;PMID&quot;:&quot;14610819&quot;,&quot;citation-label&quot;:&quot;1293307&quot;},{&quot;title&quot;:&quot;SNAREpins: minimal machinery for membrane fusion.&quot;,&quot;page&quot;:&quot;759-772&quot;,&quot;volume&quot;:&quot;92&quot;,&quot;issue&quot;:&quot;6&quot;,&quot;journalAbbreviation&quot;:&quot;Cell&quot;,&quot;id&quot;:&quot;53203&quot;,&quot;type&quot;:&quot;article-journal&quot;,&quot;container-title&quot;:&quot;Cell&quot;,&quot;container-title-short&quot;:&quot;Cell&quot;,&quot;abstract&quot;:&quot;Recombinant v- and t-SNARE proteins reconstituted into separate lipid bilayer vesicles assemble into SNAREpins-SNARE complexes linking two membranes. This leads to spontaneous fusion of the docked membranes at physiological temperature. Docked unfused intermediates can accumulate at lower temperatures and can fuse when brought to physiological temperature. A supply of unassembled v- and t-SNAREs is needed for these intermediates to form, but not for the fusion that follows. These data imply that SNAREpins are the minimal machinery for cellular membrane fusion.&quot;,&quot;author&quot;:[{&quot;family&quot;:&quot;Weber&quot;,&quot;given&quot;:&quot;T&quot;},{&quot;family&quot;:&quot;Zemelman&quot;,&quot;given&quot;:&quot;B V&quot;},{&quot;family&quot;:&quot;McNew&quot;,&quot;given&quot;:&quot;J A&quot;},{&quot;family&quot;:&quot;Westermann&quot;,&quot;given&quot;:&quot;B&quot;},{&quot;family&quot;:&quot;Gmachl&quot;,&quot;given&quot;:&quot;M&quot;},{&quot;family&quot;:&quot;Parlati&quot;,&quot;given&quot;:&quot;F&quot;},{&quot;family&quot;:&quot;Söllner&quot;,&quot;given&quot;:&quot;T H&quot;},{&quot;family&quot;:&quot;Rothman&quot;,&quot;given&quot;:&quot;J E&quot;}],&quot;issued&quot;:{&quot;date-parts&quot;:[[&quot;1998&quot;,&quot;3&quot;,&quot;20&quot;]]},&quot;DOI&quot;:&quot;10.1016/s0092-8674(00)81404-x&quot;,&quot;PMID&quot;:&quot;9529252&quot;,&quot;citation-label&quot;:&quot;53203&quot;},{&quot;title&quot;:&quot;Molecular anatomy of a trafficking organelle.&quot;,&quot;page&quot;:&quot;831-846&quot;,&quot;volume&quot;:&quot;127&quot;,&quot;issue&quot;:&quot;4&quot;,&quot;journalAbbreviation&quot;:&quot;Cell&quot;,&quot;id&quot;:&quot;45226&quot;,&quot;type&quot;:&quot;article-journal&quot;,&quot;container-title&quot;:&quot;Cell&quot;,&quot;container-title-short&quot;:&quot;Cell&quot;,&quot;abstract&quot;:&quot;Membrane traffic in eukaryotic cells involves transport of vesicles that bud from a donor compartment and fuse with an acceptor compartment. Common principles of budding and fusion have emerged, and many of the proteins involved in these events are now known. However, a detailed picture of an entire trafficking organelle is not yet available. Using synaptic vesicles as a model, we have now determined the protein and lipid composition; measured vesicle size, density, and mass; calculated the average protein and lipid mass per vesicle; and determined the copy number of more than a dozen major constituents. A model has been constructed that integrates all quantitative data and includes structural models of abundant proteins. Synaptic vesicles are dominated by proteins, possess a surprising diversity of trafficking proteins, and, with the exception of the V-ATPase that is present in only one to two copies, contain numerous copies of proteins essential for membrane traffic and neurotransmitter uptake.&quot;,&quot;author&quot;:[{&quot;family&quot;:&quot;Takamori&quot;,&quot;given&quot;:&quot;Shigeo&quot;},{&quot;family&quot;:&quot;Holt&quot;,&quot;given&quot;:&quot;Matthew&quot;},{&quot;family&quot;:&quot;Stenius&quot;,&quot;given&quot;:&quot;Katinka&quot;},{&quot;family&quot;:&quot;Lemke&quot;,&quot;given&quot;:&quot;Edward A&quot;},{&quot;family&quot;:&quot;Grønborg&quot;,&quot;given&quot;:&quot;Mads&quot;},{&quot;family&quot;:&quot;Riedel&quot;,&quot;given&quot;:&quot;Dietmar&quot;},{&quot;family&quot;:&quot;Urlaub&quot;,&quot;given&quot;:&quot;Henning&quot;},{&quot;family&quot;:&quot;Schenck&quot;,&quot;given&quot;:&quot;Stephan&quot;},{&quot;family&quot;:&quot;Brügger&quot;,&quot;given&quot;:&quot;Britta&quot;},{&quot;family&quot;:&quot;Ringler&quot;,&quot;given&quot;:&quot;Philippe&quot;},{&quot;family&quot;:&quot;Müller&quot;,&quot;given&quot;:&quot;Shirley A&quot;},{&quot;family&quot;:&quot;Rammner&quot;,&quot;given&quot;:&quot;Burkhard&quot;},{&quot;family&quot;:&quot;Gräter&quot;,&quot;given&quot;:&quot;Frauke&quot;},{&quot;family&quot;:&quot;Hub&quot;,&quot;given&quot;:&quot;Jochen S&quot;},{&quot;family&quot;:&quot;De Groot&quot;,&quot;given&quot;:&quot;Bert L&quot;},{&quot;family&quot;:&quot;Mieskes&quot;,&quot;given&quot;:&quot;Gottfried&quot;},{&quot;family&quot;:&quot;Moriyama&quot;,&quot;given&quot;:&quot;Yoshinori&quot;},{&quot;family&quot;:&quot;Klingauf&quot;,&quot;given&quot;:&quot;Jürgen&quot;},{&quot;family&quot;:&quot;Grubmüller&quot;,&quot;given&quot;:&quot;Helmut&quot;},{&quot;family&quot;:&quot;Heuser&quot;,&quot;given&quot;:&quot;John&quot;},{&quot;family&quot;:&quot;Wieland&quot;,&quot;given&quot;:&quot;Felix&quot;},{&quot;family&quot;:&quot;Jahn&quot;,&quot;given&quot;:&quot;Reinhard&quot;}],&quot;issued&quot;:{&quot;date-parts&quot;:[[&quot;2006&quot;,&quot;11&quot;,&quot;17&quot;]]},&quot;DOI&quot;:&quot;10.1016/j.cell.2006.10.030&quot;,&quot;PMID&quot;:&quot;17110340&quot;,&quot;citation-label&quot;:&quot;45226&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TotalTime>
  <Pages>25</Pages>
  <Words>5578</Words>
  <Characters>31796</Characters>
  <Application>Microsoft Office Word</Application>
  <DocSecurity>0</DocSecurity>
  <Lines>264</Lines>
  <Paragraphs>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Tareste</dc:creator>
  <cp:lastModifiedBy>David Tareste</cp:lastModifiedBy>
  <cp:revision>3</cp:revision>
  <dcterms:created xsi:type="dcterms:W3CDTF">2026-07-22T10:10:00Z</dcterms:created>
  <dcterms:modified xsi:type="dcterms:W3CDTF">2026-07-22T10:12:00Z</dcterms:modified>
</cp:coreProperties>
</file>