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6E8F1" w14:textId="77777777" w:rsidR="00624AFD" w:rsidRDefault="00624AFD" w:rsidP="00A311CD">
      <w:pPr>
        <w:spacing w:after="0" w:line="276" w:lineRule="auto"/>
        <w:jc w:val="center"/>
        <w:rPr>
          <w:b/>
        </w:rPr>
      </w:pPr>
      <w:r>
        <w:rPr>
          <w:b/>
        </w:rPr>
        <w:t>Supplementary Material for</w:t>
      </w:r>
    </w:p>
    <w:p w14:paraId="5D19ECAA" w14:textId="68F36B43" w:rsidR="006A1D8C" w:rsidRPr="00F90A1D" w:rsidRDefault="004734C1" w:rsidP="00A311CD">
      <w:pPr>
        <w:spacing w:after="0" w:line="276" w:lineRule="auto"/>
        <w:jc w:val="center"/>
        <w:rPr>
          <w:b/>
        </w:rPr>
      </w:pPr>
      <w:r w:rsidRPr="004734C1">
        <w:rPr>
          <w:b/>
        </w:rPr>
        <w:t>Beyond Aggregation Bias: The Importance of Consistency with Official Statistics in MRIO-Based Carbon Footprints</w:t>
      </w:r>
      <w:r w:rsidR="00EC33CF">
        <w:rPr>
          <w:b/>
        </w:rPr>
        <w:t xml:space="preserve"> </w:t>
      </w:r>
    </w:p>
    <w:p w14:paraId="46991E48" w14:textId="77777777" w:rsidR="00FC4C44" w:rsidRDefault="00FC4C44" w:rsidP="00A311CD">
      <w:pPr>
        <w:spacing w:after="0" w:line="276" w:lineRule="auto"/>
      </w:pPr>
    </w:p>
    <w:p w14:paraId="7B2B98E7" w14:textId="77777777" w:rsidR="00F90A1D" w:rsidRDefault="00F90A1D" w:rsidP="00A311CD">
      <w:pPr>
        <w:spacing w:after="0" w:line="276" w:lineRule="auto"/>
      </w:pPr>
    </w:p>
    <w:p w14:paraId="4BC5426C" w14:textId="10C67D7B" w:rsidR="007D1AD5" w:rsidRDefault="007D1AD5" w:rsidP="007D1AD5">
      <w:pPr>
        <w:spacing w:after="0" w:line="276" w:lineRule="auto"/>
      </w:pPr>
    </w:p>
    <w:p w14:paraId="1916D9AF" w14:textId="77777777" w:rsidR="00624AFD" w:rsidRDefault="00624AFD" w:rsidP="00624AFD">
      <w:pPr>
        <w:spacing w:after="0" w:line="276" w:lineRule="auto"/>
        <w:jc w:val="both"/>
        <w:rPr>
          <w:bCs/>
        </w:rPr>
      </w:pPr>
      <w:r>
        <w:rPr>
          <w:bCs/>
        </w:rPr>
        <w:fldChar w:fldCharType="begin"/>
      </w:r>
      <w:r>
        <w:rPr>
          <w:bCs/>
        </w:rPr>
        <w:instrText xml:space="preserve"> REF _Ref230345501 \h  \* MERGEFORMAT </w:instrText>
      </w:r>
      <w:r>
        <w:rPr>
          <w:bCs/>
        </w:rPr>
      </w:r>
      <w:r>
        <w:rPr>
          <w:bCs/>
        </w:rPr>
        <w:fldChar w:fldCharType="separate"/>
      </w:r>
      <w:r w:rsidRPr="002358F7">
        <w:rPr>
          <w:bCs/>
        </w:rPr>
        <w:t>Figure SM1</w:t>
      </w:r>
      <w:r>
        <w:rPr>
          <w:bCs/>
        </w:rPr>
        <w:fldChar w:fldCharType="end"/>
      </w:r>
      <w:r>
        <w:rPr>
          <w:bCs/>
        </w:rPr>
        <w:t xml:space="preserve"> shows the consistency between the final demand elements of European countries reported in the 2025 edition of Eurostat and the macroaggregates reported by Eurostat, which are the same as those reported to the UN. The results show that there is a very high consistency between both sources with only a few outliers, which in case report differences below 1%. Thus, the different editions of FIGARO represent a good benchmark against which the macroaggregate data of academic MRIO databases can be compared. </w:t>
      </w:r>
    </w:p>
    <w:p w14:paraId="1CA9CC51" w14:textId="77777777" w:rsidR="00624AFD" w:rsidRDefault="00624AFD" w:rsidP="00624AFD">
      <w:pPr>
        <w:spacing w:after="0" w:line="276" w:lineRule="auto"/>
        <w:jc w:val="both"/>
        <w:rPr>
          <w:bCs/>
        </w:rPr>
      </w:pPr>
    </w:p>
    <w:p w14:paraId="39100CAD" w14:textId="77777777" w:rsidR="00624AFD" w:rsidRDefault="00624AFD" w:rsidP="00624AFD">
      <w:pPr>
        <w:pStyle w:val="Caption"/>
        <w:keepNext/>
        <w:spacing w:after="120"/>
        <w:rPr>
          <w:i w:val="0"/>
          <w:color w:val="0070C0"/>
        </w:rPr>
      </w:pPr>
      <w:bookmarkStart w:id="0" w:name="_Ref230345501"/>
      <w:r w:rsidRPr="00825EAE">
        <w:rPr>
          <w:i w:val="0"/>
          <w:color w:val="0070C0"/>
        </w:rPr>
        <w:t>Figure SM</w:t>
      </w:r>
      <w:r w:rsidRPr="00825EAE">
        <w:rPr>
          <w:i w:val="0"/>
          <w:color w:val="0070C0"/>
        </w:rPr>
        <w:fldChar w:fldCharType="begin"/>
      </w:r>
      <w:r w:rsidRPr="00825EAE">
        <w:rPr>
          <w:i w:val="0"/>
          <w:color w:val="0070C0"/>
        </w:rPr>
        <w:instrText xml:space="preserve"> SEQ Figure_SM \* ARABIC </w:instrText>
      </w:r>
      <w:r w:rsidRPr="00825EAE">
        <w:rPr>
          <w:i w:val="0"/>
          <w:color w:val="0070C0"/>
        </w:rPr>
        <w:fldChar w:fldCharType="separate"/>
      </w:r>
      <w:r w:rsidRPr="00825EAE">
        <w:rPr>
          <w:i w:val="0"/>
          <w:color w:val="0070C0"/>
        </w:rPr>
        <w:t>1</w:t>
      </w:r>
      <w:r w:rsidRPr="00825EAE">
        <w:rPr>
          <w:i w:val="0"/>
          <w:color w:val="0070C0"/>
        </w:rPr>
        <w:fldChar w:fldCharType="end"/>
      </w:r>
      <w:bookmarkEnd w:id="0"/>
      <w:r w:rsidRPr="00825EAE">
        <w:rPr>
          <w:i w:val="0"/>
          <w:color w:val="0070C0"/>
        </w:rPr>
        <w:t xml:space="preserve">: Comparison between the final demand elements of FIGARO </w:t>
      </w:r>
      <w:r>
        <w:rPr>
          <w:i w:val="0"/>
          <w:color w:val="0070C0"/>
        </w:rPr>
        <w:t xml:space="preserve">for European countries </w:t>
      </w:r>
      <w:r w:rsidRPr="00825EAE">
        <w:rPr>
          <w:i w:val="0"/>
          <w:color w:val="0070C0"/>
        </w:rPr>
        <w:t>and data reported by Eurostat</w:t>
      </w:r>
    </w:p>
    <w:p w14:paraId="37C32D1A" w14:textId="77777777" w:rsidR="00624AFD" w:rsidRDefault="00624AFD" w:rsidP="00624AFD">
      <w:r>
        <w:rPr>
          <w:noProof/>
          <w:lang w:eastAsia="en-GB"/>
        </w:rPr>
        <w:drawing>
          <wp:inline distT="0" distB="0" distL="0" distR="0" wp14:anchorId="2A602EF2" wp14:editId="46F5D15B">
            <wp:extent cx="5400040" cy="40532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4053205"/>
                    </a:xfrm>
                    <a:prstGeom prst="rect">
                      <a:avLst/>
                    </a:prstGeom>
                    <a:noFill/>
                    <a:ln>
                      <a:noFill/>
                    </a:ln>
                  </pic:spPr>
                </pic:pic>
              </a:graphicData>
            </a:graphic>
          </wp:inline>
        </w:drawing>
      </w:r>
    </w:p>
    <w:p w14:paraId="55A619A2" w14:textId="77777777" w:rsidR="00624AFD" w:rsidRPr="001B713F" w:rsidRDefault="00624AFD" w:rsidP="00624AFD">
      <w:pPr>
        <w:spacing w:after="0" w:line="276" w:lineRule="auto"/>
        <w:jc w:val="both"/>
        <w:rPr>
          <w:bCs/>
        </w:rPr>
      </w:pPr>
    </w:p>
    <w:p w14:paraId="603237DD" w14:textId="77777777" w:rsidR="00624AFD" w:rsidRPr="001B713F" w:rsidRDefault="00624AFD" w:rsidP="00624AFD">
      <w:pPr>
        <w:spacing w:after="0" w:line="276" w:lineRule="auto"/>
        <w:jc w:val="both"/>
        <w:rPr>
          <w:bCs/>
        </w:rPr>
      </w:pPr>
      <w:r>
        <w:rPr>
          <w:bCs/>
        </w:rPr>
        <w:t xml:space="preserve">As shown in </w:t>
      </w:r>
      <w:r>
        <w:rPr>
          <w:bCs/>
        </w:rPr>
        <w:fldChar w:fldCharType="begin"/>
      </w:r>
      <w:r>
        <w:rPr>
          <w:bCs/>
        </w:rPr>
        <w:instrText xml:space="preserve"> REF _Ref230349423 \h  \* MERGEFORMAT </w:instrText>
      </w:r>
      <w:r>
        <w:rPr>
          <w:bCs/>
        </w:rPr>
      </w:r>
      <w:r>
        <w:rPr>
          <w:bCs/>
        </w:rPr>
        <w:fldChar w:fldCharType="separate"/>
      </w:r>
      <w:r w:rsidRPr="002358F7">
        <w:rPr>
          <w:bCs/>
        </w:rPr>
        <w:t>Figure SM2</w:t>
      </w:r>
      <w:r>
        <w:rPr>
          <w:bCs/>
        </w:rPr>
        <w:fldChar w:fldCharType="end"/>
      </w:r>
      <w:r>
        <w:rPr>
          <w:bCs/>
        </w:rPr>
        <w:t xml:space="preserve">, agreement with FIGARO values differs both in terms of database and specific element of the final demand. Thus, EXIOBASE shows a high agreement in the case of government and household final demand, but the differences increase in the other elements, in particular changes in inventories. </w:t>
      </w:r>
    </w:p>
    <w:p w14:paraId="0195F53A" w14:textId="77777777" w:rsidR="00624AFD" w:rsidRPr="00630FF4" w:rsidRDefault="00624AFD" w:rsidP="00624AFD">
      <w:pPr>
        <w:pStyle w:val="Caption"/>
        <w:keepNext/>
        <w:spacing w:after="120"/>
        <w:rPr>
          <w:color w:val="0070C0"/>
        </w:rPr>
      </w:pPr>
      <w:bookmarkStart w:id="1" w:name="_Ref230349423"/>
      <w:r w:rsidRPr="00825EAE">
        <w:rPr>
          <w:i w:val="0"/>
          <w:color w:val="0070C0"/>
        </w:rPr>
        <w:lastRenderedPageBreak/>
        <w:t>Figure SM</w:t>
      </w:r>
      <w:r w:rsidRPr="00825EAE">
        <w:rPr>
          <w:i w:val="0"/>
          <w:color w:val="0070C0"/>
        </w:rPr>
        <w:fldChar w:fldCharType="begin"/>
      </w:r>
      <w:r w:rsidRPr="00825EAE">
        <w:rPr>
          <w:i w:val="0"/>
          <w:color w:val="0070C0"/>
        </w:rPr>
        <w:instrText xml:space="preserve"> SEQ Figure_SM \* ARABIC </w:instrText>
      </w:r>
      <w:r w:rsidRPr="00825EAE">
        <w:rPr>
          <w:i w:val="0"/>
          <w:color w:val="0070C0"/>
        </w:rPr>
        <w:fldChar w:fldCharType="separate"/>
      </w:r>
      <w:r>
        <w:rPr>
          <w:i w:val="0"/>
          <w:noProof/>
          <w:color w:val="0070C0"/>
        </w:rPr>
        <w:t>2</w:t>
      </w:r>
      <w:r w:rsidRPr="00825EAE">
        <w:rPr>
          <w:i w:val="0"/>
          <w:color w:val="0070C0"/>
        </w:rPr>
        <w:fldChar w:fldCharType="end"/>
      </w:r>
      <w:bookmarkEnd w:id="1"/>
      <w:r w:rsidRPr="00825EAE">
        <w:rPr>
          <w:i w:val="0"/>
          <w:color w:val="0070C0"/>
        </w:rPr>
        <w:t xml:space="preserve">: Comparison between the final demand elements of </w:t>
      </w:r>
      <w:r>
        <w:rPr>
          <w:i w:val="0"/>
          <w:color w:val="0070C0"/>
        </w:rPr>
        <w:t>academic databases and FIGARO</w:t>
      </w:r>
    </w:p>
    <w:p w14:paraId="70ED60AC" w14:textId="77777777" w:rsidR="00624AFD" w:rsidRDefault="00624AFD" w:rsidP="00624AFD">
      <w:pPr>
        <w:spacing w:after="0" w:line="276" w:lineRule="auto"/>
        <w:jc w:val="both"/>
        <w:rPr>
          <w:bCs/>
        </w:rPr>
      </w:pPr>
      <w:r>
        <w:rPr>
          <w:noProof/>
          <w:lang w:eastAsia="en-GB"/>
        </w:rPr>
        <w:drawing>
          <wp:inline distT="0" distB="0" distL="0" distR="0" wp14:anchorId="5F6D68EC" wp14:editId="035F0FE9">
            <wp:extent cx="5400040" cy="29851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985135"/>
                    </a:xfrm>
                    <a:prstGeom prst="rect">
                      <a:avLst/>
                    </a:prstGeom>
                    <a:noFill/>
                    <a:ln>
                      <a:noFill/>
                    </a:ln>
                  </pic:spPr>
                </pic:pic>
              </a:graphicData>
            </a:graphic>
          </wp:inline>
        </w:drawing>
      </w:r>
    </w:p>
    <w:p w14:paraId="5DA2A5F0" w14:textId="77777777" w:rsidR="00624AFD" w:rsidRDefault="00624AFD" w:rsidP="00624AFD">
      <w:pPr>
        <w:spacing w:after="0" w:line="276" w:lineRule="auto"/>
        <w:jc w:val="both"/>
        <w:rPr>
          <w:bCs/>
        </w:rPr>
      </w:pPr>
    </w:p>
    <w:p w14:paraId="43C4CC84" w14:textId="77777777" w:rsidR="00624AFD" w:rsidRDefault="00624AFD" w:rsidP="00624AFD">
      <w:pPr>
        <w:spacing w:after="0" w:line="276" w:lineRule="auto"/>
        <w:jc w:val="both"/>
        <w:rPr>
          <w:bCs/>
        </w:rPr>
      </w:pPr>
      <w:r>
        <w:rPr>
          <w:bCs/>
        </w:rPr>
        <w:fldChar w:fldCharType="begin"/>
      </w:r>
      <w:r>
        <w:rPr>
          <w:bCs/>
        </w:rPr>
        <w:instrText xml:space="preserve"> REF _Ref231564845 \h  \* MERGEFORMAT </w:instrText>
      </w:r>
      <w:r>
        <w:rPr>
          <w:bCs/>
        </w:rPr>
      </w:r>
      <w:r>
        <w:rPr>
          <w:bCs/>
        </w:rPr>
        <w:fldChar w:fldCharType="separate"/>
      </w:r>
      <w:r w:rsidRPr="002358F7">
        <w:rPr>
          <w:bCs/>
        </w:rPr>
        <w:t>Figure SM3</w:t>
      </w:r>
      <w:r>
        <w:rPr>
          <w:bCs/>
        </w:rPr>
        <w:fldChar w:fldCharType="end"/>
      </w:r>
      <w:r>
        <w:rPr>
          <w:bCs/>
        </w:rPr>
        <w:t xml:space="preserve"> shows the aggregation bias of the carbon footprint of the products with the highest footprint. While the results vary depending on the database, they seem to agree that electricity and agricultural products are the products most impacted by the aggregation bias. For EXIOBASE, the aggregation bias varies between -73% to 96% in those five product categories. For GLORIA, the range goes from -63% to +78%, while for FIGARO-E3, the range is -81% to +37%.</w:t>
      </w:r>
    </w:p>
    <w:p w14:paraId="6FE6C61B" w14:textId="77777777" w:rsidR="00624AFD" w:rsidRDefault="00624AFD" w:rsidP="00624AFD">
      <w:pPr>
        <w:spacing w:after="0" w:line="276" w:lineRule="auto"/>
        <w:jc w:val="both"/>
        <w:rPr>
          <w:bCs/>
        </w:rPr>
      </w:pPr>
    </w:p>
    <w:p w14:paraId="034AF811" w14:textId="77777777" w:rsidR="00624AFD" w:rsidRPr="00C22238" w:rsidRDefault="00624AFD" w:rsidP="00624AFD">
      <w:pPr>
        <w:pStyle w:val="Caption"/>
        <w:keepNext/>
        <w:spacing w:after="120"/>
        <w:rPr>
          <w:color w:val="0070C0"/>
        </w:rPr>
      </w:pPr>
      <w:bookmarkStart w:id="2" w:name="_Ref231564845"/>
      <w:r w:rsidRPr="00825EAE">
        <w:rPr>
          <w:i w:val="0"/>
          <w:color w:val="0070C0"/>
        </w:rPr>
        <w:t>Figure SM</w:t>
      </w:r>
      <w:r w:rsidRPr="00825EAE">
        <w:rPr>
          <w:i w:val="0"/>
          <w:color w:val="0070C0"/>
        </w:rPr>
        <w:fldChar w:fldCharType="begin"/>
      </w:r>
      <w:r w:rsidRPr="00825EAE">
        <w:rPr>
          <w:i w:val="0"/>
          <w:color w:val="0070C0"/>
        </w:rPr>
        <w:instrText xml:space="preserve"> SEQ Figure_SM \* ARABIC </w:instrText>
      </w:r>
      <w:r w:rsidRPr="00825EAE">
        <w:rPr>
          <w:i w:val="0"/>
          <w:color w:val="0070C0"/>
        </w:rPr>
        <w:fldChar w:fldCharType="separate"/>
      </w:r>
      <w:r>
        <w:rPr>
          <w:i w:val="0"/>
          <w:noProof/>
          <w:color w:val="0070C0"/>
        </w:rPr>
        <w:t>3</w:t>
      </w:r>
      <w:r w:rsidRPr="00825EAE">
        <w:rPr>
          <w:i w:val="0"/>
          <w:color w:val="0070C0"/>
        </w:rPr>
        <w:fldChar w:fldCharType="end"/>
      </w:r>
      <w:bookmarkEnd w:id="2"/>
      <w:r w:rsidRPr="00825EAE">
        <w:rPr>
          <w:i w:val="0"/>
          <w:color w:val="0070C0"/>
        </w:rPr>
        <w:t xml:space="preserve">: </w:t>
      </w:r>
      <w:r>
        <w:rPr>
          <w:i w:val="0"/>
          <w:color w:val="0070C0"/>
        </w:rPr>
        <w:t>Product</w:t>
      </w:r>
      <w:r w:rsidRPr="000867E9">
        <w:rPr>
          <w:i w:val="0"/>
          <w:color w:val="0070C0"/>
        </w:rPr>
        <w:t xml:space="preserve"> carbon footprint comparison between aggregated and disaggregated academic MRIO databases (only European countries)</w:t>
      </w:r>
    </w:p>
    <w:p w14:paraId="6E1B5A32" w14:textId="77777777" w:rsidR="00624AFD" w:rsidRPr="003F7A15" w:rsidRDefault="00624AFD" w:rsidP="00624AFD">
      <w:pPr>
        <w:spacing w:after="0" w:line="276" w:lineRule="auto"/>
        <w:jc w:val="both"/>
        <w:rPr>
          <w:bCs/>
        </w:rPr>
      </w:pPr>
      <w:r>
        <w:rPr>
          <w:noProof/>
          <w:lang w:eastAsia="en-GB"/>
        </w:rPr>
        <w:drawing>
          <wp:inline distT="0" distB="0" distL="0" distR="0" wp14:anchorId="70F21FE1" wp14:editId="13BDEA76">
            <wp:extent cx="5400040" cy="3072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072130"/>
                    </a:xfrm>
                    <a:prstGeom prst="rect">
                      <a:avLst/>
                    </a:prstGeom>
                    <a:noFill/>
                    <a:ln>
                      <a:noFill/>
                    </a:ln>
                  </pic:spPr>
                </pic:pic>
              </a:graphicData>
            </a:graphic>
          </wp:inline>
        </w:drawing>
      </w:r>
    </w:p>
    <w:p w14:paraId="031A80F4" w14:textId="77777777" w:rsidR="007D1AD5" w:rsidRPr="008C25AA" w:rsidRDefault="007D1AD5" w:rsidP="002841CA">
      <w:pPr>
        <w:spacing w:after="0" w:line="276" w:lineRule="auto"/>
        <w:jc w:val="both"/>
      </w:pPr>
    </w:p>
    <w:p w14:paraId="792D0674" w14:textId="77D85DBF" w:rsidR="0055776C" w:rsidRPr="005C15A9" w:rsidRDefault="0055776C">
      <w:pPr>
        <w:rPr>
          <w:b/>
        </w:rPr>
      </w:pPr>
    </w:p>
    <w:sectPr w:rsidR="0055776C" w:rsidRPr="005C15A9">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D280" w14:textId="77777777" w:rsidR="00A23156" w:rsidRDefault="00A23156" w:rsidP="00E072A9">
      <w:pPr>
        <w:spacing w:after="0" w:line="240" w:lineRule="auto"/>
      </w:pPr>
      <w:r>
        <w:separator/>
      </w:r>
    </w:p>
  </w:endnote>
  <w:endnote w:type="continuationSeparator" w:id="0">
    <w:p w14:paraId="6EEF71C0" w14:textId="77777777" w:rsidR="00A23156" w:rsidRDefault="00A23156" w:rsidP="00E072A9">
      <w:pPr>
        <w:spacing w:after="0" w:line="240" w:lineRule="auto"/>
      </w:pPr>
      <w:r>
        <w:continuationSeparator/>
      </w:r>
    </w:p>
  </w:endnote>
  <w:endnote w:type="continuationNotice" w:id="1">
    <w:p w14:paraId="5B2B566B" w14:textId="77777777" w:rsidR="00A23156" w:rsidRDefault="00A231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336230"/>
      <w:docPartObj>
        <w:docPartGallery w:val="Page Numbers (Bottom of Page)"/>
        <w:docPartUnique/>
      </w:docPartObj>
    </w:sdtPr>
    <w:sdtEndPr/>
    <w:sdtContent>
      <w:p w14:paraId="56D0F16E" w14:textId="1A346979" w:rsidR="00FA5045" w:rsidRDefault="00FA5045">
        <w:pPr>
          <w:pStyle w:val="Footer"/>
          <w:jc w:val="right"/>
        </w:pPr>
        <w:r>
          <w:fldChar w:fldCharType="begin"/>
        </w:r>
        <w:r>
          <w:instrText>PAGE   \* MERGEFORMAT</w:instrText>
        </w:r>
        <w:r>
          <w:fldChar w:fldCharType="separate"/>
        </w:r>
        <w:r w:rsidR="00207A26">
          <w:rPr>
            <w:noProof/>
          </w:rPr>
          <w:t>23</w:t>
        </w:r>
        <w:r>
          <w:fldChar w:fldCharType="end"/>
        </w:r>
      </w:p>
    </w:sdtContent>
  </w:sdt>
  <w:p w14:paraId="1FBFA472" w14:textId="77777777" w:rsidR="00FA5045" w:rsidRDefault="00FA5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70F18" w14:textId="77777777" w:rsidR="00A23156" w:rsidRDefault="00A23156" w:rsidP="00E072A9">
      <w:pPr>
        <w:spacing w:after="0" w:line="240" w:lineRule="auto"/>
      </w:pPr>
      <w:r>
        <w:separator/>
      </w:r>
    </w:p>
  </w:footnote>
  <w:footnote w:type="continuationSeparator" w:id="0">
    <w:p w14:paraId="21557B2D" w14:textId="77777777" w:rsidR="00A23156" w:rsidRDefault="00A23156" w:rsidP="00E072A9">
      <w:pPr>
        <w:spacing w:after="0" w:line="240" w:lineRule="auto"/>
      </w:pPr>
      <w:r>
        <w:continuationSeparator/>
      </w:r>
    </w:p>
  </w:footnote>
  <w:footnote w:type="continuationNotice" w:id="1">
    <w:p w14:paraId="634D9509" w14:textId="77777777" w:rsidR="00A23156" w:rsidRDefault="00A231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4D54" w14:textId="77777777" w:rsidR="00FA5045" w:rsidRDefault="00FA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A65B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2803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BACF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76FC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403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E677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ECF6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E42E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788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06E0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77958"/>
    <w:multiLevelType w:val="hybridMultilevel"/>
    <w:tmpl w:val="0630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C0098"/>
    <w:multiLevelType w:val="hybridMultilevel"/>
    <w:tmpl w:val="E16C6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B1BDA"/>
    <w:multiLevelType w:val="hybridMultilevel"/>
    <w:tmpl w:val="5E84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06705"/>
    <w:multiLevelType w:val="hybridMultilevel"/>
    <w:tmpl w:val="CCC40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8E67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3C4D3C"/>
    <w:multiLevelType w:val="hybridMultilevel"/>
    <w:tmpl w:val="75142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957B9"/>
    <w:multiLevelType w:val="hybridMultilevel"/>
    <w:tmpl w:val="A852DB82"/>
    <w:lvl w:ilvl="0" w:tplc="9BEEA306">
      <w:start w:val="3"/>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E464194"/>
    <w:multiLevelType w:val="multilevel"/>
    <w:tmpl w:val="1B96B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E23F5"/>
    <w:multiLevelType w:val="multilevel"/>
    <w:tmpl w:val="5BA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42E18"/>
    <w:multiLevelType w:val="hybridMultilevel"/>
    <w:tmpl w:val="FBD2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816D7D"/>
    <w:multiLevelType w:val="hybridMultilevel"/>
    <w:tmpl w:val="2AAC5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F8342B"/>
    <w:multiLevelType w:val="hybridMultilevel"/>
    <w:tmpl w:val="3912D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11"/>
  </w:num>
  <w:num w:numId="4">
    <w:abstractNumId w:val="21"/>
  </w:num>
  <w:num w:numId="5">
    <w:abstractNumId w:val="13"/>
  </w:num>
  <w:num w:numId="6">
    <w:abstractNumId w:val="10"/>
  </w:num>
  <w:num w:numId="7">
    <w:abstractNumId w:val="12"/>
  </w:num>
  <w:num w:numId="8">
    <w:abstractNumId w:val="17"/>
  </w:num>
  <w:num w:numId="9">
    <w:abstractNumId w:val="18"/>
  </w:num>
  <w:num w:numId="10">
    <w:abstractNumId w:val="19"/>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CE7"/>
    <w:rsid w:val="00000E0F"/>
    <w:rsid w:val="000023ED"/>
    <w:rsid w:val="00004EE4"/>
    <w:rsid w:val="00005859"/>
    <w:rsid w:val="00006884"/>
    <w:rsid w:val="00010CD5"/>
    <w:rsid w:val="000121A1"/>
    <w:rsid w:val="00035700"/>
    <w:rsid w:val="00036472"/>
    <w:rsid w:val="000471EF"/>
    <w:rsid w:val="00056560"/>
    <w:rsid w:val="00060FC0"/>
    <w:rsid w:val="000623CB"/>
    <w:rsid w:val="00072EA1"/>
    <w:rsid w:val="00075583"/>
    <w:rsid w:val="00080639"/>
    <w:rsid w:val="0008423B"/>
    <w:rsid w:val="000867E9"/>
    <w:rsid w:val="00087004"/>
    <w:rsid w:val="00095C9C"/>
    <w:rsid w:val="000A14B4"/>
    <w:rsid w:val="000A5E98"/>
    <w:rsid w:val="000B6D8C"/>
    <w:rsid w:val="000C1694"/>
    <w:rsid w:val="000C40E0"/>
    <w:rsid w:val="000C7A9B"/>
    <w:rsid w:val="000D00CB"/>
    <w:rsid w:val="000D41B3"/>
    <w:rsid w:val="000E6501"/>
    <w:rsid w:val="000F0A5F"/>
    <w:rsid w:val="000F39C7"/>
    <w:rsid w:val="000F6A27"/>
    <w:rsid w:val="00100A38"/>
    <w:rsid w:val="00110BCD"/>
    <w:rsid w:val="00114DB0"/>
    <w:rsid w:val="001170FA"/>
    <w:rsid w:val="0012165B"/>
    <w:rsid w:val="00127A2F"/>
    <w:rsid w:val="00127DB8"/>
    <w:rsid w:val="00133BB0"/>
    <w:rsid w:val="001421E2"/>
    <w:rsid w:val="00142A2D"/>
    <w:rsid w:val="001439BB"/>
    <w:rsid w:val="00143D51"/>
    <w:rsid w:val="0014574C"/>
    <w:rsid w:val="001459B5"/>
    <w:rsid w:val="001474C3"/>
    <w:rsid w:val="001506CA"/>
    <w:rsid w:val="00150BD0"/>
    <w:rsid w:val="00153660"/>
    <w:rsid w:val="001558E2"/>
    <w:rsid w:val="001569E7"/>
    <w:rsid w:val="00157154"/>
    <w:rsid w:val="001604FF"/>
    <w:rsid w:val="00165035"/>
    <w:rsid w:val="00166721"/>
    <w:rsid w:val="0017635D"/>
    <w:rsid w:val="00182363"/>
    <w:rsid w:val="0018325A"/>
    <w:rsid w:val="0018374B"/>
    <w:rsid w:val="00192966"/>
    <w:rsid w:val="001929AB"/>
    <w:rsid w:val="0019312F"/>
    <w:rsid w:val="0019727A"/>
    <w:rsid w:val="001978CF"/>
    <w:rsid w:val="001A3DCF"/>
    <w:rsid w:val="001A4765"/>
    <w:rsid w:val="001A5186"/>
    <w:rsid w:val="001A51F2"/>
    <w:rsid w:val="001A6083"/>
    <w:rsid w:val="001A6E38"/>
    <w:rsid w:val="001B713F"/>
    <w:rsid w:val="001B7420"/>
    <w:rsid w:val="001B7D6C"/>
    <w:rsid w:val="001C41E8"/>
    <w:rsid w:val="001C50EB"/>
    <w:rsid w:val="001D262C"/>
    <w:rsid w:val="001D69D9"/>
    <w:rsid w:val="001E3FC4"/>
    <w:rsid w:val="001E4194"/>
    <w:rsid w:val="001E73B3"/>
    <w:rsid w:val="001F47F6"/>
    <w:rsid w:val="002001F1"/>
    <w:rsid w:val="002010D9"/>
    <w:rsid w:val="0020172D"/>
    <w:rsid w:val="0020312A"/>
    <w:rsid w:val="00203995"/>
    <w:rsid w:val="0020666F"/>
    <w:rsid w:val="002076B5"/>
    <w:rsid w:val="00207A26"/>
    <w:rsid w:val="00210AF0"/>
    <w:rsid w:val="00212CFF"/>
    <w:rsid w:val="002141E8"/>
    <w:rsid w:val="002236D5"/>
    <w:rsid w:val="002240E1"/>
    <w:rsid w:val="00224703"/>
    <w:rsid w:val="00224B20"/>
    <w:rsid w:val="00224F25"/>
    <w:rsid w:val="002264CA"/>
    <w:rsid w:val="0022761F"/>
    <w:rsid w:val="002354AB"/>
    <w:rsid w:val="002358F7"/>
    <w:rsid w:val="002414F2"/>
    <w:rsid w:val="0024511B"/>
    <w:rsid w:val="00245A02"/>
    <w:rsid w:val="00246116"/>
    <w:rsid w:val="00246712"/>
    <w:rsid w:val="002507A8"/>
    <w:rsid w:val="0025294E"/>
    <w:rsid w:val="00253A44"/>
    <w:rsid w:val="00253C7D"/>
    <w:rsid w:val="00254D9C"/>
    <w:rsid w:val="00255C3B"/>
    <w:rsid w:val="00263ACA"/>
    <w:rsid w:val="00275164"/>
    <w:rsid w:val="002805A8"/>
    <w:rsid w:val="00282230"/>
    <w:rsid w:val="00283117"/>
    <w:rsid w:val="002836EA"/>
    <w:rsid w:val="00283CC1"/>
    <w:rsid w:val="00283DA2"/>
    <w:rsid w:val="002841CA"/>
    <w:rsid w:val="002850D8"/>
    <w:rsid w:val="00285854"/>
    <w:rsid w:val="0029097C"/>
    <w:rsid w:val="00292396"/>
    <w:rsid w:val="0029493A"/>
    <w:rsid w:val="002A1388"/>
    <w:rsid w:val="002A25B8"/>
    <w:rsid w:val="002A701C"/>
    <w:rsid w:val="002A73C8"/>
    <w:rsid w:val="002B54CB"/>
    <w:rsid w:val="002B6CFE"/>
    <w:rsid w:val="002C0862"/>
    <w:rsid w:val="002C1DB5"/>
    <w:rsid w:val="002C38CB"/>
    <w:rsid w:val="002C5AC2"/>
    <w:rsid w:val="002C6F4A"/>
    <w:rsid w:val="002D0CF5"/>
    <w:rsid w:val="002F20C0"/>
    <w:rsid w:val="002F2E3F"/>
    <w:rsid w:val="002F54F5"/>
    <w:rsid w:val="002F6482"/>
    <w:rsid w:val="003029D9"/>
    <w:rsid w:val="00303691"/>
    <w:rsid w:val="00313EB4"/>
    <w:rsid w:val="0031591B"/>
    <w:rsid w:val="00315BB3"/>
    <w:rsid w:val="00315E56"/>
    <w:rsid w:val="00320493"/>
    <w:rsid w:val="00324EA4"/>
    <w:rsid w:val="00332180"/>
    <w:rsid w:val="00334E77"/>
    <w:rsid w:val="003444B1"/>
    <w:rsid w:val="00344ECD"/>
    <w:rsid w:val="003548EB"/>
    <w:rsid w:val="0035768F"/>
    <w:rsid w:val="00361159"/>
    <w:rsid w:val="00361EAC"/>
    <w:rsid w:val="0036259C"/>
    <w:rsid w:val="00362AA7"/>
    <w:rsid w:val="00362B3C"/>
    <w:rsid w:val="00366BC0"/>
    <w:rsid w:val="0037152B"/>
    <w:rsid w:val="00375F72"/>
    <w:rsid w:val="00376047"/>
    <w:rsid w:val="00381D67"/>
    <w:rsid w:val="003848D9"/>
    <w:rsid w:val="00393351"/>
    <w:rsid w:val="003938DD"/>
    <w:rsid w:val="003A07E4"/>
    <w:rsid w:val="003A3E80"/>
    <w:rsid w:val="003A6F1E"/>
    <w:rsid w:val="003B0303"/>
    <w:rsid w:val="003B6AD4"/>
    <w:rsid w:val="003C0B2F"/>
    <w:rsid w:val="003C1FAA"/>
    <w:rsid w:val="003C3047"/>
    <w:rsid w:val="003D0C7F"/>
    <w:rsid w:val="003D1E61"/>
    <w:rsid w:val="003D2976"/>
    <w:rsid w:val="003D5086"/>
    <w:rsid w:val="003D590D"/>
    <w:rsid w:val="003D7CD9"/>
    <w:rsid w:val="003E38C5"/>
    <w:rsid w:val="003E38DC"/>
    <w:rsid w:val="003F6E03"/>
    <w:rsid w:val="003F7A15"/>
    <w:rsid w:val="0040461B"/>
    <w:rsid w:val="0040594C"/>
    <w:rsid w:val="0041171F"/>
    <w:rsid w:val="004125D7"/>
    <w:rsid w:val="00416049"/>
    <w:rsid w:val="004203CA"/>
    <w:rsid w:val="004214C1"/>
    <w:rsid w:val="00421540"/>
    <w:rsid w:val="00423FC3"/>
    <w:rsid w:val="004344D9"/>
    <w:rsid w:val="004348E9"/>
    <w:rsid w:val="0044799C"/>
    <w:rsid w:val="004526EA"/>
    <w:rsid w:val="004560B5"/>
    <w:rsid w:val="00464E68"/>
    <w:rsid w:val="004705DE"/>
    <w:rsid w:val="004734C1"/>
    <w:rsid w:val="004753F7"/>
    <w:rsid w:val="0047658F"/>
    <w:rsid w:val="00481207"/>
    <w:rsid w:val="0048301A"/>
    <w:rsid w:val="004A36DE"/>
    <w:rsid w:val="004A452C"/>
    <w:rsid w:val="004B043E"/>
    <w:rsid w:val="004B6615"/>
    <w:rsid w:val="004C7F08"/>
    <w:rsid w:val="004D069D"/>
    <w:rsid w:val="004D4A3D"/>
    <w:rsid w:val="004D6914"/>
    <w:rsid w:val="004E4ABD"/>
    <w:rsid w:val="004F4CB7"/>
    <w:rsid w:val="004F6D5B"/>
    <w:rsid w:val="004F7846"/>
    <w:rsid w:val="0050204E"/>
    <w:rsid w:val="00502AAB"/>
    <w:rsid w:val="005044B1"/>
    <w:rsid w:val="0050537A"/>
    <w:rsid w:val="005071D8"/>
    <w:rsid w:val="005154F9"/>
    <w:rsid w:val="00520C6E"/>
    <w:rsid w:val="0052461B"/>
    <w:rsid w:val="005253C1"/>
    <w:rsid w:val="00526291"/>
    <w:rsid w:val="0052691C"/>
    <w:rsid w:val="00527C7D"/>
    <w:rsid w:val="0053205B"/>
    <w:rsid w:val="00540233"/>
    <w:rsid w:val="00547BDF"/>
    <w:rsid w:val="005501F5"/>
    <w:rsid w:val="00553F3A"/>
    <w:rsid w:val="00555A5D"/>
    <w:rsid w:val="0055776C"/>
    <w:rsid w:val="00560DB9"/>
    <w:rsid w:val="0056630C"/>
    <w:rsid w:val="00571526"/>
    <w:rsid w:val="005723EF"/>
    <w:rsid w:val="00572BAD"/>
    <w:rsid w:val="005736FF"/>
    <w:rsid w:val="00581F20"/>
    <w:rsid w:val="00582BEC"/>
    <w:rsid w:val="0058512F"/>
    <w:rsid w:val="005870A5"/>
    <w:rsid w:val="00587F08"/>
    <w:rsid w:val="00593000"/>
    <w:rsid w:val="00594833"/>
    <w:rsid w:val="005B36A9"/>
    <w:rsid w:val="005C071C"/>
    <w:rsid w:val="005C15A9"/>
    <w:rsid w:val="005D4FFA"/>
    <w:rsid w:val="005D5094"/>
    <w:rsid w:val="005F2336"/>
    <w:rsid w:val="005F307C"/>
    <w:rsid w:val="00600A9D"/>
    <w:rsid w:val="0060170D"/>
    <w:rsid w:val="00605418"/>
    <w:rsid w:val="006054FB"/>
    <w:rsid w:val="00607F3B"/>
    <w:rsid w:val="00611D71"/>
    <w:rsid w:val="0061385F"/>
    <w:rsid w:val="00616CEF"/>
    <w:rsid w:val="006217AD"/>
    <w:rsid w:val="00624AFD"/>
    <w:rsid w:val="00630FF4"/>
    <w:rsid w:val="00643BDE"/>
    <w:rsid w:val="006440B4"/>
    <w:rsid w:val="00646A35"/>
    <w:rsid w:val="00650496"/>
    <w:rsid w:val="00650C22"/>
    <w:rsid w:val="00651221"/>
    <w:rsid w:val="0066093C"/>
    <w:rsid w:val="00661EE6"/>
    <w:rsid w:val="0067108A"/>
    <w:rsid w:val="00676952"/>
    <w:rsid w:val="0068141B"/>
    <w:rsid w:val="00686298"/>
    <w:rsid w:val="00686F7C"/>
    <w:rsid w:val="00687252"/>
    <w:rsid w:val="00687CE1"/>
    <w:rsid w:val="00696956"/>
    <w:rsid w:val="00696A7A"/>
    <w:rsid w:val="006A10C6"/>
    <w:rsid w:val="006A1BA4"/>
    <w:rsid w:val="006A1D8C"/>
    <w:rsid w:val="006A2396"/>
    <w:rsid w:val="006A6F97"/>
    <w:rsid w:val="006A7B18"/>
    <w:rsid w:val="006B0408"/>
    <w:rsid w:val="006B4271"/>
    <w:rsid w:val="006B5790"/>
    <w:rsid w:val="006C103D"/>
    <w:rsid w:val="006C3ED0"/>
    <w:rsid w:val="006D02F8"/>
    <w:rsid w:val="006D2C20"/>
    <w:rsid w:val="006D7A46"/>
    <w:rsid w:val="006D7E02"/>
    <w:rsid w:val="006F40B0"/>
    <w:rsid w:val="006F496F"/>
    <w:rsid w:val="007010C6"/>
    <w:rsid w:val="00703844"/>
    <w:rsid w:val="00712611"/>
    <w:rsid w:val="0071274B"/>
    <w:rsid w:val="007159AA"/>
    <w:rsid w:val="007164EE"/>
    <w:rsid w:val="00717A75"/>
    <w:rsid w:val="00720DC7"/>
    <w:rsid w:val="00722155"/>
    <w:rsid w:val="00723ED0"/>
    <w:rsid w:val="00736FBF"/>
    <w:rsid w:val="00743A8D"/>
    <w:rsid w:val="00745325"/>
    <w:rsid w:val="00747005"/>
    <w:rsid w:val="007516FD"/>
    <w:rsid w:val="00760156"/>
    <w:rsid w:val="007627BB"/>
    <w:rsid w:val="0076790B"/>
    <w:rsid w:val="00767E73"/>
    <w:rsid w:val="0077780E"/>
    <w:rsid w:val="00784D09"/>
    <w:rsid w:val="00787C39"/>
    <w:rsid w:val="007A1942"/>
    <w:rsid w:val="007A5032"/>
    <w:rsid w:val="007B2762"/>
    <w:rsid w:val="007B29D5"/>
    <w:rsid w:val="007B44A4"/>
    <w:rsid w:val="007B630C"/>
    <w:rsid w:val="007B78D8"/>
    <w:rsid w:val="007C2E6A"/>
    <w:rsid w:val="007C4E15"/>
    <w:rsid w:val="007D1AD5"/>
    <w:rsid w:val="007D797C"/>
    <w:rsid w:val="007E096A"/>
    <w:rsid w:val="007E1046"/>
    <w:rsid w:val="007E69AC"/>
    <w:rsid w:val="007F1675"/>
    <w:rsid w:val="007F219F"/>
    <w:rsid w:val="007F4385"/>
    <w:rsid w:val="007F6870"/>
    <w:rsid w:val="00806090"/>
    <w:rsid w:val="00810C9A"/>
    <w:rsid w:val="00815F6F"/>
    <w:rsid w:val="00816658"/>
    <w:rsid w:val="00823391"/>
    <w:rsid w:val="00823CDB"/>
    <w:rsid w:val="00825EAE"/>
    <w:rsid w:val="00831032"/>
    <w:rsid w:val="008335FE"/>
    <w:rsid w:val="00836956"/>
    <w:rsid w:val="00843F6D"/>
    <w:rsid w:val="00846AA4"/>
    <w:rsid w:val="008472E0"/>
    <w:rsid w:val="00853AA1"/>
    <w:rsid w:val="00854CF2"/>
    <w:rsid w:val="0086493B"/>
    <w:rsid w:val="0086503C"/>
    <w:rsid w:val="0086511B"/>
    <w:rsid w:val="00874A3E"/>
    <w:rsid w:val="00875427"/>
    <w:rsid w:val="0089076A"/>
    <w:rsid w:val="00890B67"/>
    <w:rsid w:val="00891D17"/>
    <w:rsid w:val="00893222"/>
    <w:rsid w:val="00894FC5"/>
    <w:rsid w:val="00896359"/>
    <w:rsid w:val="00897573"/>
    <w:rsid w:val="008A1773"/>
    <w:rsid w:val="008B6557"/>
    <w:rsid w:val="008B6629"/>
    <w:rsid w:val="008C07CC"/>
    <w:rsid w:val="008C1609"/>
    <w:rsid w:val="008C38E8"/>
    <w:rsid w:val="008C3C89"/>
    <w:rsid w:val="008C4964"/>
    <w:rsid w:val="008D5E26"/>
    <w:rsid w:val="008D7AA1"/>
    <w:rsid w:val="008E30B8"/>
    <w:rsid w:val="008E5D6A"/>
    <w:rsid w:val="008F2634"/>
    <w:rsid w:val="008F57B2"/>
    <w:rsid w:val="008F6FE5"/>
    <w:rsid w:val="0090039C"/>
    <w:rsid w:val="00900C9E"/>
    <w:rsid w:val="00903E19"/>
    <w:rsid w:val="00905A28"/>
    <w:rsid w:val="00905AF8"/>
    <w:rsid w:val="00911C89"/>
    <w:rsid w:val="0091316C"/>
    <w:rsid w:val="00922970"/>
    <w:rsid w:val="009255BB"/>
    <w:rsid w:val="00933E04"/>
    <w:rsid w:val="00934F20"/>
    <w:rsid w:val="009406BC"/>
    <w:rsid w:val="00941BF9"/>
    <w:rsid w:val="0094253E"/>
    <w:rsid w:val="00944BC7"/>
    <w:rsid w:val="00947010"/>
    <w:rsid w:val="0095481A"/>
    <w:rsid w:val="00956967"/>
    <w:rsid w:val="00964FAC"/>
    <w:rsid w:val="00970655"/>
    <w:rsid w:val="00970BA7"/>
    <w:rsid w:val="00974CDD"/>
    <w:rsid w:val="00975598"/>
    <w:rsid w:val="00976E10"/>
    <w:rsid w:val="00982717"/>
    <w:rsid w:val="009834CA"/>
    <w:rsid w:val="00993D1E"/>
    <w:rsid w:val="00994934"/>
    <w:rsid w:val="009A10D6"/>
    <w:rsid w:val="009B0798"/>
    <w:rsid w:val="009B08C8"/>
    <w:rsid w:val="009B43B7"/>
    <w:rsid w:val="009B4A7A"/>
    <w:rsid w:val="009C3D19"/>
    <w:rsid w:val="009C6CD1"/>
    <w:rsid w:val="009C7766"/>
    <w:rsid w:val="009D012B"/>
    <w:rsid w:val="009D6F50"/>
    <w:rsid w:val="009E7F8E"/>
    <w:rsid w:val="009F4395"/>
    <w:rsid w:val="009F5628"/>
    <w:rsid w:val="00A01759"/>
    <w:rsid w:val="00A05425"/>
    <w:rsid w:val="00A05466"/>
    <w:rsid w:val="00A07148"/>
    <w:rsid w:val="00A12EF2"/>
    <w:rsid w:val="00A174F1"/>
    <w:rsid w:val="00A23156"/>
    <w:rsid w:val="00A2363E"/>
    <w:rsid w:val="00A25C44"/>
    <w:rsid w:val="00A275C7"/>
    <w:rsid w:val="00A2785E"/>
    <w:rsid w:val="00A311CD"/>
    <w:rsid w:val="00A32E6F"/>
    <w:rsid w:val="00A333B4"/>
    <w:rsid w:val="00A37E0E"/>
    <w:rsid w:val="00A42869"/>
    <w:rsid w:val="00A464B8"/>
    <w:rsid w:val="00A51DBB"/>
    <w:rsid w:val="00A55D95"/>
    <w:rsid w:val="00A63C3B"/>
    <w:rsid w:val="00A66885"/>
    <w:rsid w:val="00A66D8F"/>
    <w:rsid w:val="00A72B4C"/>
    <w:rsid w:val="00A76684"/>
    <w:rsid w:val="00A77245"/>
    <w:rsid w:val="00A819BC"/>
    <w:rsid w:val="00A839EC"/>
    <w:rsid w:val="00A8463E"/>
    <w:rsid w:val="00A8495A"/>
    <w:rsid w:val="00A85F70"/>
    <w:rsid w:val="00A8652A"/>
    <w:rsid w:val="00A874A3"/>
    <w:rsid w:val="00A91BE8"/>
    <w:rsid w:val="00AA0A8E"/>
    <w:rsid w:val="00AA3377"/>
    <w:rsid w:val="00AB263E"/>
    <w:rsid w:val="00AB4555"/>
    <w:rsid w:val="00AB79B1"/>
    <w:rsid w:val="00AC4013"/>
    <w:rsid w:val="00AC47A8"/>
    <w:rsid w:val="00AC6313"/>
    <w:rsid w:val="00AD0C7B"/>
    <w:rsid w:val="00AD1068"/>
    <w:rsid w:val="00AD48D4"/>
    <w:rsid w:val="00AD4ECE"/>
    <w:rsid w:val="00AE2931"/>
    <w:rsid w:val="00AE31A3"/>
    <w:rsid w:val="00AE5AEF"/>
    <w:rsid w:val="00AE60FA"/>
    <w:rsid w:val="00AF0236"/>
    <w:rsid w:val="00AF4DCB"/>
    <w:rsid w:val="00B00531"/>
    <w:rsid w:val="00B01303"/>
    <w:rsid w:val="00B056D4"/>
    <w:rsid w:val="00B06D61"/>
    <w:rsid w:val="00B1132C"/>
    <w:rsid w:val="00B232D0"/>
    <w:rsid w:val="00B237DD"/>
    <w:rsid w:val="00B30999"/>
    <w:rsid w:val="00B34C87"/>
    <w:rsid w:val="00B42191"/>
    <w:rsid w:val="00B43515"/>
    <w:rsid w:val="00B44656"/>
    <w:rsid w:val="00B45381"/>
    <w:rsid w:val="00B45E56"/>
    <w:rsid w:val="00B4615B"/>
    <w:rsid w:val="00B52F78"/>
    <w:rsid w:val="00B53072"/>
    <w:rsid w:val="00B54ECD"/>
    <w:rsid w:val="00B62891"/>
    <w:rsid w:val="00B702F0"/>
    <w:rsid w:val="00B71912"/>
    <w:rsid w:val="00B72F31"/>
    <w:rsid w:val="00B739B2"/>
    <w:rsid w:val="00B73C29"/>
    <w:rsid w:val="00B762B1"/>
    <w:rsid w:val="00B776A7"/>
    <w:rsid w:val="00B82543"/>
    <w:rsid w:val="00B90234"/>
    <w:rsid w:val="00BA262E"/>
    <w:rsid w:val="00BA2C73"/>
    <w:rsid w:val="00BA3CAF"/>
    <w:rsid w:val="00BA5B7F"/>
    <w:rsid w:val="00BA6B87"/>
    <w:rsid w:val="00BB32B4"/>
    <w:rsid w:val="00BB4D2D"/>
    <w:rsid w:val="00BB636F"/>
    <w:rsid w:val="00BB75CB"/>
    <w:rsid w:val="00BB7D9F"/>
    <w:rsid w:val="00BD003D"/>
    <w:rsid w:val="00BD2CD6"/>
    <w:rsid w:val="00BD489C"/>
    <w:rsid w:val="00BD4CC6"/>
    <w:rsid w:val="00BD7F07"/>
    <w:rsid w:val="00BE3EE7"/>
    <w:rsid w:val="00BE4B88"/>
    <w:rsid w:val="00BE5A20"/>
    <w:rsid w:val="00BE6DF7"/>
    <w:rsid w:val="00BF2AE2"/>
    <w:rsid w:val="00BF6301"/>
    <w:rsid w:val="00BF68F9"/>
    <w:rsid w:val="00C064BC"/>
    <w:rsid w:val="00C07AA5"/>
    <w:rsid w:val="00C126F7"/>
    <w:rsid w:val="00C1299C"/>
    <w:rsid w:val="00C16F84"/>
    <w:rsid w:val="00C17C45"/>
    <w:rsid w:val="00C20848"/>
    <w:rsid w:val="00C20B64"/>
    <w:rsid w:val="00C22371"/>
    <w:rsid w:val="00C225A6"/>
    <w:rsid w:val="00C2537C"/>
    <w:rsid w:val="00C25FF9"/>
    <w:rsid w:val="00C34DEE"/>
    <w:rsid w:val="00C3538F"/>
    <w:rsid w:val="00C35BB4"/>
    <w:rsid w:val="00C41550"/>
    <w:rsid w:val="00C4483F"/>
    <w:rsid w:val="00C5259A"/>
    <w:rsid w:val="00C559F6"/>
    <w:rsid w:val="00C5656E"/>
    <w:rsid w:val="00C56D6A"/>
    <w:rsid w:val="00C60A11"/>
    <w:rsid w:val="00C6437C"/>
    <w:rsid w:val="00C66973"/>
    <w:rsid w:val="00C7113F"/>
    <w:rsid w:val="00C72522"/>
    <w:rsid w:val="00C73E53"/>
    <w:rsid w:val="00C7678E"/>
    <w:rsid w:val="00C81FA0"/>
    <w:rsid w:val="00C83F64"/>
    <w:rsid w:val="00C905E5"/>
    <w:rsid w:val="00C95CAC"/>
    <w:rsid w:val="00CA160E"/>
    <w:rsid w:val="00CA3C2B"/>
    <w:rsid w:val="00CC6235"/>
    <w:rsid w:val="00CD0011"/>
    <w:rsid w:val="00CD0511"/>
    <w:rsid w:val="00CD47CC"/>
    <w:rsid w:val="00CD5644"/>
    <w:rsid w:val="00CE1470"/>
    <w:rsid w:val="00CE1566"/>
    <w:rsid w:val="00CF517D"/>
    <w:rsid w:val="00D07DF4"/>
    <w:rsid w:val="00D118DC"/>
    <w:rsid w:val="00D11B41"/>
    <w:rsid w:val="00D129DA"/>
    <w:rsid w:val="00D2059D"/>
    <w:rsid w:val="00D43EB0"/>
    <w:rsid w:val="00D52A39"/>
    <w:rsid w:val="00D55F26"/>
    <w:rsid w:val="00D575F9"/>
    <w:rsid w:val="00D57ABC"/>
    <w:rsid w:val="00D602EF"/>
    <w:rsid w:val="00D6100B"/>
    <w:rsid w:val="00D61616"/>
    <w:rsid w:val="00D65569"/>
    <w:rsid w:val="00D6574A"/>
    <w:rsid w:val="00D659E1"/>
    <w:rsid w:val="00D73623"/>
    <w:rsid w:val="00D77E85"/>
    <w:rsid w:val="00D82604"/>
    <w:rsid w:val="00D86422"/>
    <w:rsid w:val="00D87778"/>
    <w:rsid w:val="00D90259"/>
    <w:rsid w:val="00D91C71"/>
    <w:rsid w:val="00D9781D"/>
    <w:rsid w:val="00DA7244"/>
    <w:rsid w:val="00DB100B"/>
    <w:rsid w:val="00DB1366"/>
    <w:rsid w:val="00DC00F2"/>
    <w:rsid w:val="00DC5405"/>
    <w:rsid w:val="00DC665B"/>
    <w:rsid w:val="00DD08BC"/>
    <w:rsid w:val="00DD3716"/>
    <w:rsid w:val="00DD603F"/>
    <w:rsid w:val="00DE2300"/>
    <w:rsid w:val="00DE3469"/>
    <w:rsid w:val="00DE3BEC"/>
    <w:rsid w:val="00DE7F18"/>
    <w:rsid w:val="00DF1D4E"/>
    <w:rsid w:val="00DF2355"/>
    <w:rsid w:val="00DF2C46"/>
    <w:rsid w:val="00DF3992"/>
    <w:rsid w:val="00DF4192"/>
    <w:rsid w:val="00E02678"/>
    <w:rsid w:val="00E0709B"/>
    <w:rsid w:val="00E072A9"/>
    <w:rsid w:val="00E11EA5"/>
    <w:rsid w:val="00E122AB"/>
    <w:rsid w:val="00E15036"/>
    <w:rsid w:val="00E1689D"/>
    <w:rsid w:val="00E20C95"/>
    <w:rsid w:val="00E23D7D"/>
    <w:rsid w:val="00E34B0D"/>
    <w:rsid w:val="00E34B89"/>
    <w:rsid w:val="00E427CB"/>
    <w:rsid w:val="00E44871"/>
    <w:rsid w:val="00E46981"/>
    <w:rsid w:val="00E55817"/>
    <w:rsid w:val="00E57915"/>
    <w:rsid w:val="00E624BD"/>
    <w:rsid w:val="00E6361A"/>
    <w:rsid w:val="00E636CB"/>
    <w:rsid w:val="00E638B0"/>
    <w:rsid w:val="00E63B79"/>
    <w:rsid w:val="00E65B32"/>
    <w:rsid w:val="00E7028B"/>
    <w:rsid w:val="00E77003"/>
    <w:rsid w:val="00E77A1D"/>
    <w:rsid w:val="00E9410B"/>
    <w:rsid w:val="00E9530C"/>
    <w:rsid w:val="00E97AFE"/>
    <w:rsid w:val="00EA07AB"/>
    <w:rsid w:val="00EA1193"/>
    <w:rsid w:val="00EA11F5"/>
    <w:rsid w:val="00EA4E76"/>
    <w:rsid w:val="00EA60A2"/>
    <w:rsid w:val="00EB0B39"/>
    <w:rsid w:val="00EB5414"/>
    <w:rsid w:val="00EB61AE"/>
    <w:rsid w:val="00EB7FE8"/>
    <w:rsid w:val="00EC33CF"/>
    <w:rsid w:val="00EC5DF0"/>
    <w:rsid w:val="00ED1636"/>
    <w:rsid w:val="00ED4CBB"/>
    <w:rsid w:val="00ED7222"/>
    <w:rsid w:val="00EE1F43"/>
    <w:rsid w:val="00EE68DD"/>
    <w:rsid w:val="00EF4A1C"/>
    <w:rsid w:val="00EF5C70"/>
    <w:rsid w:val="00EF6C14"/>
    <w:rsid w:val="00F010EC"/>
    <w:rsid w:val="00F02432"/>
    <w:rsid w:val="00F02B10"/>
    <w:rsid w:val="00F02D68"/>
    <w:rsid w:val="00F0322D"/>
    <w:rsid w:val="00F03757"/>
    <w:rsid w:val="00F073BD"/>
    <w:rsid w:val="00F10FC8"/>
    <w:rsid w:val="00F127CB"/>
    <w:rsid w:val="00F20E4A"/>
    <w:rsid w:val="00F21C7A"/>
    <w:rsid w:val="00F22849"/>
    <w:rsid w:val="00F25ABD"/>
    <w:rsid w:val="00F2783C"/>
    <w:rsid w:val="00F426AE"/>
    <w:rsid w:val="00F456B6"/>
    <w:rsid w:val="00F50F13"/>
    <w:rsid w:val="00F529A9"/>
    <w:rsid w:val="00F54A98"/>
    <w:rsid w:val="00F55100"/>
    <w:rsid w:val="00F56964"/>
    <w:rsid w:val="00F64E4A"/>
    <w:rsid w:val="00F65EBC"/>
    <w:rsid w:val="00F70BF5"/>
    <w:rsid w:val="00F719AD"/>
    <w:rsid w:val="00F835AA"/>
    <w:rsid w:val="00F859E6"/>
    <w:rsid w:val="00F86672"/>
    <w:rsid w:val="00F90A1D"/>
    <w:rsid w:val="00F912D9"/>
    <w:rsid w:val="00F9238B"/>
    <w:rsid w:val="00F92FAD"/>
    <w:rsid w:val="00F93EBA"/>
    <w:rsid w:val="00F95C6F"/>
    <w:rsid w:val="00FA0722"/>
    <w:rsid w:val="00FA4776"/>
    <w:rsid w:val="00FA5045"/>
    <w:rsid w:val="00FA7F5C"/>
    <w:rsid w:val="00FB1A09"/>
    <w:rsid w:val="00FB2FE6"/>
    <w:rsid w:val="00FC1C92"/>
    <w:rsid w:val="00FC24A2"/>
    <w:rsid w:val="00FC4C44"/>
    <w:rsid w:val="00FC5CE7"/>
    <w:rsid w:val="00FD03FB"/>
    <w:rsid w:val="00FD09A3"/>
    <w:rsid w:val="00FD1202"/>
    <w:rsid w:val="00FD3DE8"/>
    <w:rsid w:val="00FD775C"/>
    <w:rsid w:val="00FE1412"/>
    <w:rsid w:val="00FE2A1A"/>
    <w:rsid w:val="00FE3DA9"/>
    <w:rsid w:val="00FE420D"/>
    <w:rsid w:val="00FF0C72"/>
    <w:rsid w:val="00FF3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286F"/>
  <w15:chartTrackingRefBased/>
  <w15:docId w15:val="{AD9B1774-1964-4D4F-8967-1FB964F8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C44"/>
    <w:pPr>
      <w:ind w:left="720"/>
      <w:contextualSpacing/>
    </w:pPr>
  </w:style>
  <w:style w:type="character" w:styleId="CommentReference">
    <w:name w:val="annotation reference"/>
    <w:basedOn w:val="DefaultParagraphFont"/>
    <w:uiPriority w:val="99"/>
    <w:semiHidden/>
    <w:unhideWhenUsed/>
    <w:rsid w:val="00FB1A09"/>
    <w:rPr>
      <w:sz w:val="16"/>
      <w:szCs w:val="16"/>
    </w:rPr>
  </w:style>
  <w:style w:type="paragraph" w:styleId="CommentText">
    <w:name w:val="annotation text"/>
    <w:basedOn w:val="Normal"/>
    <w:link w:val="CommentTextChar"/>
    <w:uiPriority w:val="99"/>
    <w:unhideWhenUsed/>
    <w:rsid w:val="00FB1A09"/>
    <w:pPr>
      <w:spacing w:line="240" w:lineRule="auto"/>
    </w:pPr>
  </w:style>
  <w:style w:type="character" w:customStyle="1" w:styleId="CommentTextChar">
    <w:name w:val="Comment Text Char"/>
    <w:basedOn w:val="DefaultParagraphFont"/>
    <w:link w:val="CommentText"/>
    <w:uiPriority w:val="99"/>
    <w:rsid w:val="00FB1A09"/>
    <w:rPr>
      <w:sz w:val="20"/>
      <w:szCs w:val="20"/>
    </w:rPr>
  </w:style>
  <w:style w:type="paragraph" w:styleId="CommentSubject">
    <w:name w:val="annotation subject"/>
    <w:basedOn w:val="CommentText"/>
    <w:next w:val="CommentText"/>
    <w:link w:val="CommentSubjectChar"/>
    <w:uiPriority w:val="99"/>
    <w:semiHidden/>
    <w:unhideWhenUsed/>
    <w:rsid w:val="00FB1A09"/>
    <w:rPr>
      <w:b/>
      <w:bCs/>
    </w:rPr>
  </w:style>
  <w:style w:type="character" w:customStyle="1" w:styleId="CommentSubjectChar">
    <w:name w:val="Comment Subject Char"/>
    <w:basedOn w:val="CommentTextChar"/>
    <w:link w:val="CommentSubject"/>
    <w:uiPriority w:val="99"/>
    <w:semiHidden/>
    <w:rsid w:val="00FB1A09"/>
    <w:rPr>
      <w:b/>
      <w:bCs/>
      <w:sz w:val="20"/>
      <w:szCs w:val="20"/>
    </w:rPr>
  </w:style>
  <w:style w:type="paragraph" w:styleId="BalloonText">
    <w:name w:val="Balloon Text"/>
    <w:basedOn w:val="Normal"/>
    <w:link w:val="BalloonTextChar"/>
    <w:uiPriority w:val="99"/>
    <w:semiHidden/>
    <w:unhideWhenUsed/>
    <w:rsid w:val="00FB1A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A09"/>
    <w:rPr>
      <w:rFonts w:ascii="Segoe UI" w:hAnsi="Segoe UI" w:cs="Segoe UI"/>
      <w:sz w:val="18"/>
      <w:szCs w:val="18"/>
    </w:rPr>
  </w:style>
  <w:style w:type="paragraph" w:styleId="Bibliography">
    <w:name w:val="Bibliography"/>
    <w:basedOn w:val="Normal"/>
    <w:next w:val="Normal"/>
    <w:uiPriority w:val="37"/>
    <w:unhideWhenUsed/>
    <w:rsid w:val="00072EA1"/>
    <w:pPr>
      <w:spacing w:after="0" w:line="240" w:lineRule="auto"/>
      <w:ind w:left="720" w:hanging="720"/>
    </w:pPr>
  </w:style>
  <w:style w:type="paragraph" w:styleId="FootnoteText">
    <w:name w:val="footnote text"/>
    <w:basedOn w:val="Normal"/>
    <w:link w:val="FootnoteTextChar"/>
    <w:uiPriority w:val="99"/>
    <w:unhideWhenUsed/>
    <w:rsid w:val="00E072A9"/>
    <w:pPr>
      <w:spacing w:after="0" w:line="240" w:lineRule="auto"/>
    </w:pPr>
  </w:style>
  <w:style w:type="character" w:customStyle="1" w:styleId="FootnoteTextChar">
    <w:name w:val="Footnote Text Char"/>
    <w:basedOn w:val="DefaultParagraphFont"/>
    <w:link w:val="FootnoteText"/>
    <w:uiPriority w:val="99"/>
    <w:rsid w:val="00E072A9"/>
    <w:rPr>
      <w:sz w:val="20"/>
      <w:szCs w:val="20"/>
    </w:rPr>
  </w:style>
  <w:style w:type="character" w:styleId="FootnoteReference">
    <w:name w:val="footnote reference"/>
    <w:basedOn w:val="DefaultParagraphFont"/>
    <w:uiPriority w:val="99"/>
    <w:semiHidden/>
    <w:unhideWhenUsed/>
    <w:rsid w:val="00E072A9"/>
    <w:rPr>
      <w:vertAlign w:val="superscript"/>
    </w:rPr>
  </w:style>
  <w:style w:type="character" w:styleId="Hyperlink">
    <w:name w:val="Hyperlink"/>
    <w:basedOn w:val="DefaultParagraphFont"/>
    <w:uiPriority w:val="99"/>
    <w:unhideWhenUsed/>
    <w:rsid w:val="00C7678E"/>
    <w:rPr>
      <w:color w:val="0563C1" w:themeColor="hyperlink"/>
      <w:u w:val="single"/>
    </w:rPr>
  </w:style>
  <w:style w:type="character" w:customStyle="1" w:styleId="UnresolvedMention1">
    <w:name w:val="Unresolved Mention1"/>
    <w:basedOn w:val="DefaultParagraphFont"/>
    <w:uiPriority w:val="99"/>
    <w:semiHidden/>
    <w:unhideWhenUsed/>
    <w:rsid w:val="00C7678E"/>
    <w:rPr>
      <w:color w:val="605E5C"/>
      <w:shd w:val="clear" w:color="auto" w:fill="E1DFDD"/>
    </w:rPr>
  </w:style>
  <w:style w:type="table" w:styleId="TableGrid">
    <w:name w:val="Table Grid"/>
    <w:basedOn w:val="TableNormal"/>
    <w:uiPriority w:val="39"/>
    <w:rsid w:val="00F02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28B"/>
    <w:pPr>
      <w:spacing w:after="0" w:line="240" w:lineRule="auto"/>
    </w:pPr>
  </w:style>
  <w:style w:type="character" w:styleId="PlaceholderText">
    <w:name w:val="Placeholder Text"/>
    <w:basedOn w:val="DefaultParagraphFont"/>
    <w:uiPriority w:val="99"/>
    <w:semiHidden/>
    <w:rsid w:val="00E7028B"/>
    <w:rPr>
      <w:color w:val="666666"/>
    </w:rPr>
  </w:style>
  <w:style w:type="paragraph" w:styleId="NormalWeb">
    <w:name w:val="Normal (Web)"/>
    <w:basedOn w:val="Normal"/>
    <w:uiPriority w:val="99"/>
    <w:semiHidden/>
    <w:unhideWhenUsed/>
    <w:rsid w:val="00F54A98"/>
    <w:rPr>
      <w:rFonts w:ascii="Times New Roman" w:hAnsi="Times New Roman" w:cs="Times New Roman"/>
      <w:sz w:val="24"/>
      <w:szCs w:val="24"/>
    </w:rPr>
  </w:style>
  <w:style w:type="character" w:styleId="EndnoteReference">
    <w:name w:val="endnote reference"/>
    <w:basedOn w:val="DefaultParagraphFont"/>
    <w:uiPriority w:val="99"/>
    <w:semiHidden/>
    <w:unhideWhenUsed/>
    <w:rsid w:val="00AA3377"/>
    <w:rPr>
      <w:vertAlign w:val="superscript"/>
    </w:rPr>
  </w:style>
  <w:style w:type="paragraph" w:styleId="Caption">
    <w:name w:val="caption"/>
    <w:basedOn w:val="Normal"/>
    <w:next w:val="Normal"/>
    <w:uiPriority w:val="35"/>
    <w:unhideWhenUsed/>
    <w:qFormat/>
    <w:rsid w:val="00EA07A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97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573"/>
  </w:style>
  <w:style w:type="paragraph" w:styleId="Footer">
    <w:name w:val="footer"/>
    <w:basedOn w:val="Normal"/>
    <w:link w:val="FooterChar"/>
    <w:uiPriority w:val="99"/>
    <w:unhideWhenUsed/>
    <w:rsid w:val="00897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573"/>
  </w:style>
  <w:style w:type="character" w:styleId="FollowedHyperlink">
    <w:name w:val="FollowedHyperlink"/>
    <w:basedOn w:val="DefaultParagraphFont"/>
    <w:uiPriority w:val="99"/>
    <w:semiHidden/>
    <w:unhideWhenUsed/>
    <w:rsid w:val="007F6870"/>
    <w:rPr>
      <w:color w:val="954F72" w:themeColor="followedHyperlink"/>
      <w:u w:val="single"/>
    </w:rPr>
  </w:style>
  <w:style w:type="character" w:styleId="Strong">
    <w:name w:val="Strong"/>
    <w:basedOn w:val="DefaultParagraphFont"/>
    <w:uiPriority w:val="22"/>
    <w:qFormat/>
    <w:rsid w:val="00B30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21300">
      <w:bodyDiv w:val="1"/>
      <w:marLeft w:val="0"/>
      <w:marRight w:val="0"/>
      <w:marTop w:val="0"/>
      <w:marBottom w:val="0"/>
      <w:divBdr>
        <w:top w:val="none" w:sz="0" w:space="0" w:color="auto"/>
        <w:left w:val="none" w:sz="0" w:space="0" w:color="auto"/>
        <w:bottom w:val="none" w:sz="0" w:space="0" w:color="auto"/>
        <w:right w:val="none" w:sz="0" w:space="0" w:color="auto"/>
      </w:divBdr>
    </w:div>
    <w:div w:id="213737718">
      <w:bodyDiv w:val="1"/>
      <w:marLeft w:val="0"/>
      <w:marRight w:val="0"/>
      <w:marTop w:val="0"/>
      <w:marBottom w:val="0"/>
      <w:divBdr>
        <w:top w:val="none" w:sz="0" w:space="0" w:color="auto"/>
        <w:left w:val="none" w:sz="0" w:space="0" w:color="auto"/>
        <w:bottom w:val="none" w:sz="0" w:space="0" w:color="auto"/>
        <w:right w:val="none" w:sz="0" w:space="0" w:color="auto"/>
      </w:divBdr>
    </w:div>
    <w:div w:id="353729506">
      <w:bodyDiv w:val="1"/>
      <w:marLeft w:val="0"/>
      <w:marRight w:val="0"/>
      <w:marTop w:val="0"/>
      <w:marBottom w:val="0"/>
      <w:divBdr>
        <w:top w:val="none" w:sz="0" w:space="0" w:color="auto"/>
        <w:left w:val="none" w:sz="0" w:space="0" w:color="auto"/>
        <w:bottom w:val="none" w:sz="0" w:space="0" w:color="auto"/>
        <w:right w:val="none" w:sz="0" w:space="0" w:color="auto"/>
      </w:divBdr>
      <w:divsChild>
        <w:div w:id="1030569228">
          <w:marLeft w:val="0"/>
          <w:marRight w:val="0"/>
          <w:marTop w:val="0"/>
          <w:marBottom w:val="0"/>
          <w:divBdr>
            <w:top w:val="none" w:sz="0" w:space="0" w:color="auto"/>
            <w:left w:val="none" w:sz="0" w:space="0" w:color="auto"/>
            <w:bottom w:val="none" w:sz="0" w:space="0" w:color="auto"/>
            <w:right w:val="none" w:sz="0" w:space="0" w:color="auto"/>
          </w:divBdr>
        </w:div>
      </w:divsChild>
    </w:div>
    <w:div w:id="388379111">
      <w:bodyDiv w:val="1"/>
      <w:marLeft w:val="0"/>
      <w:marRight w:val="0"/>
      <w:marTop w:val="0"/>
      <w:marBottom w:val="0"/>
      <w:divBdr>
        <w:top w:val="none" w:sz="0" w:space="0" w:color="auto"/>
        <w:left w:val="none" w:sz="0" w:space="0" w:color="auto"/>
        <w:bottom w:val="none" w:sz="0" w:space="0" w:color="auto"/>
        <w:right w:val="none" w:sz="0" w:space="0" w:color="auto"/>
      </w:divBdr>
      <w:divsChild>
        <w:div w:id="381565416">
          <w:marLeft w:val="0"/>
          <w:marRight w:val="0"/>
          <w:marTop w:val="0"/>
          <w:marBottom w:val="0"/>
          <w:divBdr>
            <w:top w:val="none" w:sz="0" w:space="0" w:color="auto"/>
            <w:left w:val="none" w:sz="0" w:space="0" w:color="auto"/>
            <w:bottom w:val="none" w:sz="0" w:space="0" w:color="auto"/>
            <w:right w:val="none" w:sz="0" w:space="0" w:color="auto"/>
          </w:divBdr>
        </w:div>
      </w:divsChild>
    </w:div>
    <w:div w:id="443889963">
      <w:bodyDiv w:val="1"/>
      <w:marLeft w:val="0"/>
      <w:marRight w:val="0"/>
      <w:marTop w:val="0"/>
      <w:marBottom w:val="0"/>
      <w:divBdr>
        <w:top w:val="none" w:sz="0" w:space="0" w:color="auto"/>
        <w:left w:val="none" w:sz="0" w:space="0" w:color="auto"/>
        <w:bottom w:val="none" w:sz="0" w:space="0" w:color="auto"/>
        <w:right w:val="none" w:sz="0" w:space="0" w:color="auto"/>
      </w:divBdr>
      <w:divsChild>
        <w:div w:id="338971937">
          <w:marLeft w:val="0"/>
          <w:marRight w:val="0"/>
          <w:marTop w:val="0"/>
          <w:marBottom w:val="0"/>
          <w:divBdr>
            <w:top w:val="none" w:sz="0" w:space="0" w:color="auto"/>
            <w:left w:val="none" w:sz="0" w:space="0" w:color="auto"/>
            <w:bottom w:val="none" w:sz="0" w:space="0" w:color="auto"/>
            <w:right w:val="none" w:sz="0" w:space="0" w:color="auto"/>
          </w:divBdr>
        </w:div>
      </w:divsChild>
    </w:div>
    <w:div w:id="547110468">
      <w:bodyDiv w:val="1"/>
      <w:marLeft w:val="0"/>
      <w:marRight w:val="0"/>
      <w:marTop w:val="0"/>
      <w:marBottom w:val="0"/>
      <w:divBdr>
        <w:top w:val="none" w:sz="0" w:space="0" w:color="auto"/>
        <w:left w:val="none" w:sz="0" w:space="0" w:color="auto"/>
        <w:bottom w:val="none" w:sz="0" w:space="0" w:color="auto"/>
        <w:right w:val="none" w:sz="0" w:space="0" w:color="auto"/>
      </w:divBdr>
    </w:div>
    <w:div w:id="583614223">
      <w:bodyDiv w:val="1"/>
      <w:marLeft w:val="0"/>
      <w:marRight w:val="0"/>
      <w:marTop w:val="0"/>
      <w:marBottom w:val="0"/>
      <w:divBdr>
        <w:top w:val="none" w:sz="0" w:space="0" w:color="auto"/>
        <w:left w:val="none" w:sz="0" w:space="0" w:color="auto"/>
        <w:bottom w:val="none" w:sz="0" w:space="0" w:color="auto"/>
        <w:right w:val="none" w:sz="0" w:space="0" w:color="auto"/>
      </w:divBdr>
      <w:divsChild>
        <w:div w:id="1720933650">
          <w:marLeft w:val="0"/>
          <w:marRight w:val="0"/>
          <w:marTop w:val="0"/>
          <w:marBottom w:val="0"/>
          <w:divBdr>
            <w:top w:val="none" w:sz="0" w:space="0" w:color="auto"/>
            <w:left w:val="none" w:sz="0" w:space="0" w:color="auto"/>
            <w:bottom w:val="none" w:sz="0" w:space="0" w:color="auto"/>
            <w:right w:val="none" w:sz="0" w:space="0" w:color="auto"/>
          </w:divBdr>
        </w:div>
      </w:divsChild>
    </w:div>
    <w:div w:id="694621583">
      <w:bodyDiv w:val="1"/>
      <w:marLeft w:val="0"/>
      <w:marRight w:val="0"/>
      <w:marTop w:val="0"/>
      <w:marBottom w:val="0"/>
      <w:divBdr>
        <w:top w:val="none" w:sz="0" w:space="0" w:color="auto"/>
        <w:left w:val="none" w:sz="0" w:space="0" w:color="auto"/>
        <w:bottom w:val="none" w:sz="0" w:space="0" w:color="auto"/>
        <w:right w:val="none" w:sz="0" w:space="0" w:color="auto"/>
      </w:divBdr>
    </w:div>
    <w:div w:id="753282460">
      <w:bodyDiv w:val="1"/>
      <w:marLeft w:val="0"/>
      <w:marRight w:val="0"/>
      <w:marTop w:val="0"/>
      <w:marBottom w:val="0"/>
      <w:divBdr>
        <w:top w:val="none" w:sz="0" w:space="0" w:color="auto"/>
        <w:left w:val="none" w:sz="0" w:space="0" w:color="auto"/>
        <w:bottom w:val="none" w:sz="0" w:space="0" w:color="auto"/>
        <w:right w:val="none" w:sz="0" w:space="0" w:color="auto"/>
      </w:divBdr>
      <w:divsChild>
        <w:div w:id="879130303">
          <w:marLeft w:val="0"/>
          <w:marRight w:val="0"/>
          <w:marTop w:val="0"/>
          <w:marBottom w:val="0"/>
          <w:divBdr>
            <w:top w:val="none" w:sz="0" w:space="0" w:color="auto"/>
            <w:left w:val="none" w:sz="0" w:space="0" w:color="auto"/>
            <w:bottom w:val="none" w:sz="0" w:space="0" w:color="auto"/>
            <w:right w:val="none" w:sz="0" w:space="0" w:color="auto"/>
          </w:divBdr>
        </w:div>
      </w:divsChild>
    </w:div>
    <w:div w:id="794984273">
      <w:bodyDiv w:val="1"/>
      <w:marLeft w:val="0"/>
      <w:marRight w:val="0"/>
      <w:marTop w:val="0"/>
      <w:marBottom w:val="0"/>
      <w:divBdr>
        <w:top w:val="none" w:sz="0" w:space="0" w:color="auto"/>
        <w:left w:val="none" w:sz="0" w:space="0" w:color="auto"/>
        <w:bottom w:val="none" w:sz="0" w:space="0" w:color="auto"/>
        <w:right w:val="none" w:sz="0" w:space="0" w:color="auto"/>
      </w:divBdr>
    </w:div>
    <w:div w:id="836657444">
      <w:bodyDiv w:val="1"/>
      <w:marLeft w:val="0"/>
      <w:marRight w:val="0"/>
      <w:marTop w:val="0"/>
      <w:marBottom w:val="0"/>
      <w:divBdr>
        <w:top w:val="none" w:sz="0" w:space="0" w:color="auto"/>
        <w:left w:val="none" w:sz="0" w:space="0" w:color="auto"/>
        <w:bottom w:val="none" w:sz="0" w:space="0" w:color="auto"/>
        <w:right w:val="none" w:sz="0" w:space="0" w:color="auto"/>
      </w:divBdr>
    </w:div>
    <w:div w:id="918095151">
      <w:bodyDiv w:val="1"/>
      <w:marLeft w:val="0"/>
      <w:marRight w:val="0"/>
      <w:marTop w:val="0"/>
      <w:marBottom w:val="0"/>
      <w:divBdr>
        <w:top w:val="none" w:sz="0" w:space="0" w:color="auto"/>
        <w:left w:val="none" w:sz="0" w:space="0" w:color="auto"/>
        <w:bottom w:val="none" w:sz="0" w:space="0" w:color="auto"/>
        <w:right w:val="none" w:sz="0" w:space="0" w:color="auto"/>
      </w:divBdr>
      <w:divsChild>
        <w:div w:id="192424327">
          <w:marLeft w:val="0"/>
          <w:marRight w:val="0"/>
          <w:marTop w:val="0"/>
          <w:marBottom w:val="0"/>
          <w:divBdr>
            <w:top w:val="none" w:sz="0" w:space="0" w:color="auto"/>
            <w:left w:val="none" w:sz="0" w:space="0" w:color="auto"/>
            <w:bottom w:val="none" w:sz="0" w:space="0" w:color="auto"/>
            <w:right w:val="none" w:sz="0" w:space="0" w:color="auto"/>
          </w:divBdr>
        </w:div>
      </w:divsChild>
    </w:div>
    <w:div w:id="1012534944">
      <w:bodyDiv w:val="1"/>
      <w:marLeft w:val="0"/>
      <w:marRight w:val="0"/>
      <w:marTop w:val="0"/>
      <w:marBottom w:val="0"/>
      <w:divBdr>
        <w:top w:val="none" w:sz="0" w:space="0" w:color="auto"/>
        <w:left w:val="none" w:sz="0" w:space="0" w:color="auto"/>
        <w:bottom w:val="none" w:sz="0" w:space="0" w:color="auto"/>
        <w:right w:val="none" w:sz="0" w:space="0" w:color="auto"/>
      </w:divBdr>
      <w:divsChild>
        <w:div w:id="937980257">
          <w:marLeft w:val="0"/>
          <w:marRight w:val="0"/>
          <w:marTop w:val="0"/>
          <w:marBottom w:val="0"/>
          <w:divBdr>
            <w:top w:val="none" w:sz="0" w:space="0" w:color="auto"/>
            <w:left w:val="none" w:sz="0" w:space="0" w:color="auto"/>
            <w:bottom w:val="none" w:sz="0" w:space="0" w:color="auto"/>
            <w:right w:val="none" w:sz="0" w:space="0" w:color="auto"/>
          </w:divBdr>
        </w:div>
      </w:divsChild>
    </w:div>
    <w:div w:id="1088886423">
      <w:bodyDiv w:val="1"/>
      <w:marLeft w:val="0"/>
      <w:marRight w:val="0"/>
      <w:marTop w:val="0"/>
      <w:marBottom w:val="0"/>
      <w:divBdr>
        <w:top w:val="none" w:sz="0" w:space="0" w:color="auto"/>
        <w:left w:val="none" w:sz="0" w:space="0" w:color="auto"/>
        <w:bottom w:val="none" w:sz="0" w:space="0" w:color="auto"/>
        <w:right w:val="none" w:sz="0" w:space="0" w:color="auto"/>
      </w:divBdr>
    </w:div>
    <w:div w:id="1129128841">
      <w:bodyDiv w:val="1"/>
      <w:marLeft w:val="0"/>
      <w:marRight w:val="0"/>
      <w:marTop w:val="0"/>
      <w:marBottom w:val="0"/>
      <w:divBdr>
        <w:top w:val="none" w:sz="0" w:space="0" w:color="auto"/>
        <w:left w:val="none" w:sz="0" w:space="0" w:color="auto"/>
        <w:bottom w:val="none" w:sz="0" w:space="0" w:color="auto"/>
        <w:right w:val="none" w:sz="0" w:space="0" w:color="auto"/>
      </w:divBdr>
    </w:div>
    <w:div w:id="1210338435">
      <w:bodyDiv w:val="1"/>
      <w:marLeft w:val="0"/>
      <w:marRight w:val="0"/>
      <w:marTop w:val="0"/>
      <w:marBottom w:val="0"/>
      <w:divBdr>
        <w:top w:val="none" w:sz="0" w:space="0" w:color="auto"/>
        <w:left w:val="none" w:sz="0" w:space="0" w:color="auto"/>
        <w:bottom w:val="none" w:sz="0" w:space="0" w:color="auto"/>
        <w:right w:val="none" w:sz="0" w:space="0" w:color="auto"/>
      </w:divBdr>
      <w:divsChild>
        <w:div w:id="1957787208">
          <w:marLeft w:val="0"/>
          <w:marRight w:val="0"/>
          <w:marTop w:val="0"/>
          <w:marBottom w:val="0"/>
          <w:divBdr>
            <w:top w:val="none" w:sz="0" w:space="0" w:color="auto"/>
            <w:left w:val="none" w:sz="0" w:space="0" w:color="auto"/>
            <w:bottom w:val="none" w:sz="0" w:space="0" w:color="auto"/>
            <w:right w:val="none" w:sz="0" w:space="0" w:color="auto"/>
          </w:divBdr>
        </w:div>
      </w:divsChild>
    </w:div>
    <w:div w:id="1234968803">
      <w:bodyDiv w:val="1"/>
      <w:marLeft w:val="0"/>
      <w:marRight w:val="0"/>
      <w:marTop w:val="0"/>
      <w:marBottom w:val="0"/>
      <w:divBdr>
        <w:top w:val="none" w:sz="0" w:space="0" w:color="auto"/>
        <w:left w:val="none" w:sz="0" w:space="0" w:color="auto"/>
        <w:bottom w:val="none" w:sz="0" w:space="0" w:color="auto"/>
        <w:right w:val="none" w:sz="0" w:space="0" w:color="auto"/>
      </w:divBdr>
    </w:div>
    <w:div w:id="1328895957">
      <w:bodyDiv w:val="1"/>
      <w:marLeft w:val="0"/>
      <w:marRight w:val="0"/>
      <w:marTop w:val="0"/>
      <w:marBottom w:val="0"/>
      <w:divBdr>
        <w:top w:val="none" w:sz="0" w:space="0" w:color="auto"/>
        <w:left w:val="none" w:sz="0" w:space="0" w:color="auto"/>
        <w:bottom w:val="none" w:sz="0" w:space="0" w:color="auto"/>
        <w:right w:val="none" w:sz="0" w:space="0" w:color="auto"/>
      </w:divBdr>
    </w:div>
    <w:div w:id="1352954765">
      <w:bodyDiv w:val="1"/>
      <w:marLeft w:val="0"/>
      <w:marRight w:val="0"/>
      <w:marTop w:val="0"/>
      <w:marBottom w:val="0"/>
      <w:divBdr>
        <w:top w:val="none" w:sz="0" w:space="0" w:color="auto"/>
        <w:left w:val="none" w:sz="0" w:space="0" w:color="auto"/>
        <w:bottom w:val="none" w:sz="0" w:space="0" w:color="auto"/>
        <w:right w:val="none" w:sz="0" w:space="0" w:color="auto"/>
      </w:divBdr>
    </w:div>
    <w:div w:id="1418135154">
      <w:bodyDiv w:val="1"/>
      <w:marLeft w:val="0"/>
      <w:marRight w:val="0"/>
      <w:marTop w:val="0"/>
      <w:marBottom w:val="0"/>
      <w:divBdr>
        <w:top w:val="none" w:sz="0" w:space="0" w:color="auto"/>
        <w:left w:val="none" w:sz="0" w:space="0" w:color="auto"/>
        <w:bottom w:val="none" w:sz="0" w:space="0" w:color="auto"/>
        <w:right w:val="none" w:sz="0" w:space="0" w:color="auto"/>
      </w:divBdr>
      <w:divsChild>
        <w:div w:id="997534602">
          <w:marLeft w:val="0"/>
          <w:marRight w:val="0"/>
          <w:marTop w:val="0"/>
          <w:marBottom w:val="0"/>
          <w:divBdr>
            <w:top w:val="none" w:sz="0" w:space="0" w:color="auto"/>
            <w:left w:val="none" w:sz="0" w:space="0" w:color="auto"/>
            <w:bottom w:val="none" w:sz="0" w:space="0" w:color="auto"/>
            <w:right w:val="none" w:sz="0" w:space="0" w:color="auto"/>
          </w:divBdr>
        </w:div>
      </w:divsChild>
    </w:div>
    <w:div w:id="1542984052">
      <w:bodyDiv w:val="1"/>
      <w:marLeft w:val="0"/>
      <w:marRight w:val="0"/>
      <w:marTop w:val="0"/>
      <w:marBottom w:val="0"/>
      <w:divBdr>
        <w:top w:val="none" w:sz="0" w:space="0" w:color="auto"/>
        <w:left w:val="none" w:sz="0" w:space="0" w:color="auto"/>
        <w:bottom w:val="none" w:sz="0" w:space="0" w:color="auto"/>
        <w:right w:val="none" w:sz="0" w:space="0" w:color="auto"/>
      </w:divBdr>
      <w:divsChild>
        <w:div w:id="1934776599">
          <w:marLeft w:val="0"/>
          <w:marRight w:val="0"/>
          <w:marTop w:val="0"/>
          <w:marBottom w:val="0"/>
          <w:divBdr>
            <w:top w:val="none" w:sz="0" w:space="0" w:color="auto"/>
            <w:left w:val="none" w:sz="0" w:space="0" w:color="auto"/>
            <w:bottom w:val="none" w:sz="0" w:space="0" w:color="auto"/>
            <w:right w:val="none" w:sz="0" w:space="0" w:color="auto"/>
          </w:divBdr>
        </w:div>
      </w:divsChild>
    </w:div>
    <w:div w:id="1643345982">
      <w:bodyDiv w:val="1"/>
      <w:marLeft w:val="0"/>
      <w:marRight w:val="0"/>
      <w:marTop w:val="0"/>
      <w:marBottom w:val="0"/>
      <w:divBdr>
        <w:top w:val="none" w:sz="0" w:space="0" w:color="auto"/>
        <w:left w:val="none" w:sz="0" w:space="0" w:color="auto"/>
        <w:bottom w:val="none" w:sz="0" w:space="0" w:color="auto"/>
        <w:right w:val="none" w:sz="0" w:space="0" w:color="auto"/>
      </w:divBdr>
    </w:div>
    <w:div w:id="1808355570">
      <w:bodyDiv w:val="1"/>
      <w:marLeft w:val="0"/>
      <w:marRight w:val="0"/>
      <w:marTop w:val="0"/>
      <w:marBottom w:val="0"/>
      <w:divBdr>
        <w:top w:val="none" w:sz="0" w:space="0" w:color="auto"/>
        <w:left w:val="none" w:sz="0" w:space="0" w:color="auto"/>
        <w:bottom w:val="none" w:sz="0" w:space="0" w:color="auto"/>
        <w:right w:val="none" w:sz="0" w:space="0" w:color="auto"/>
      </w:divBdr>
      <w:divsChild>
        <w:div w:id="208079986">
          <w:marLeft w:val="0"/>
          <w:marRight w:val="0"/>
          <w:marTop w:val="0"/>
          <w:marBottom w:val="0"/>
          <w:divBdr>
            <w:top w:val="none" w:sz="0" w:space="0" w:color="auto"/>
            <w:left w:val="none" w:sz="0" w:space="0" w:color="auto"/>
            <w:bottom w:val="none" w:sz="0" w:space="0" w:color="auto"/>
            <w:right w:val="none" w:sz="0" w:space="0" w:color="auto"/>
          </w:divBdr>
        </w:div>
      </w:divsChild>
    </w:div>
    <w:div w:id="1890801309">
      <w:bodyDiv w:val="1"/>
      <w:marLeft w:val="0"/>
      <w:marRight w:val="0"/>
      <w:marTop w:val="0"/>
      <w:marBottom w:val="0"/>
      <w:divBdr>
        <w:top w:val="none" w:sz="0" w:space="0" w:color="auto"/>
        <w:left w:val="none" w:sz="0" w:space="0" w:color="auto"/>
        <w:bottom w:val="none" w:sz="0" w:space="0" w:color="auto"/>
        <w:right w:val="none" w:sz="0" w:space="0" w:color="auto"/>
      </w:divBdr>
      <w:divsChild>
        <w:div w:id="858470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32405F-8512-4D61-A1B9-90E244A07BA0}">
  <we:reference id="wa104382081" version="1.55.1.0" store="zh-CN" storeType="OMEX"/>
  <we:alternateReferences>
    <we:reference id="wa104382081" version="1.55.1.0" store="zh-CN" storeType="OMEX"/>
  </we:alternateReferences>
  <we:properties>
    <we:property name="MENDELEY_CITATIONS" value="[{&quot;citationID&quot;:&quot;MENDELEY_CITATION_5fed6c11-1db4-4c62-8608-b3a5e7f42df7&quot;,&quot;properties&quot;:{&quot;noteIndex&quot;:0},&quot;isEdited&quot;:false,&quot;manualOverride&quot;:{&quot;isManuallyOverridden&quot;:true,&quot;citeprocText&quot;:&quot;(Arto et al., 2014)&quot;,&quot;manualOverrideText&quot;:&quot;&quot;},&quot;citationTag&quot;:&quot;MENDELEY_CITATION_v3_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&quot;,&quot;citationItems&quot;:[{&quot;id&quot;:&quot;d972729a-2c02-36a6-9b8c-ebe9d0615f91&quot;,&quot;itemData&quot;:{&quot;type&quot;:&quot;article-journal&quot;,&quot;id&quot;:&quot;d972729a-2c02-36a6-9b8c-ebe9d0615f91&quot;,&quot;title&quot;:&quot;Measuring emissions avoided by international trade: Accounting for price differences&quot;,&quot;author&quot;:[{&quot;family&quot;:&quot;Arto&quot;,&quot;given&quot;:&quot;Iñaki&quot;,&quot;parse-names&quot;:false,&quot;dropping-particle&quot;:&quot;&quot;,&quot;non-dropping-particle&quot;:&quot;&quot;},{&quot;family&quot;:&quot;Roca&quot;,&quot;given&quot;:&quot;Jordi&quot;,&quot;parse-names&quot;:false,&quot;dropping-particle&quot;:&quot;&quot;,&quot;non-dropping-particle&quot;:&quot;&quot;},{&quot;family&quot;:&quot;Serrano&quot;,&quot;given&quot;:&quot;Mònica&quot;,&quot;parse-names&quot;:false,&quot;dropping-particle&quot;:&quot;&quot;,&quot;non-dropping-particle&quot;:&quot;&quot;}],&quot;title-short&quot;:&quot;Measuring emissions avoided by international trade&quot;,&quot;container-title&quot;:&quot;Ecological Economics&quot;,&quot;DOI&quot;:&quot;10.1016/j.ecolecon.2013.11.005&quot;,&quot;ISBN&quot;:&quot;0921-8009&quot;,&quot;URL&quot;:&quot;http://www.sciencedirect.com/science/article/pii/S0921800913003340&quot;,&quot;issued&quot;:{&quot;date-parts&quot;:[[2014]]},&quot;page&quot;:&quot;93-100&quot;,&quot;abstract&quot;:&quot;Net Emissions Avoided by trade (NEA) are the difference between the pollution that would have been produced in a country if it had not exported any products and all the imports required to satisfy its domestic demand had been produced internally, and its actual emissions. The Domestic Technology Assumption (DTA) applied to an Input–Output model is the appropriate method to estimate the NEA. The usual implementation of the DTA involves that the country analyzed should produce a quantity of products equivalent to the monetary value of the imports required to satisfy its final demand (i.e. ‘monetary DTA’). However, due to price differences, the same physical quantity of goods in different countries could have a different monetary value and the estimation of the NEA would be biased. We show that a ‘physical DTA’, focused on the pollution to produce domestically the imports measured in physical units, would be a better approach. We have applied both methodologies to analyze greenhouse gas emissions in Spain 1995–2007. Both methodologies show that Spain is avoiding emissions through trade. However, the NEA increases up to three times when applying the ‘physical DTA’, showing that results from the ‘monetary DTA’ are biased by price differences.&quot;,&quot;volume&quot;:&quot;97&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7A86-6616-4E9A-986D-7AE29B74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2714</TotalTime>
  <Pages>2</Pages>
  <Words>299</Words>
  <Characters>1705</Characters>
  <Application>Microsoft Office Word</Application>
  <DocSecurity>0</DocSecurity>
  <Lines>14</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BC3</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Usubiaga, Arkaitz</dc:creator>
  <cp:keywords/>
  <dc:description/>
  <cp:lastModifiedBy>Arkaitz Usubiaga</cp:lastModifiedBy>
  <cp:revision>17</cp:revision>
  <dcterms:created xsi:type="dcterms:W3CDTF">2026-03-22T20:36:00Z</dcterms:created>
  <dcterms:modified xsi:type="dcterms:W3CDTF">2026-06-19T09:24:00Z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id="o1dfSfoU"/&gt;&lt;style id="http://www.zotero.org/styles/apa-single-spaced" locale="en-GB" hasBibliography="1" bibliographyStyleHasBeenSet="1"/&gt;&lt;prefs&gt;&lt;pref name="fieldType" value="Field"/&gt;&lt;/prefs&gt;&lt;/da</vt:lpwstr>
  </property>
  <property fmtid="{D5CDD505-2E9C-101B-9397-08002B2CF9AE}" pid="3" name="ZOTERO_PREF_2">
    <vt:lpwstr>ta&gt;</vt:lpwstr>
  </property>
  <property fmtid="{D5CDD505-2E9C-101B-9397-08002B2CF9AE}" pid="4" name="Mendeley Recent Style Id 0_1">
    <vt:lpwstr>http://www.zotero.org/styles/advances-in-water-resources</vt:lpwstr>
  </property>
  <property fmtid="{D5CDD505-2E9C-101B-9397-08002B2CF9AE}" pid="5" name="Mendeley Recent Style Name 0_1">
    <vt:lpwstr>Advances in Water Resources</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http://www.zotero.org/styles/ecological-economics</vt:lpwstr>
  </property>
  <property fmtid="{D5CDD505-2E9C-101B-9397-08002B2CF9AE}" pid="9" name="Mendeley Recent Style Name 2_1">
    <vt:lpwstr>Ecological Economics</vt:lpwstr>
  </property>
  <property fmtid="{D5CDD505-2E9C-101B-9397-08002B2CF9AE}" pid="10" name="Mendeley Recent Style Id 3_1">
    <vt:lpwstr>http://www.zotero.org/styles/economic-modelling</vt:lpwstr>
  </property>
  <property fmtid="{D5CDD505-2E9C-101B-9397-08002B2CF9AE}" pid="11" name="Mendeley Recent Style Name 3_1">
    <vt:lpwstr>Economic Modelling</vt:lpwstr>
  </property>
  <property fmtid="{D5CDD505-2E9C-101B-9397-08002B2CF9AE}" pid="12" name="Mendeley Recent Style Id 4_1">
    <vt:lpwstr>http://www.zotero.org/styles/energy-economics</vt:lpwstr>
  </property>
  <property fmtid="{D5CDD505-2E9C-101B-9397-08002B2CF9AE}" pid="13" name="Mendeley Recent Style Name 4_1">
    <vt:lpwstr>Energy Economics</vt:lpwstr>
  </property>
  <property fmtid="{D5CDD505-2E9C-101B-9397-08002B2CF9AE}" pid="14" name="Mendeley Recent Style Id 5_1">
    <vt:lpwstr>http://www.zotero.org/styles/energy-policy</vt:lpwstr>
  </property>
  <property fmtid="{D5CDD505-2E9C-101B-9397-08002B2CF9AE}" pid="15" name="Mendeley Recent Style Name 5_1">
    <vt:lpwstr>Energy Policy</vt:lpwstr>
  </property>
  <property fmtid="{D5CDD505-2E9C-101B-9397-08002B2CF9AE}" pid="16" name="Mendeley Recent Style Id 6_1">
    <vt:lpwstr>http://www.zotero.org/styles/environmental-impact-assessment-review</vt:lpwstr>
  </property>
  <property fmtid="{D5CDD505-2E9C-101B-9397-08002B2CF9AE}" pid="17" name="Mendeley Recent Style Name 6_1">
    <vt:lpwstr>Environmental Impact Assessment Review</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http://www.zotero.org/styles/nature-climate-change</vt:lpwstr>
  </property>
  <property fmtid="{D5CDD505-2E9C-101B-9397-08002B2CF9AE}" pid="21" name="Mendeley Recent Style Name 8_1">
    <vt:lpwstr>Nature Climate Change</vt:lpwstr>
  </property>
  <property fmtid="{D5CDD505-2E9C-101B-9397-08002B2CF9AE}" pid="22" name="Mendeley Recent Style Id 9_1">
    <vt:lpwstr>http://www.zotero.org/styles/sustainability-science</vt:lpwstr>
  </property>
  <property fmtid="{D5CDD505-2E9C-101B-9397-08002B2CF9AE}" pid="23" name="Mendeley Recent Style Name 9_1">
    <vt:lpwstr>Sustainability Science</vt:lpwstr>
  </property>
  <property fmtid="{D5CDD505-2E9C-101B-9397-08002B2CF9AE}" pid="24" name="MSIP_Label_6bd9ddd1-4d20-43f6-abfa-fc3c07406f94_Enabled">
    <vt:lpwstr>true</vt:lpwstr>
  </property>
  <property fmtid="{D5CDD505-2E9C-101B-9397-08002B2CF9AE}" pid="25" name="MSIP_Label_6bd9ddd1-4d20-43f6-abfa-fc3c07406f94_SetDate">
    <vt:lpwstr>2026-03-30T11:11:30Z</vt:lpwstr>
  </property>
  <property fmtid="{D5CDD505-2E9C-101B-9397-08002B2CF9AE}" pid="26" name="MSIP_Label_6bd9ddd1-4d20-43f6-abfa-fc3c07406f94_Method">
    <vt:lpwstr>Standard</vt:lpwstr>
  </property>
  <property fmtid="{D5CDD505-2E9C-101B-9397-08002B2CF9AE}" pid="27" name="MSIP_Label_6bd9ddd1-4d20-43f6-abfa-fc3c07406f94_Name">
    <vt:lpwstr>Commission Use</vt:lpwstr>
  </property>
  <property fmtid="{D5CDD505-2E9C-101B-9397-08002B2CF9AE}" pid="28" name="MSIP_Label_6bd9ddd1-4d20-43f6-abfa-fc3c07406f94_SiteId">
    <vt:lpwstr>b24c8b06-522c-46fe-9080-70926f8dddb1</vt:lpwstr>
  </property>
  <property fmtid="{D5CDD505-2E9C-101B-9397-08002B2CF9AE}" pid="29" name="MSIP_Label_6bd9ddd1-4d20-43f6-abfa-fc3c07406f94_ActionId">
    <vt:lpwstr>a9ca273b-a0e7-486f-9795-2f59e5cb236d</vt:lpwstr>
  </property>
  <property fmtid="{D5CDD505-2E9C-101B-9397-08002B2CF9AE}" pid="30" name="MSIP_Label_6bd9ddd1-4d20-43f6-abfa-fc3c07406f94_ContentBits">
    <vt:lpwstr>0</vt:lpwstr>
  </property>
  <property fmtid="{D5CDD505-2E9C-101B-9397-08002B2CF9AE}" pid="31" name="MSIP_Label_6bd9ddd1-4d20-43f6-abfa-fc3c07406f94_Tag">
    <vt:lpwstr>10, 3, 0, 1</vt:lpwstr>
  </property>
</Properties>
</file>