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2DD0A" w14:textId="77777777" w:rsidR="00CF2C51" w:rsidRDefault="00CF2C51" w:rsidP="00CF2C51">
      <w:pPr>
        <w:pStyle w:val="Heading1"/>
      </w:pPr>
      <w:r>
        <w:t>Supplementary Information (display items moved out of the main text to satisfy the ≤8 display-item cap)</w:t>
      </w:r>
    </w:p>
    <w:p w14:paraId="43A6C563" w14:textId="77777777" w:rsidR="00CF2C51" w:rsidRDefault="00CF2C51" w:rsidP="00CF2C51">
      <w:r>
        <w:t>The main text retains eight display items (Fig. 1–3 and Tables 1–4 and 6). Moved here to keep the main-text count at eight: the total-relation matrix (Supplementary Table S2, formerly Table 5), the Monte-Carlo perturbation-robustness table (Supplementary Table S3, formerly Table 7), the per-era bibliometric co-occurrence maps (Supplementary Fig. S1), and the threshold-sensitivity table (Supplementary Table S1).</w:t>
      </w:r>
    </w:p>
    <w:p w14:paraId="6FEF516F" w14:textId="77777777" w:rsidR="00CF2C51" w:rsidRDefault="00CF2C51" w:rsidP="00CF2C51">
      <w:r>
        <w:rPr>
          <w:b/>
        </w:rPr>
        <w:t>Supplementary Fig. S1.</w:t>
      </w:r>
      <w:r>
        <w:t xml:space="preserve"> Additional per-era bibliometric co-occurrence maps and word trees (full-resolution, single-era panels supporting Fig. 2).</w:t>
      </w:r>
    </w:p>
    <w:p w14:paraId="4B1413CC" w14:textId="77777777" w:rsidR="00CF2C51" w:rsidRDefault="00CF2C51" w:rsidP="00CF2C51">
      <w:r>
        <w:rPr>
          <w:b/>
        </w:rPr>
        <w:t>Supplementary Table S1.</w:t>
      </w:r>
      <w:r>
        <w:t xml:space="preserve"> Sensitivity analysis of the network threshold.</w:t>
      </w:r>
    </w:p>
    <w:tbl>
      <w:tblPr>
        <w:tblStyle w:val="LightGrid-Accent1"/>
        <w:tblW w:w="0" w:type="auto"/>
        <w:jc w:val="center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8"/>
      </w:tblGrid>
      <w:tr w:rsidR="00CF2C51" w14:paraId="0DDC5EA8" w14:textId="77777777" w:rsidTr="000327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C485858" w14:textId="77777777" w:rsidR="00CF2C51" w:rsidRDefault="00CF2C51" w:rsidP="0003275E">
            <w:r>
              <w:rPr>
                <w:sz w:val="20"/>
              </w:rPr>
              <w:t>Threshold condition</w:t>
            </w:r>
          </w:p>
        </w:tc>
        <w:tc>
          <w:tcPr>
            <w:tcW w:w="2160" w:type="dxa"/>
          </w:tcPr>
          <w:p w14:paraId="5E71FCA3" w14:textId="77777777" w:rsidR="00CF2C51" w:rsidRDefault="00CF2C51" w:rsidP="000327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Threshold</w:t>
            </w:r>
          </w:p>
        </w:tc>
        <w:tc>
          <w:tcPr>
            <w:tcW w:w="2160" w:type="dxa"/>
          </w:tcPr>
          <w:p w14:paraId="55F5DCCB" w14:textId="77777777" w:rsidR="00CF2C51" w:rsidRDefault="00CF2C51" w:rsidP="000327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Significant directed links</w:t>
            </w:r>
          </w:p>
        </w:tc>
        <w:tc>
          <w:tcPr>
            <w:tcW w:w="2160" w:type="dxa"/>
          </w:tcPr>
          <w:p w14:paraId="542440F2" w14:textId="77777777" w:rsidR="00CF2C51" w:rsidRDefault="00CF2C51" w:rsidP="000327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Interpretation</w:t>
            </w:r>
          </w:p>
        </w:tc>
      </w:tr>
      <w:tr w:rsidR="00CF2C51" w14:paraId="26319F8F" w14:textId="77777777" w:rsidTr="000327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A28053B" w14:textId="77777777" w:rsidR="00CF2C51" w:rsidRDefault="00CF2C51" w:rsidP="0003275E">
            <w:r>
              <w:rPr>
                <w:sz w:val="20"/>
              </w:rPr>
              <w:t>Low sensitivity (−10%)</w:t>
            </w:r>
          </w:p>
        </w:tc>
        <w:tc>
          <w:tcPr>
            <w:tcW w:w="2160" w:type="dxa"/>
          </w:tcPr>
          <w:p w14:paraId="4C5D9D19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0.474</w:t>
            </w:r>
          </w:p>
        </w:tc>
        <w:tc>
          <w:tcPr>
            <w:tcW w:w="2160" w:type="dxa"/>
          </w:tcPr>
          <w:p w14:paraId="3E609ACE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12 links; baseline links plus E1→E5 and E4→E3</w:t>
            </w:r>
          </w:p>
        </w:tc>
        <w:tc>
          <w:tcPr>
            <w:tcW w:w="2160" w:type="dxa"/>
          </w:tcPr>
          <w:p w14:paraId="1B1F98B2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Adds two weak/marginal relations without changing cause–effect grouping.</w:t>
            </w:r>
          </w:p>
        </w:tc>
      </w:tr>
      <w:tr w:rsidR="00CF2C51" w14:paraId="31041E12" w14:textId="77777777" w:rsidTr="000327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8C301F2" w14:textId="77777777" w:rsidR="00CF2C51" w:rsidRDefault="00CF2C51" w:rsidP="0003275E">
            <w:r>
              <w:rPr>
                <w:sz w:val="20"/>
              </w:rPr>
              <w:t>Baseline (mean of T)</w:t>
            </w:r>
          </w:p>
        </w:tc>
        <w:tc>
          <w:tcPr>
            <w:tcW w:w="2160" w:type="dxa"/>
          </w:tcPr>
          <w:p w14:paraId="4C2E8851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0.527</w:t>
            </w:r>
          </w:p>
        </w:tc>
        <w:tc>
          <w:tcPr>
            <w:tcW w:w="2160" w:type="dxa"/>
          </w:tcPr>
          <w:p w14:paraId="30305861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10 links</w:t>
            </w:r>
          </w:p>
        </w:tc>
        <w:tc>
          <w:tcPr>
            <w:tcW w:w="2160" w:type="dxa"/>
          </w:tcPr>
          <w:p w14:paraId="49BB499E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Retains the main causal network used in the NRM.</w:t>
            </w:r>
          </w:p>
        </w:tc>
      </w:tr>
      <w:tr w:rsidR="00CF2C51" w14:paraId="54A04949" w14:textId="77777777" w:rsidTr="000327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602730E" w14:textId="77777777" w:rsidR="00CF2C51" w:rsidRDefault="00CF2C51" w:rsidP="0003275E">
            <w:r>
              <w:rPr>
                <w:sz w:val="20"/>
              </w:rPr>
              <w:t>High sensitivity (+10%)</w:t>
            </w:r>
          </w:p>
        </w:tc>
        <w:tc>
          <w:tcPr>
            <w:tcW w:w="2160" w:type="dxa"/>
          </w:tcPr>
          <w:p w14:paraId="2704A3BF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0.580</w:t>
            </w:r>
          </w:p>
        </w:tc>
        <w:tc>
          <w:tcPr>
            <w:tcW w:w="2160" w:type="dxa"/>
          </w:tcPr>
          <w:p w14:paraId="780AB10C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9 links; E2→E5 removed</w:t>
            </w:r>
          </w:p>
        </w:tc>
        <w:tc>
          <w:tcPr>
            <w:tcW w:w="2160" w:type="dxa"/>
          </w:tcPr>
          <w:p w14:paraId="4D371152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Dominant leadership/structure causal skeleton remains stable.</w:t>
            </w:r>
          </w:p>
        </w:tc>
      </w:tr>
      <w:tr w:rsidR="00CF2C51" w14:paraId="6845394C" w14:textId="77777777" w:rsidTr="000327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4284ED6" w14:textId="77777777" w:rsidR="00CF2C51" w:rsidRDefault="00CF2C51" w:rsidP="0003275E">
            <w:r>
              <w:rPr>
                <w:sz w:val="20"/>
              </w:rPr>
              <w:t>Stable core across all thresholds</w:t>
            </w:r>
          </w:p>
        </w:tc>
        <w:tc>
          <w:tcPr>
            <w:tcW w:w="2160" w:type="dxa"/>
          </w:tcPr>
          <w:p w14:paraId="39652F00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0.474–0.580</w:t>
            </w:r>
          </w:p>
        </w:tc>
        <w:tc>
          <w:tcPr>
            <w:tcW w:w="2160" w:type="dxa"/>
          </w:tcPr>
          <w:p w14:paraId="79C8E2DF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E1→E3; E1→E4; E2→E1; E2→E3; E2→E4; E5→E1; E5→E2; E5→E3; E5→E4</w:t>
            </w:r>
          </w:p>
        </w:tc>
        <w:tc>
          <w:tcPr>
            <w:tcW w:w="2160" w:type="dxa"/>
          </w:tcPr>
          <w:p w14:paraId="2AB476FB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E5 remains the strongest trigger and E2 the secondary structural driver; E2→E5 is baseline-only and NOT in the stable core.</w:t>
            </w:r>
          </w:p>
        </w:tc>
      </w:tr>
    </w:tbl>
    <w:p w14:paraId="42B408B4" w14:textId="77777777" w:rsidR="00CF2C51" w:rsidRDefault="00CF2C51" w:rsidP="00CF2C51"/>
    <w:p w14:paraId="0FBEB10B" w14:textId="77777777" w:rsidR="00CF2C51" w:rsidRDefault="00CF2C51" w:rsidP="00CF2C51">
      <w:r>
        <w:rPr>
          <w:b/>
        </w:rPr>
        <w:lastRenderedPageBreak/>
        <w:t>Supplementary Table S2.</w:t>
      </w:r>
      <w:r>
        <w:t xml:space="preserve"> Total-relation matrix </w:t>
      </w:r>
      <w:r>
        <w:rPr>
          <w:b/>
        </w:rPr>
        <w:t>T</w:t>
      </w:r>
      <w:r>
        <w:t xml:space="preserve"> (k = 13.40). (Relocated from the main text to satisfy the ≤8 display-item cap.)</w:t>
      </w:r>
    </w:p>
    <w:tbl>
      <w:tblPr>
        <w:tblStyle w:val="LightGrid-Accent1"/>
        <w:tblW w:w="0" w:type="auto"/>
        <w:jc w:val="center"/>
        <w:tblLook w:val="04A0" w:firstRow="1" w:lastRow="0" w:firstColumn="1" w:lastColumn="0" w:noHBand="0" w:noVBand="1"/>
      </w:tblPr>
      <w:tblGrid>
        <w:gridCol w:w="1435"/>
        <w:gridCol w:w="1437"/>
        <w:gridCol w:w="1437"/>
        <w:gridCol w:w="1437"/>
        <w:gridCol w:w="1437"/>
        <w:gridCol w:w="1437"/>
      </w:tblGrid>
      <w:tr w:rsidR="00CF2C51" w14:paraId="1ECF4A99" w14:textId="77777777" w:rsidTr="000327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19AA9B2" w14:textId="77777777" w:rsidR="00CF2C51" w:rsidRDefault="00CF2C51" w:rsidP="0003275E"/>
        </w:tc>
        <w:tc>
          <w:tcPr>
            <w:tcW w:w="1440" w:type="dxa"/>
          </w:tcPr>
          <w:p w14:paraId="456CDC11" w14:textId="77777777" w:rsidR="00CF2C51" w:rsidRDefault="00CF2C51" w:rsidP="000327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E1</w:t>
            </w:r>
          </w:p>
        </w:tc>
        <w:tc>
          <w:tcPr>
            <w:tcW w:w="1440" w:type="dxa"/>
          </w:tcPr>
          <w:p w14:paraId="7C43602C" w14:textId="77777777" w:rsidR="00CF2C51" w:rsidRDefault="00CF2C51" w:rsidP="000327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E2</w:t>
            </w:r>
          </w:p>
        </w:tc>
        <w:tc>
          <w:tcPr>
            <w:tcW w:w="1440" w:type="dxa"/>
          </w:tcPr>
          <w:p w14:paraId="3FCD7CAF" w14:textId="77777777" w:rsidR="00CF2C51" w:rsidRDefault="00CF2C51" w:rsidP="000327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E3</w:t>
            </w:r>
          </w:p>
        </w:tc>
        <w:tc>
          <w:tcPr>
            <w:tcW w:w="1440" w:type="dxa"/>
          </w:tcPr>
          <w:p w14:paraId="4935136D" w14:textId="77777777" w:rsidR="00CF2C51" w:rsidRDefault="00CF2C51" w:rsidP="000327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E4</w:t>
            </w:r>
          </w:p>
        </w:tc>
        <w:tc>
          <w:tcPr>
            <w:tcW w:w="1440" w:type="dxa"/>
          </w:tcPr>
          <w:p w14:paraId="14370BE0" w14:textId="77777777" w:rsidR="00CF2C51" w:rsidRDefault="00CF2C51" w:rsidP="000327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E5</w:t>
            </w:r>
          </w:p>
        </w:tc>
      </w:tr>
      <w:tr w:rsidR="00CF2C51" w14:paraId="1163CF5F" w14:textId="77777777" w:rsidTr="000327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16D883B" w14:textId="77777777" w:rsidR="00CF2C51" w:rsidRDefault="00CF2C51" w:rsidP="0003275E">
            <w:r>
              <w:rPr>
                <w:sz w:val="20"/>
              </w:rPr>
              <w:t>E1</w:t>
            </w:r>
          </w:p>
        </w:tc>
        <w:tc>
          <w:tcPr>
            <w:tcW w:w="1440" w:type="dxa"/>
          </w:tcPr>
          <w:p w14:paraId="320FFF33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0.411</w:t>
            </w:r>
          </w:p>
        </w:tc>
        <w:tc>
          <w:tcPr>
            <w:tcW w:w="1440" w:type="dxa"/>
          </w:tcPr>
          <w:p w14:paraId="2ABE111C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0.437</w:t>
            </w:r>
          </w:p>
        </w:tc>
        <w:tc>
          <w:tcPr>
            <w:tcW w:w="1440" w:type="dxa"/>
          </w:tcPr>
          <w:p w14:paraId="58A320E2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0.621</w:t>
            </w:r>
          </w:p>
        </w:tc>
        <w:tc>
          <w:tcPr>
            <w:tcW w:w="1440" w:type="dxa"/>
          </w:tcPr>
          <w:p w14:paraId="05316369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0.673</w:t>
            </w:r>
          </w:p>
        </w:tc>
        <w:tc>
          <w:tcPr>
            <w:tcW w:w="1440" w:type="dxa"/>
          </w:tcPr>
          <w:p w14:paraId="52BF566F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0.480</w:t>
            </w:r>
          </w:p>
        </w:tc>
      </w:tr>
      <w:tr w:rsidR="00CF2C51" w14:paraId="56E59217" w14:textId="77777777" w:rsidTr="000327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D172A55" w14:textId="77777777" w:rsidR="00CF2C51" w:rsidRDefault="00CF2C51" w:rsidP="0003275E">
            <w:r>
              <w:rPr>
                <w:sz w:val="20"/>
              </w:rPr>
              <w:t>E2</w:t>
            </w:r>
          </w:p>
        </w:tc>
        <w:tc>
          <w:tcPr>
            <w:tcW w:w="1440" w:type="dxa"/>
          </w:tcPr>
          <w:p w14:paraId="3CBFC8E9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0.703</w:t>
            </w:r>
          </w:p>
        </w:tc>
        <w:tc>
          <w:tcPr>
            <w:tcW w:w="1440" w:type="dxa"/>
          </w:tcPr>
          <w:p w14:paraId="248B57CE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0.397</w:t>
            </w:r>
          </w:p>
        </w:tc>
        <w:tc>
          <w:tcPr>
            <w:tcW w:w="1440" w:type="dxa"/>
          </w:tcPr>
          <w:p w14:paraId="10B4466A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0.725</w:t>
            </w:r>
          </w:p>
        </w:tc>
        <w:tc>
          <w:tcPr>
            <w:tcW w:w="1440" w:type="dxa"/>
          </w:tcPr>
          <w:p w14:paraId="6EFE1C68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0.737</w:t>
            </w:r>
          </w:p>
        </w:tc>
        <w:tc>
          <w:tcPr>
            <w:tcW w:w="1440" w:type="dxa"/>
          </w:tcPr>
          <w:p w14:paraId="2594C20F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0.530</w:t>
            </w:r>
          </w:p>
        </w:tc>
      </w:tr>
      <w:tr w:rsidR="00CF2C51" w14:paraId="213E49B5" w14:textId="77777777" w:rsidTr="000327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02251A0" w14:textId="77777777" w:rsidR="00CF2C51" w:rsidRDefault="00CF2C51" w:rsidP="0003275E">
            <w:r>
              <w:rPr>
                <w:sz w:val="20"/>
              </w:rPr>
              <w:t>E3</w:t>
            </w:r>
          </w:p>
        </w:tc>
        <w:tc>
          <w:tcPr>
            <w:tcW w:w="1440" w:type="dxa"/>
          </w:tcPr>
          <w:p w14:paraId="7FA235B9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0.397</w:t>
            </w:r>
          </w:p>
        </w:tc>
        <w:tc>
          <w:tcPr>
            <w:tcW w:w="1440" w:type="dxa"/>
          </w:tcPr>
          <w:p w14:paraId="0CF3E8CE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0.344</w:t>
            </w:r>
          </w:p>
        </w:tc>
        <w:tc>
          <w:tcPr>
            <w:tcW w:w="1440" w:type="dxa"/>
          </w:tcPr>
          <w:p w14:paraId="0436DE36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0.315</w:t>
            </w:r>
          </w:p>
        </w:tc>
        <w:tc>
          <w:tcPr>
            <w:tcW w:w="1440" w:type="dxa"/>
          </w:tcPr>
          <w:p w14:paraId="47F77A02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0.469</w:t>
            </w:r>
          </w:p>
        </w:tc>
        <w:tc>
          <w:tcPr>
            <w:tcW w:w="1440" w:type="dxa"/>
          </w:tcPr>
          <w:p w14:paraId="7C1087FF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0.315</w:t>
            </w:r>
          </w:p>
        </w:tc>
      </w:tr>
      <w:tr w:rsidR="00CF2C51" w14:paraId="7ED8D8E8" w14:textId="77777777" w:rsidTr="000327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D9E7932" w14:textId="77777777" w:rsidR="00CF2C51" w:rsidRDefault="00CF2C51" w:rsidP="0003275E">
            <w:r>
              <w:rPr>
                <w:sz w:val="20"/>
              </w:rPr>
              <w:t>E4</w:t>
            </w:r>
          </w:p>
        </w:tc>
        <w:tc>
          <w:tcPr>
            <w:tcW w:w="1440" w:type="dxa"/>
          </w:tcPr>
          <w:p w14:paraId="739C6833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0.467</w:t>
            </w:r>
          </w:p>
        </w:tc>
        <w:tc>
          <w:tcPr>
            <w:tcW w:w="1440" w:type="dxa"/>
          </w:tcPr>
          <w:p w14:paraId="5256623D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0.414</w:t>
            </w:r>
          </w:p>
        </w:tc>
        <w:tc>
          <w:tcPr>
            <w:tcW w:w="1440" w:type="dxa"/>
          </w:tcPr>
          <w:p w14:paraId="5703A5C9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0.507</w:t>
            </w:r>
          </w:p>
        </w:tc>
        <w:tc>
          <w:tcPr>
            <w:tcW w:w="1440" w:type="dxa"/>
          </w:tcPr>
          <w:p w14:paraId="41FBF1E0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0.391</w:t>
            </w:r>
          </w:p>
        </w:tc>
        <w:tc>
          <w:tcPr>
            <w:tcW w:w="1440" w:type="dxa"/>
          </w:tcPr>
          <w:p w14:paraId="797B00C1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0.405</w:t>
            </w:r>
          </w:p>
        </w:tc>
      </w:tr>
      <w:tr w:rsidR="00CF2C51" w14:paraId="2BB2DEE0" w14:textId="77777777" w:rsidTr="000327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0063297" w14:textId="77777777" w:rsidR="00CF2C51" w:rsidRDefault="00CF2C51" w:rsidP="0003275E">
            <w:r>
              <w:rPr>
                <w:sz w:val="20"/>
              </w:rPr>
              <w:t>E5</w:t>
            </w:r>
          </w:p>
        </w:tc>
        <w:tc>
          <w:tcPr>
            <w:tcW w:w="1440" w:type="dxa"/>
          </w:tcPr>
          <w:p w14:paraId="68CFC3DD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0.759</w:t>
            </w:r>
          </w:p>
        </w:tc>
        <w:tc>
          <w:tcPr>
            <w:tcW w:w="1440" w:type="dxa"/>
          </w:tcPr>
          <w:p w14:paraId="0599DC8A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0.637</w:t>
            </w:r>
          </w:p>
        </w:tc>
        <w:tc>
          <w:tcPr>
            <w:tcW w:w="1440" w:type="dxa"/>
          </w:tcPr>
          <w:p w14:paraId="7AAE5925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0.795</w:t>
            </w:r>
          </w:p>
        </w:tc>
        <w:tc>
          <w:tcPr>
            <w:tcW w:w="1440" w:type="dxa"/>
          </w:tcPr>
          <w:p w14:paraId="0D9ED76E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0.808</w:t>
            </w:r>
          </w:p>
        </w:tc>
        <w:tc>
          <w:tcPr>
            <w:tcW w:w="1440" w:type="dxa"/>
          </w:tcPr>
          <w:p w14:paraId="21BB5B86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0.432</w:t>
            </w:r>
          </w:p>
        </w:tc>
      </w:tr>
    </w:tbl>
    <w:p w14:paraId="081CFDE3" w14:textId="77777777" w:rsidR="00CF2C51" w:rsidRDefault="00CF2C51" w:rsidP="00CF2C51"/>
    <w:p w14:paraId="5B449E04" w14:textId="77777777" w:rsidR="00CF2C51" w:rsidRDefault="00CF2C51" w:rsidP="00CF2C51">
      <w:r>
        <w:rPr>
          <w:b/>
        </w:rPr>
        <w:t>Supplementary Table S3.</w:t>
      </w:r>
      <w:r>
        <w:t xml:space="preserve"> Monte-Carlo perturbation robustness of the cause/effect classification (20,000 iterations per level; each off-diagonal cell of the averaged direct-relation matrix perturbed by U(−δ,+δ), clipped to [0,4]; seed 20260619). (Relocated from the main text to satisfy the ≤8 display-item cap.)</w:t>
      </w:r>
    </w:p>
    <w:p w14:paraId="726EF443" w14:textId="77777777" w:rsidR="00CF2C51" w:rsidRDefault="00CF2C51" w:rsidP="00CF2C51"/>
    <w:tbl>
      <w:tblPr>
        <w:tblStyle w:val="LightGrid-Accent1"/>
        <w:tblW w:w="0" w:type="auto"/>
        <w:jc w:val="center"/>
        <w:tblLook w:val="04A0" w:firstRow="1" w:lastRow="0" w:firstColumn="1" w:lastColumn="0" w:noHBand="0" w:noVBand="1"/>
      </w:tblPr>
      <w:tblGrid>
        <w:gridCol w:w="1327"/>
        <w:gridCol w:w="1195"/>
        <w:gridCol w:w="1195"/>
        <w:gridCol w:w="1294"/>
        <w:gridCol w:w="1194"/>
        <w:gridCol w:w="1209"/>
        <w:gridCol w:w="1206"/>
      </w:tblGrid>
      <w:tr w:rsidR="00CF2C51" w14:paraId="4944AC52" w14:textId="77777777" w:rsidTr="000327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259DB55D" w14:textId="77777777" w:rsidR="00CF2C51" w:rsidRDefault="00CF2C51" w:rsidP="0003275E">
            <w:r>
              <w:rPr>
                <w:sz w:val="20"/>
              </w:rPr>
              <w:t>Perturbation δ</w:t>
            </w:r>
          </w:p>
        </w:tc>
        <w:tc>
          <w:tcPr>
            <w:tcW w:w="1234" w:type="dxa"/>
          </w:tcPr>
          <w:p w14:paraId="2E43708D" w14:textId="77777777" w:rsidR="00CF2C51" w:rsidRDefault="00CF2C51" w:rsidP="000327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P(E5 Cause)</w:t>
            </w:r>
          </w:p>
        </w:tc>
        <w:tc>
          <w:tcPr>
            <w:tcW w:w="1234" w:type="dxa"/>
          </w:tcPr>
          <w:p w14:paraId="6C419ACD" w14:textId="77777777" w:rsidR="00CF2C51" w:rsidRDefault="00CF2C51" w:rsidP="000327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P(E2 Cause)</w:t>
            </w:r>
          </w:p>
        </w:tc>
        <w:tc>
          <w:tcPr>
            <w:tcW w:w="1234" w:type="dxa"/>
          </w:tcPr>
          <w:p w14:paraId="2BDC928D" w14:textId="77777777" w:rsidR="00CF2C51" w:rsidRDefault="00CF2C51" w:rsidP="000327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P(E5 top prominence)</w:t>
            </w:r>
          </w:p>
        </w:tc>
        <w:tc>
          <w:tcPr>
            <w:tcW w:w="1234" w:type="dxa"/>
          </w:tcPr>
          <w:p w14:paraId="47EEEA3D" w14:textId="77777777" w:rsidR="00CF2C51" w:rsidRDefault="00CF2C51" w:rsidP="000327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P(E1 stays Effect)</w:t>
            </w:r>
          </w:p>
        </w:tc>
        <w:tc>
          <w:tcPr>
            <w:tcW w:w="1234" w:type="dxa"/>
          </w:tcPr>
          <w:p w14:paraId="339CF6C9" w14:textId="77777777" w:rsidR="00CF2C51" w:rsidRDefault="00CF2C51" w:rsidP="000327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P(cause group = {E5,E2})</w:t>
            </w:r>
          </w:p>
        </w:tc>
        <w:tc>
          <w:tcPr>
            <w:tcW w:w="1234" w:type="dxa"/>
          </w:tcPr>
          <w:p w14:paraId="27B44195" w14:textId="77777777" w:rsidR="00CF2C51" w:rsidRDefault="00CF2C51" w:rsidP="000327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P(E5,E2 cause &amp; E3,E4 effect)</w:t>
            </w:r>
          </w:p>
        </w:tc>
      </w:tr>
      <w:tr w:rsidR="00CF2C51" w14:paraId="395C8715" w14:textId="77777777" w:rsidTr="000327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6A93B2A8" w14:textId="77777777" w:rsidR="00CF2C51" w:rsidRDefault="00CF2C51" w:rsidP="0003275E">
            <w:r>
              <w:rPr>
                <w:sz w:val="20"/>
              </w:rPr>
              <w:t>±0.25</w:t>
            </w:r>
          </w:p>
        </w:tc>
        <w:tc>
          <w:tcPr>
            <w:tcW w:w="1234" w:type="dxa"/>
          </w:tcPr>
          <w:p w14:paraId="3F39D450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1.000</w:t>
            </w:r>
          </w:p>
        </w:tc>
        <w:tc>
          <w:tcPr>
            <w:tcW w:w="1234" w:type="dxa"/>
          </w:tcPr>
          <w:p w14:paraId="2892CF84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1.000</w:t>
            </w:r>
          </w:p>
        </w:tc>
        <w:tc>
          <w:tcPr>
            <w:tcW w:w="1234" w:type="dxa"/>
          </w:tcPr>
          <w:p w14:paraId="232FB540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0.978</w:t>
            </w:r>
          </w:p>
        </w:tc>
        <w:tc>
          <w:tcPr>
            <w:tcW w:w="1234" w:type="dxa"/>
          </w:tcPr>
          <w:p w14:paraId="784917DC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0.887</w:t>
            </w:r>
          </w:p>
        </w:tc>
        <w:tc>
          <w:tcPr>
            <w:tcW w:w="1234" w:type="dxa"/>
          </w:tcPr>
          <w:p w14:paraId="27255B4B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0.887</w:t>
            </w:r>
          </w:p>
        </w:tc>
        <w:tc>
          <w:tcPr>
            <w:tcW w:w="1234" w:type="dxa"/>
          </w:tcPr>
          <w:p w14:paraId="5F2C1633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1.000</w:t>
            </w:r>
          </w:p>
        </w:tc>
      </w:tr>
      <w:tr w:rsidR="00CF2C51" w14:paraId="4B4F4909" w14:textId="77777777" w:rsidTr="000327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2DB70154" w14:textId="77777777" w:rsidR="00CF2C51" w:rsidRDefault="00CF2C51" w:rsidP="0003275E">
            <w:r>
              <w:rPr>
                <w:sz w:val="20"/>
              </w:rPr>
              <w:t>±0.50</w:t>
            </w:r>
          </w:p>
        </w:tc>
        <w:tc>
          <w:tcPr>
            <w:tcW w:w="1234" w:type="dxa"/>
          </w:tcPr>
          <w:p w14:paraId="60BABF0B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1.000</w:t>
            </w:r>
          </w:p>
        </w:tc>
        <w:tc>
          <w:tcPr>
            <w:tcW w:w="1234" w:type="dxa"/>
          </w:tcPr>
          <w:p w14:paraId="773FE66E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1.000</w:t>
            </w:r>
          </w:p>
        </w:tc>
        <w:tc>
          <w:tcPr>
            <w:tcW w:w="1234" w:type="dxa"/>
          </w:tcPr>
          <w:p w14:paraId="6977F734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0.760</w:t>
            </w:r>
          </w:p>
        </w:tc>
        <w:tc>
          <w:tcPr>
            <w:tcW w:w="1234" w:type="dxa"/>
          </w:tcPr>
          <w:p w14:paraId="3A537FCD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0.724</w:t>
            </w:r>
          </w:p>
        </w:tc>
        <w:tc>
          <w:tcPr>
            <w:tcW w:w="1234" w:type="dxa"/>
          </w:tcPr>
          <w:p w14:paraId="305AA341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0.724</w:t>
            </w:r>
          </w:p>
        </w:tc>
        <w:tc>
          <w:tcPr>
            <w:tcW w:w="1234" w:type="dxa"/>
          </w:tcPr>
          <w:p w14:paraId="2035CEE7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1.000</w:t>
            </w:r>
          </w:p>
        </w:tc>
      </w:tr>
      <w:tr w:rsidR="00CF2C51" w14:paraId="3C1BCE2B" w14:textId="77777777" w:rsidTr="000327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3BB1C54C" w14:textId="77777777" w:rsidR="00CF2C51" w:rsidRDefault="00CF2C51" w:rsidP="0003275E">
            <w:r>
              <w:rPr>
                <w:sz w:val="20"/>
              </w:rPr>
              <w:t>±0.75</w:t>
            </w:r>
          </w:p>
        </w:tc>
        <w:tc>
          <w:tcPr>
            <w:tcW w:w="1234" w:type="dxa"/>
          </w:tcPr>
          <w:p w14:paraId="2DEAC515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1.000</w:t>
            </w:r>
          </w:p>
        </w:tc>
        <w:tc>
          <w:tcPr>
            <w:tcW w:w="1234" w:type="dxa"/>
          </w:tcPr>
          <w:p w14:paraId="2297939E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0.999</w:t>
            </w:r>
          </w:p>
        </w:tc>
        <w:tc>
          <w:tcPr>
            <w:tcW w:w="1234" w:type="dxa"/>
          </w:tcPr>
          <w:p w14:paraId="2C06D7D6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0.599</w:t>
            </w:r>
          </w:p>
        </w:tc>
        <w:tc>
          <w:tcPr>
            <w:tcW w:w="1234" w:type="dxa"/>
          </w:tcPr>
          <w:p w14:paraId="1D92F281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0.641</w:t>
            </w:r>
          </w:p>
        </w:tc>
        <w:tc>
          <w:tcPr>
            <w:tcW w:w="1234" w:type="dxa"/>
          </w:tcPr>
          <w:p w14:paraId="296DF676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0.640</w:t>
            </w:r>
          </w:p>
        </w:tc>
        <w:tc>
          <w:tcPr>
            <w:tcW w:w="1234" w:type="dxa"/>
          </w:tcPr>
          <w:p w14:paraId="7A94DE29" w14:textId="77777777" w:rsidR="00CF2C51" w:rsidRDefault="00CF2C51" w:rsidP="0003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0.999</w:t>
            </w:r>
          </w:p>
        </w:tc>
      </w:tr>
      <w:tr w:rsidR="00CF2C51" w14:paraId="387464DC" w14:textId="77777777" w:rsidTr="000327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11C12A74" w14:textId="77777777" w:rsidR="00CF2C51" w:rsidRDefault="00CF2C51" w:rsidP="0003275E">
            <w:r>
              <w:rPr>
                <w:sz w:val="20"/>
              </w:rPr>
              <w:t>±1.00</w:t>
            </w:r>
          </w:p>
        </w:tc>
        <w:tc>
          <w:tcPr>
            <w:tcW w:w="1234" w:type="dxa"/>
          </w:tcPr>
          <w:p w14:paraId="3A866E05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1.000</w:t>
            </w:r>
          </w:p>
        </w:tc>
        <w:tc>
          <w:tcPr>
            <w:tcW w:w="1234" w:type="dxa"/>
          </w:tcPr>
          <w:p w14:paraId="52379367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0.990</w:t>
            </w:r>
          </w:p>
        </w:tc>
        <w:tc>
          <w:tcPr>
            <w:tcW w:w="1234" w:type="dxa"/>
          </w:tcPr>
          <w:p w14:paraId="391EAB3D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0.595</w:t>
            </w:r>
          </w:p>
        </w:tc>
        <w:tc>
          <w:tcPr>
            <w:tcW w:w="1234" w:type="dxa"/>
          </w:tcPr>
          <w:p w14:paraId="689C0E50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0.595</w:t>
            </w:r>
          </w:p>
        </w:tc>
        <w:tc>
          <w:tcPr>
            <w:tcW w:w="1234" w:type="dxa"/>
          </w:tcPr>
          <w:p w14:paraId="45DDF405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0.584</w:t>
            </w:r>
          </w:p>
        </w:tc>
        <w:tc>
          <w:tcPr>
            <w:tcW w:w="1234" w:type="dxa"/>
          </w:tcPr>
          <w:p w14:paraId="6EE73F4D" w14:textId="77777777" w:rsidR="00CF2C51" w:rsidRDefault="00CF2C51" w:rsidP="0003275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0.981</w:t>
            </w:r>
          </w:p>
        </w:tc>
      </w:tr>
    </w:tbl>
    <w:p w14:paraId="644E175F" w14:textId="77777777" w:rsidR="00CF2C51" w:rsidRDefault="00CF2C51" w:rsidP="00CF2C51"/>
    <w:p w14:paraId="22E39458" w14:textId="77777777" w:rsidR="00CF2C51" w:rsidRDefault="00CF2C51" w:rsidP="00CF2C51">
      <w:r>
        <w:rPr>
          <w:i/>
        </w:rPr>
        <w:t>Note.</w:t>
      </w:r>
      <w:r>
        <w:t xml:space="preserve"> The cause/effect partition of E5, E2, E3, and E4 is essentially invariant (≥98% at every level; 100% up to ±0.50). E1's net relation lies near zero and its sign is not stable under large perturbation; E1 is therefore reported as borderline/transitional. The decline in "E5 top prominence" reflects only the closeness of E1/E2 prominence to E5's and does not affect the cause/effect classification.</w:t>
      </w:r>
    </w:p>
    <w:p w14:paraId="4D3541A4" w14:textId="77777777" w:rsidR="00EB4A2D" w:rsidRDefault="00EB4A2D"/>
    <w:sectPr w:rsidR="00EB4A2D" w:rsidSect="00CF2C51">
      <w:footerReference w:type="default" r:id="rId4"/>
      <w:pgSz w:w="12240" w:h="15840"/>
      <w:pgMar w:top="1440" w:right="1800" w:bottom="1440" w:left="1800" w:header="720" w:footer="720" w:gutter="0"/>
      <w:lnNumType w:countBy="1" w:distance="360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EBEFA" w14:textId="77777777" w:rsidR="00CF2C51" w:rsidRDefault="00CF2C51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51"/>
    <w:rsid w:val="00192BDD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C321FA"/>
    <w:rsid w:val="00C97210"/>
    <w:rsid w:val="00CF2C51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F1CA4"/>
  <w15:chartTrackingRefBased/>
  <w15:docId w15:val="{3EE4A88A-C84A-4BEE-87A2-26C52604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C51"/>
    <w:pPr>
      <w:spacing w:after="120" w:line="360" w:lineRule="auto"/>
      <w:jc w:val="both"/>
    </w:pPr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C51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C5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C51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C51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C51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C51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C51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C51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C51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C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C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C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C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C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C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C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C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C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C5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2C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C51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2C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C51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2C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C51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2C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C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C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C5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F2C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C51"/>
    <w:rPr>
      <w:rFonts w:ascii="Times New Roman" w:eastAsia="Times New Roman" w:hAnsi="Times New Roman"/>
      <w:kern w:val="0"/>
      <w:szCs w:val="22"/>
      <w:lang w:val="en-US"/>
      <w14:ligatures w14:val="none"/>
    </w:rPr>
  </w:style>
  <w:style w:type="table" w:styleId="LightGrid-Accent1">
    <w:name w:val="Light Grid Accent 1"/>
    <w:basedOn w:val="TableNormal"/>
    <w:uiPriority w:val="62"/>
    <w:rsid w:val="00CF2C51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F2C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2026-09-30T07:03:00Z</dcterms:created>
  <dcterms:modified xsi:type="dcterms:W3CDTF">2026-09-30T07:03:00Z</dcterms:modified>
</cp:coreProperties>
</file>