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F6C4C">
      <w:pPr>
        <w:pStyle w:val="164"/>
        <w:widowControl/>
        <w:jc w:val="center"/>
        <w:rPr>
          <w:rFonts w:ascii="Arial" w:hAnsi="Arial" w:eastAsia="Arial"/>
        </w:rPr>
      </w:pPr>
      <w:r>
        <w:rPr>
          <w:rFonts w:ascii="Arial" w:hAnsi="Arial" w:eastAsia="Arial"/>
        </w:rPr>
        <w:t>Supplementary information</w:t>
      </w:r>
    </w:p>
    <w:p w14:paraId="4EECD28A">
      <w:pPr>
        <w:pStyle w:val="164"/>
        <w:widowControl/>
        <w:jc w:val="center"/>
        <w:rPr>
          <w:rFonts w:ascii="Arial" w:hAnsi="Arial" w:eastAsia="Arial"/>
        </w:rPr>
      </w:pPr>
    </w:p>
    <w:p w14:paraId="2AC9B218">
      <w:pPr>
        <w:pStyle w:val="164"/>
        <w:widowControl/>
        <w:jc w:val="center"/>
        <w:rPr>
          <w:rFonts w:ascii="Arial" w:hAnsi="Arial" w:eastAsia="Arial"/>
        </w:rPr>
      </w:pPr>
      <w:r>
        <w:rPr>
          <w:rFonts w:ascii="Arial" w:hAnsi="Arial" w:eastAsia="Arial"/>
        </w:rPr>
        <w:t>Who gets to verify AI? Provenance, authority and accountability in digital government</w:t>
      </w:r>
    </w:p>
    <w:p w14:paraId="159D3F1E">
      <w:pPr>
        <w:pStyle w:val="165"/>
        <w:keepNext/>
      </w:pPr>
      <w:r>
        <w:rPr>
          <w:rFonts w:ascii="Arial" w:hAnsi="Arial" w:eastAsia="Arial" w:cstheme="minorBidi"/>
          <w:b/>
          <w:sz w:val="25"/>
          <w:szCs w:val="22"/>
          <w:lang w:val="en-US" w:eastAsia="en-US" w:bidi="ar-SA"/>
        </w:rPr>
        <w:t>Supplementary Note: document selection protocol</w:t>
      </w:r>
    </w:p>
    <w:p w14:paraId="3E3917A3">
      <w:pPr>
        <w:jc w:val="both"/>
      </w:pPr>
      <w:r>
        <w:rPr>
          <w:i w:val="0"/>
        </w:rPr>
        <w:t>The analytical corpus was</w:t>
      </w:r>
      <w:bookmarkStart w:id="0" w:name="_GoBack"/>
      <w:bookmarkEnd w:id="0"/>
      <w:r>
        <w:rPr>
          <w:i w:val="0"/>
        </w:rPr>
        <w:t xml:space="preserve"> purposefully constructed to compare four institutional logics: mandatory labelling, risk-based law, technical provenance and organisational risk management. Instruments were eligible when they were publicly issued, operationally relevant to disclosure, provenance or accountability and sufficiently distinct to add analytical variation. The corpus is not presented as an exhaustive global inventory.</w:t>
      </w:r>
    </w:p>
    <w:p w14:paraId="58C8D761">
      <w:pPr>
        <w:pStyle w:val="168"/>
        <w:keepNext/>
        <w:jc w:val="center"/>
      </w:pPr>
      <w:r>
        <w:rPr>
          <w:b w:val="0"/>
        </w:rPr>
        <w:t>Table S1. Instrument-level corpus</w:t>
      </w:r>
    </w:p>
    <w:tbl>
      <w:tblPr>
        <w:tblStyle w:val="33"/>
        <w:tblW w:w="907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621"/>
        <w:gridCol w:w="1825"/>
        <w:gridCol w:w="1595"/>
        <w:gridCol w:w="3031"/>
      </w:tblGrid>
      <w:tr w14:paraId="17E21B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621"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0E8B55FD">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Instrument</w:t>
            </w:r>
          </w:p>
        </w:tc>
        <w:tc>
          <w:tcPr>
            <w:tcW w:w="0" w:type="auto"/>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1B49C246">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Issuer/year</w:t>
            </w:r>
          </w:p>
        </w:tc>
        <w:tc>
          <w:tcPr>
            <w:tcW w:w="1595"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06281BEC">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Institutional form</w:t>
            </w:r>
          </w:p>
        </w:tc>
        <w:tc>
          <w:tcPr>
            <w:tcW w:w="3031"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5281832E">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Functions coded</w:t>
            </w:r>
          </w:p>
        </w:tc>
      </w:tr>
      <w:tr w14:paraId="49990E0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single" w:color="auto" w:sz="4" w:space="0"/>
              <w:left w:val="nil"/>
              <w:bottom w:val="nil"/>
              <w:right w:val="nil"/>
            </w:tcBorders>
            <w:noWrap w:val="0"/>
            <w:tcMar>
              <w:top w:w="80" w:type="dxa"/>
              <w:left w:w="80" w:type="dxa"/>
              <w:bottom w:w="80" w:type="dxa"/>
              <w:right w:w="80" w:type="dxa"/>
            </w:tcMar>
            <w:vAlign w:val="center"/>
          </w:tcPr>
          <w:p w14:paraId="552FAE7D">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Measures for Labelling AI-Generated and Synthetic Content</w:t>
            </w:r>
          </w:p>
        </w:tc>
        <w:tc>
          <w:tcPr>
            <w:tcW w:w="0" w:type="auto"/>
            <w:tcBorders>
              <w:top w:val="single" w:color="auto" w:sz="4" w:space="0"/>
              <w:left w:val="nil"/>
              <w:bottom w:val="nil"/>
              <w:right w:val="nil"/>
            </w:tcBorders>
            <w:noWrap w:val="0"/>
            <w:tcMar>
              <w:top w:w="80" w:type="dxa"/>
              <w:left w:w="80" w:type="dxa"/>
              <w:bottom w:w="80" w:type="dxa"/>
              <w:right w:w="80" w:type="dxa"/>
            </w:tcMar>
            <w:vAlign w:val="center"/>
          </w:tcPr>
          <w:p w14:paraId="0B8421CF">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Chinese regulators, 2025</w:t>
            </w:r>
          </w:p>
        </w:tc>
        <w:tc>
          <w:tcPr>
            <w:tcW w:w="1595" w:type="dxa"/>
            <w:tcBorders>
              <w:top w:val="single" w:color="auto" w:sz="4" w:space="0"/>
              <w:left w:val="nil"/>
              <w:bottom w:val="nil"/>
              <w:right w:val="nil"/>
            </w:tcBorders>
            <w:noWrap w:val="0"/>
            <w:tcMar>
              <w:top w:w="80" w:type="dxa"/>
              <w:left w:w="80" w:type="dxa"/>
              <w:bottom w:w="80" w:type="dxa"/>
              <w:right w:w="80" w:type="dxa"/>
            </w:tcMar>
            <w:vAlign w:val="center"/>
          </w:tcPr>
          <w:p w14:paraId="61834FFB">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Administrative measure</w:t>
            </w:r>
          </w:p>
        </w:tc>
        <w:tc>
          <w:tcPr>
            <w:tcW w:w="3031" w:type="dxa"/>
            <w:tcBorders>
              <w:top w:val="single" w:color="auto" w:sz="4" w:space="0"/>
              <w:left w:val="nil"/>
              <w:bottom w:val="nil"/>
              <w:right w:val="nil"/>
            </w:tcBorders>
            <w:noWrap w:val="0"/>
            <w:tcMar>
              <w:top w:w="80" w:type="dxa"/>
              <w:left w:w="80" w:type="dxa"/>
              <w:bottom w:w="80" w:type="dxa"/>
              <w:right w:w="80" w:type="dxa"/>
            </w:tcMar>
            <w:vAlign w:val="center"/>
          </w:tcPr>
          <w:p w14:paraId="2043C1AB">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Explicit and implicit labels; platform checks; provider and user duties</w:t>
            </w:r>
          </w:p>
        </w:tc>
      </w:tr>
      <w:tr w14:paraId="0710D8C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2960F157">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GB 45438-2025</w:t>
            </w:r>
          </w:p>
        </w:tc>
        <w:tc>
          <w:tcPr>
            <w:tcW w:w="0" w:type="auto"/>
            <w:tcBorders>
              <w:top w:val="nil"/>
              <w:left w:val="nil"/>
              <w:bottom w:val="nil"/>
              <w:right w:val="nil"/>
            </w:tcBorders>
            <w:noWrap w:val="0"/>
            <w:tcMar>
              <w:top w:w="80" w:type="dxa"/>
              <w:left w:w="80" w:type="dxa"/>
              <w:bottom w:w="80" w:type="dxa"/>
              <w:right w:w="80" w:type="dxa"/>
            </w:tcMar>
            <w:vAlign w:val="center"/>
          </w:tcPr>
          <w:p w14:paraId="5FD9A075">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Chinese national standard bodies, 2025</w:t>
            </w:r>
          </w:p>
        </w:tc>
        <w:tc>
          <w:tcPr>
            <w:tcW w:w="1595" w:type="dxa"/>
            <w:tcBorders>
              <w:top w:val="nil"/>
              <w:left w:val="nil"/>
              <w:bottom w:val="nil"/>
              <w:right w:val="nil"/>
            </w:tcBorders>
            <w:noWrap w:val="0"/>
            <w:tcMar>
              <w:top w:w="80" w:type="dxa"/>
              <w:left w:w="80" w:type="dxa"/>
              <w:bottom w:w="80" w:type="dxa"/>
              <w:right w:w="80" w:type="dxa"/>
            </w:tcMar>
            <w:vAlign w:val="center"/>
          </w:tcPr>
          <w:p w14:paraId="62C9B2B7">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Mandatory national standard</w:t>
            </w:r>
          </w:p>
        </w:tc>
        <w:tc>
          <w:tcPr>
            <w:tcW w:w="3031" w:type="dxa"/>
            <w:tcBorders>
              <w:top w:val="nil"/>
              <w:left w:val="nil"/>
              <w:bottom w:val="nil"/>
              <w:right w:val="nil"/>
            </w:tcBorders>
            <w:noWrap w:val="0"/>
            <w:tcMar>
              <w:top w:w="80" w:type="dxa"/>
              <w:left w:w="80" w:type="dxa"/>
              <w:bottom w:w="80" w:type="dxa"/>
              <w:right w:w="80" w:type="dxa"/>
            </w:tcMar>
            <w:vAlign w:val="center"/>
          </w:tcPr>
          <w:p w14:paraId="2FEFFFB5">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Label forms, metadata elements, identifiers and technical implementation</w:t>
            </w:r>
          </w:p>
        </w:tc>
      </w:tr>
      <w:tr w14:paraId="01A5FB4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4AD0C497">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Interim Measures for Generative AI Services</w:t>
            </w:r>
          </w:p>
        </w:tc>
        <w:tc>
          <w:tcPr>
            <w:tcW w:w="0" w:type="auto"/>
            <w:tcBorders>
              <w:top w:val="nil"/>
              <w:left w:val="nil"/>
              <w:bottom w:val="nil"/>
              <w:right w:val="nil"/>
            </w:tcBorders>
            <w:noWrap w:val="0"/>
            <w:tcMar>
              <w:top w:w="80" w:type="dxa"/>
              <w:left w:w="80" w:type="dxa"/>
              <w:bottom w:w="80" w:type="dxa"/>
              <w:right w:w="80" w:type="dxa"/>
            </w:tcMar>
            <w:vAlign w:val="center"/>
          </w:tcPr>
          <w:p w14:paraId="3DBD25FE">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Chinese regulators, 2023</w:t>
            </w:r>
          </w:p>
        </w:tc>
        <w:tc>
          <w:tcPr>
            <w:tcW w:w="1595" w:type="dxa"/>
            <w:tcBorders>
              <w:top w:val="nil"/>
              <w:left w:val="nil"/>
              <w:bottom w:val="nil"/>
              <w:right w:val="nil"/>
            </w:tcBorders>
            <w:noWrap w:val="0"/>
            <w:tcMar>
              <w:top w:w="80" w:type="dxa"/>
              <w:left w:w="80" w:type="dxa"/>
              <w:bottom w:w="80" w:type="dxa"/>
              <w:right w:w="80" w:type="dxa"/>
            </w:tcMar>
            <w:vAlign w:val="center"/>
          </w:tcPr>
          <w:p w14:paraId="0C801C00">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Administrative measure</w:t>
            </w:r>
          </w:p>
        </w:tc>
        <w:tc>
          <w:tcPr>
            <w:tcW w:w="3031" w:type="dxa"/>
            <w:tcBorders>
              <w:top w:val="nil"/>
              <w:left w:val="nil"/>
              <w:bottom w:val="nil"/>
              <w:right w:val="nil"/>
            </w:tcBorders>
            <w:noWrap w:val="0"/>
            <w:tcMar>
              <w:top w:w="80" w:type="dxa"/>
              <w:left w:w="80" w:type="dxa"/>
              <w:bottom w:w="80" w:type="dxa"/>
              <w:right w:w="80" w:type="dxa"/>
            </w:tcMar>
            <w:vAlign w:val="center"/>
          </w:tcPr>
          <w:p w14:paraId="6897BF55">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Provider responsibilities and service governance</w:t>
            </w:r>
          </w:p>
        </w:tc>
      </w:tr>
      <w:tr w14:paraId="7D56913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519BCC73">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Deep Synthesis Provisions</w:t>
            </w:r>
          </w:p>
        </w:tc>
        <w:tc>
          <w:tcPr>
            <w:tcW w:w="0" w:type="auto"/>
            <w:tcBorders>
              <w:top w:val="nil"/>
              <w:left w:val="nil"/>
              <w:bottom w:val="nil"/>
              <w:right w:val="nil"/>
            </w:tcBorders>
            <w:noWrap w:val="0"/>
            <w:tcMar>
              <w:top w:w="80" w:type="dxa"/>
              <w:left w:w="80" w:type="dxa"/>
              <w:bottom w:w="80" w:type="dxa"/>
              <w:right w:w="80" w:type="dxa"/>
            </w:tcMar>
            <w:vAlign w:val="center"/>
          </w:tcPr>
          <w:p w14:paraId="6B372325">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Chinese regulators, 2022</w:t>
            </w:r>
          </w:p>
        </w:tc>
        <w:tc>
          <w:tcPr>
            <w:tcW w:w="1595" w:type="dxa"/>
            <w:tcBorders>
              <w:top w:val="nil"/>
              <w:left w:val="nil"/>
              <w:bottom w:val="nil"/>
              <w:right w:val="nil"/>
            </w:tcBorders>
            <w:noWrap w:val="0"/>
            <w:tcMar>
              <w:top w:w="80" w:type="dxa"/>
              <w:left w:w="80" w:type="dxa"/>
              <w:bottom w:w="80" w:type="dxa"/>
              <w:right w:w="80" w:type="dxa"/>
            </w:tcMar>
            <w:vAlign w:val="center"/>
          </w:tcPr>
          <w:p w14:paraId="5826208E">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Administrative measure</w:t>
            </w:r>
          </w:p>
        </w:tc>
        <w:tc>
          <w:tcPr>
            <w:tcW w:w="3031" w:type="dxa"/>
            <w:tcBorders>
              <w:top w:val="nil"/>
              <w:left w:val="nil"/>
              <w:bottom w:val="nil"/>
              <w:right w:val="nil"/>
            </w:tcBorders>
            <w:noWrap w:val="0"/>
            <w:tcMar>
              <w:top w:w="80" w:type="dxa"/>
              <w:left w:w="80" w:type="dxa"/>
              <w:bottom w:w="80" w:type="dxa"/>
              <w:right w:w="80" w:type="dxa"/>
            </w:tcMar>
            <w:vAlign w:val="center"/>
          </w:tcPr>
          <w:p w14:paraId="4B9BA931">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Deep-synthesis identification, security duties and content management</w:t>
            </w:r>
          </w:p>
        </w:tc>
      </w:tr>
      <w:tr w14:paraId="2906E86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11C464CD">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Algorithmic Recommendation Provisions</w:t>
            </w:r>
          </w:p>
        </w:tc>
        <w:tc>
          <w:tcPr>
            <w:tcW w:w="0" w:type="auto"/>
            <w:tcBorders>
              <w:top w:val="nil"/>
              <w:left w:val="nil"/>
              <w:bottom w:val="nil"/>
              <w:right w:val="nil"/>
            </w:tcBorders>
            <w:noWrap w:val="0"/>
            <w:tcMar>
              <w:top w:w="80" w:type="dxa"/>
              <w:left w:w="80" w:type="dxa"/>
              <w:bottom w:w="80" w:type="dxa"/>
              <w:right w:w="80" w:type="dxa"/>
            </w:tcMar>
            <w:vAlign w:val="center"/>
          </w:tcPr>
          <w:p w14:paraId="6E121DAD">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Chinese regulators, 2022</w:t>
            </w:r>
          </w:p>
        </w:tc>
        <w:tc>
          <w:tcPr>
            <w:tcW w:w="1595" w:type="dxa"/>
            <w:tcBorders>
              <w:top w:val="nil"/>
              <w:left w:val="nil"/>
              <w:bottom w:val="nil"/>
              <w:right w:val="nil"/>
            </w:tcBorders>
            <w:noWrap w:val="0"/>
            <w:tcMar>
              <w:top w:w="80" w:type="dxa"/>
              <w:left w:w="80" w:type="dxa"/>
              <w:bottom w:w="80" w:type="dxa"/>
              <w:right w:w="80" w:type="dxa"/>
            </w:tcMar>
            <w:vAlign w:val="center"/>
          </w:tcPr>
          <w:p w14:paraId="195FB902">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Administrative measure</w:t>
            </w:r>
          </w:p>
        </w:tc>
        <w:tc>
          <w:tcPr>
            <w:tcW w:w="3031" w:type="dxa"/>
            <w:tcBorders>
              <w:top w:val="nil"/>
              <w:left w:val="nil"/>
              <w:bottom w:val="nil"/>
              <w:right w:val="nil"/>
            </w:tcBorders>
            <w:noWrap w:val="0"/>
            <w:tcMar>
              <w:top w:w="80" w:type="dxa"/>
              <w:left w:w="80" w:type="dxa"/>
              <w:bottom w:w="80" w:type="dxa"/>
              <w:right w:w="80" w:type="dxa"/>
            </w:tcMar>
            <w:vAlign w:val="center"/>
          </w:tcPr>
          <w:p w14:paraId="3E1FD812">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Distribution responsibilities, user rights and platform governance</w:t>
            </w:r>
          </w:p>
        </w:tc>
      </w:tr>
      <w:tr w14:paraId="4697CF9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3F869AE4">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EU AI Act</w:t>
            </w:r>
          </w:p>
        </w:tc>
        <w:tc>
          <w:tcPr>
            <w:tcW w:w="0" w:type="auto"/>
            <w:tcBorders>
              <w:top w:val="nil"/>
              <w:left w:val="nil"/>
              <w:bottom w:val="nil"/>
              <w:right w:val="nil"/>
            </w:tcBorders>
            <w:noWrap w:val="0"/>
            <w:tcMar>
              <w:top w:w="80" w:type="dxa"/>
              <w:left w:w="80" w:type="dxa"/>
              <w:bottom w:w="80" w:type="dxa"/>
              <w:right w:w="80" w:type="dxa"/>
            </w:tcMar>
            <w:vAlign w:val="center"/>
          </w:tcPr>
          <w:p w14:paraId="0B75EABB">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European Union, 2024</w:t>
            </w:r>
          </w:p>
        </w:tc>
        <w:tc>
          <w:tcPr>
            <w:tcW w:w="1595" w:type="dxa"/>
            <w:tcBorders>
              <w:top w:val="nil"/>
              <w:left w:val="nil"/>
              <w:bottom w:val="nil"/>
              <w:right w:val="nil"/>
            </w:tcBorders>
            <w:noWrap w:val="0"/>
            <w:tcMar>
              <w:top w:w="80" w:type="dxa"/>
              <w:left w:w="80" w:type="dxa"/>
              <w:bottom w:w="80" w:type="dxa"/>
              <w:right w:w="80" w:type="dxa"/>
            </w:tcMar>
            <w:vAlign w:val="center"/>
          </w:tcPr>
          <w:p w14:paraId="0CA8A43E">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Regulation</w:t>
            </w:r>
          </w:p>
        </w:tc>
        <w:tc>
          <w:tcPr>
            <w:tcW w:w="3031" w:type="dxa"/>
            <w:tcBorders>
              <w:top w:val="nil"/>
              <w:left w:val="nil"/>
              <w:bottom w:val="nil"/>
              <w:right w:val="nil"/>
            </w:tcBorders>
            <w:noWrap w:val="0"/>
            <w:tcMar>
              <w:top w:w="80" w:type="dxa"/>
              <w:left w:w="80" w:type="dxa"/>
              <w:bottom w:w="80" w:type="dxa"/>
              <w:right w:w="80" w:type="dxa"/>
            </w:tcMar>
            <w:vAlign w:val="center"/>
          </w:tcPr>
          <w:p w14:paraId="0D1116A7">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Risk-based duties, transparency, machine-readable marking and enforcement</w:t>
            </w:r>
          </w:p>
        </w:tc>
      </w:tr>
      <w:tr w14:paraId="2649148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19FA11BF">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C2PA Technical Specification 2.1</w:t>
            </w:r>
          </w:p>
        </w:tc>
        <w:tc>
          <w:tcPr>
            <w:tcW w:w="0" w:type="auto"/>
            <w:tcBorders>
              <w:top w:val="nil"/>
              <w:left w:val="nil"/>
              <w:bottom w:val="nil"/>
              <w:right w:val="nil"/>
            </w:tcBorders>
            <w:noWrap w:val="0"/>
            <w:tcMar>
              <w:top w:w="80" w:type="dxa"/>
              <w:left w:w="80" w:type="dxa"/>
              <w:bottom w:w="80" w:type="dxa"/>
              <w:right w:w="80" w:type="dxa"/>
            </w:tcMar>
            <w:vAlign w:val="center"/>
          </w:tcPr>
          <w:p w14:paraId="2DFB036B">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C2PA, 2024</w:t>
            </w:r>
          </w:p>
        </w:tc>
        <w:tc>
          <w:tcPr>
            <w:tcW w:w="1595" w:type="dxa"/>
            <w:tcBorders>
              <w:top w:val="nil"/>
              <w:left w:val="nil"/>
              <w:bottom w:val="nil"/>
              <w:right w:val="nil"/>
            </w:tcBorders>
            <w:noWrap w:val="0"/>
            <w:tcMar>
              <w:top w:w="80" w:type="dxa"/>
              <w:left w:w="80" w:type="dxa"/>
              <w:bottom w:w="80" w:type="dxa"/>
              <w:right w:w="80" w:type="dxa"/>
            </w:tcMar>
            <w:vAlign w:val="center"/>
          </w:tcPr>
          <w:p w14:paraId="1CF0B894">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Technical specification</w:t>
            </w:r>
          </w:p>
        </w:tc>
        <w:tc>
          <w:tcPr>
            <w:tcW w:w="3031" w:type="dxa"/>
            <w:tcBorders>
              <w:top w:val="nil"/>
              <w:left w:val="nil"/>
              <w:bottom w:val="nil"/>
              <w:right w:val="nil"/>
            </w:tcBorders>
            <w:noWrap w:val="0"/>
            <w:tcMar>
              <w:top w:w="80" w:type="dxa"/>
              <w:left w:w="80" w:type="dxa"/>
              <w:bottom w:w="80" w:type="dxa"/>
              <w:right w:w="80" w:type="dxa"/>
            </w:tcMar>
            <w:vAlign w:val="center"/>
          </w:tcPr>
          <w:p w14:paraId="665B91B4">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Credentials, manifests, signatures, edit history and validation</w:t>
            </w:r>
          </w:p>
        </w:tc>
      </w:tr>
      <w:tr w14:paraId="6BC861F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70102C5B">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NIST AI RMF 1.0</w:t>
            </w:r>
          </w:p>
        </w:tc>
        <w:tc>
          <w:tcPr>
            <w:tcW w:w="0" w:type="auto"/>
            <w:tcBorders>
              <w:top w:val="nil"/>
              <w:left w:val="nil"/>
              <w:bottom w:val="nil"/>
              <w:right w:val="nil"/>
            </w:tcBorders>
            <w:noWrap w:val="0"/>
            <w:tcMar>
              <w:top w:w="80" w:type="dxa"/>
              <w:left w:w="80" w:type="dxa"/>
              <w:bottom w:w="80" w:type="dxa"/>
              <w:right w:w="80" w:type="dxa"/>
            </w:tcMar>
            <w:vAlign w:val="center"/>
          </w:tcPr>
          <w:p w14:paraId="4338D5C2">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NIST, 2023</w:t>
            </w:r>
          </w:p>
        </w:tc>
        <w:tc>
          <w:tcPr>
            <w:tcW w:w="1595" w:type="dxa"/>
            <w:tcBorders>
              <w:top w:val="nil"/>
              <w:left w:val="nil"/>
              <w:bottom w:val="nil"/>
              <w:right w:val="nil"/>
            </w:tcBorders>
            <w:noWrap w:val="0"/>
            <w:tcMar>
              <w:top w:w="80" w:type="dxa"/>
              <w:left w:w="80" w:type="dxa"/>
              <w:bottom w:w="80" w:type="dxa"/>
              <w:right w:w="80" w:type="dxa"/>
            </w:tcMar>
            <w:vAlign w:val="center"/>
          </w:tcPr>
          <w:p w14:paraId="08127B01">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Voluntary risk framework</w:t>
            </w:r>
          </w:p>
        </w:tc>
        <w:tc>
          <w:tcPr>
            <w:tcW w:w="3031" w:type="dxa"/>
            <w:tcBorders>
              <w:top w:val="nil"/>
              <w:left w:val="nil"/>
              <w:bottom w:val="nil"/>
              <w:right w:val="nil"/>
            </w:tcBorders>
            <w:noWrap w:val="0"/>
            <w:tcMar>
              <w:top w:w="80" w:type="dxa"/>
              <w:left w:w="80" w:type="dxa"/>
              <w:bottom w:w="80" w:type="dxa"/>
              <w:right w:w="80" w:type="dxa"/>
            </w:tcMar>
            <w:vAlign w:val="center"/>
          </w:tcPr>
          <w:p w14:paraId="4B4406E8">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Govern, map, measure and manage functions</w:t>
            </w:r>
          </w:p>
        </w:tc>
      </w:tr>
      <w:tr w14:paraId="478186B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1EBBF4E3">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NIST Generative AI Profile</w:t>
            </w:r>
          </w:p>
        </w:tc>
        <w:tc>
          <w:tcPr>
            <w:tcW w:w="0" w:type="auto"/>
            <w:tcBorders>
              <w:top w:val="nil"/>
              <w:left w:val="nil"/>
              <w:bottom w:val="nil"/>
              <w:right w:val="nil"/>
            </w:tcBorders>
            <w:noWrap w:val="0"/>
            <w:tcMar>
              <w:top w:w="80" w:type="dxa"/>
              <w:left w:w="80" w:type="dxa"/>
              <w:bottom w:w="80" w:type="dxa"/>
              <w:right w:w="80" w:type="dxa"/>
            </w:tcMar>
            <w:vAlign w:val="center"/>
          </w:tcPr>
          <w:p w14:paraId="089F6714">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NIST, 2024</w:t>
            </w:r>
          </w:p>
        </w:tc>
        <w:tc>
          <w:tcPr>
            <w:tcW w:w="1595" w:type="dxa"/>
            <w:tcBorders>
              <w:top w:val="nil"/>
              <w:left w:val="nil"/>
              <w:bottom w:val="nil"/>
              <w:right w:val="nil"/>
            </w:tcBorders>
            <w:noWrap w:val="0"/>
            <w:tcMar>
              <w:top w:w="80" w:type="dxa"/>
              <w:left w:w="80" w:type="dxa"/>
              <w:bottom w:w="80" w:type="dxa"/>
              <w:right w:w="80" w:type="dxa"/>
            </w:tcMar>
            <w:vAlign w:val="center"/>
          </w:tcPr>
          <w:p w14:paraId="3781117F">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Risk-management profile</w:t>
            </w:r>
          </w:p>
        </w:tc>
        <w:tc>
          <w:tcPr>
            <w:tcW w:w="3031" w:type="dxa"/>
            <w:tcBorders>
              <w:top w:val="nil"/>
              <w:left w:val="nil"/>
              <w:bottom w:val="nil"/>
              <w:right w:val="nil"/>
            </w:tcBorders>
            <w:noWrap w:val="0"/>
            <w:tcMar>
              <w:top w:w="80" w:type="dxa"/>
              <w:left w:w="80" w:type="dxa"/>
              <w:bottom w:w="80" w:type="dxa"/>
              <w:right w:w="80" w:type="dxa"/>
            </w:tcMar>
            <w:vAlign w:val="center"/>
          </w:tcPr>
          <w:p w14:paraId="11642D7C">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Generative-AI risk actions, monitoring and documentation</w:t>
            </w:r>
          </w:p>
        </w:tc>
      </w:tr>
      <w:tr w14:paraId="004FF26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nil"/>
              <w:right w:val="nil"/>
            </w:tcBorders>
            <w:noWrap w:val="0"/>
            <w:tcMar>
              <w:top w:w="80" w:type="dxa"/>
              <w:left w:w="80" w:type="dxa"/>
              <w:bottom w:w="80" w:type="dxa"/>
              <w:right w:w="80" w:type="dxa"/>
            </w:tcMar>
            <w:vAlign w:val="center"/>
          </w:tcPr>
          <w:p w14:paraId="28B21D86">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ISO/IEC 42001</w:t>
            </w:r>
          </w:p>
        </w:tc>
        <w:tc>
          <w:tcPr>
            <w:tcW w:w="0" w:type="auto"/>
            <w:tcBorders>
              <w:top w:val="nil"/>
              <w:left w:val="nil"/>
              <w:bottom w:val="nil"/>
              <w:right w:val="nil"/>
            </w:tcBorders>
            <w:noWrap w:val="0"/>
            <w:tcMar>
              <w:top w:w="80" w:type="dxa"/>
              <w:left w:w="80" w:type="dxa"/>
              <w:bottom w:w="80" w:type="dxa"/>
              <w:right w:w="80" w:type="dxa"/>
            </w:tcMar>
            <w:vAlign w:val="center"/>
          </w:tcPr>
          <w:p w14:paraId="28F262E5">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ISO/IEC, 2023</w:t>
            </w:r>
          </w:p>
        </w:tc>
        <w:tc>
          <w:tcPr>
            <w:tcW w:w="1595" w:type="dxa"/>
            <w:tcBorders>
              <w:top w:val="nil"/>
              <w:left w:val="nil"/>
              <w:bottom w:val="nil"/>
              <w:right w:val="nil"/>
            </w:tcBorders>
            <w:noWrap w:val="0"/>
            <w:tcMar>
              <w:top w:w="80" w:type="dxa"/>
              <w:left w:w="80" w:type="dxa"/>
              <w:bottom w:w="80" w:type="dxa"/>
              <w:right w:w="80" w:type="dxa"/>
            </w:tcMar>
            <w:vAlign w:val="center"/>
          </w:tcPr>
          <w:p w14:paraId="059274F3">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Management-system standard</w:t>
            </w:r>
          </w:p>
        </w:tc>
        <w:tc>
          <w:tcPr>
            <w:tcW w:w="3031" w:type="dxa"/>
            <w:tcBorders>
              <w:top w:val="nil"/>
              <w:left w:val="nil"/>
              <w:bottom w:val="nil"/>
              <w:right w:val="nil"/>
            </w:tcBorders>
            <w:noWrap w:val="0"/>
            <w:tcMar>
              <w:top w:w="80" w:type="dxa"/>
              <w:left w:w="80" w:type="dxa"/>
              <w:bottom w:w="80" w:type="dxa"/>
              <w:right w:w="80" w:type="dxa"/>
            </w:tcMar>
            <w:vAlign w:val="center"/>
          </w:tcPr>
          <w:p w14:paraId="62945352">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Organisational roles, controls, monitoring and continual improvement</w:t>
            </w:r>
          </w:p>
        </w:tc>
      </w:tr>
      <w:tr w14:paraId="175B7AA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621" w:type="dxa"/>
            <w:tcBorders>
              <w:top w:val="nil"/>
              <w:left w:val="nil"/>
              <w:bottom w:val="single" w:color="auto" w:sz="12" w:space="0"/>
              <w:right w:val="nil"/>
            </w:tcBorders>
            <w:noWrap w:val="0"/>
            <w:tcMar>
              <w:top w:w="80" w:type="dxa"/>
              <w:left w:w="80" w:type="dxa"/>
              <w:bottom w:w="80" w:type="dxa"/>
              <w:right w:w="80" w:type="dxa"/>
            </w:tcMar>
            <w:vAlign w:val="center"/>
          </w:tcPr>
          <w:p w14:paraId="12025E8A">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ISO/IEC 23894</w:t>
            </w:r>
          </w:p>
        </w:tc>
        <w:tc>
          <w:tcPr>
            <w:tcW w:w="1825" w:type="dxa"/>
            <w:tcBorders>
              <w:top w:val="nil"/>
              <w:left w:val="nil"/>
              <w:bottom w:val="single" w:color="auto" w:sz="12" w:space="0"/>
              <w:right w:val="nil"/>
            </w:tcBorders>
            <w:noWrap w:val="0"/>
            <w:tcMar>
              <w:top w:w="80" w:type="dxa"/>
              <w:left w:w="80" w:type="dxa"/>
              <w:bottom w:w="80" w:type="dxa"/>
              <w:right w:w="80" w:type="dxa"/>
            </w:tcMar>
            <w:vAlign w:val="center"/>
          </w:tcPr>
          <w:p w14:paraId="4EE3E868">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ISO/IEC, 2023</w:t>
            </w:r>
          </w:p>
        </w:tc>
        <w:tc>
          <w:tcPr>
            <w:tcW w:w="1595" w:type="dxa"/>
            <w:tcBorders>
              <w:top w:val="nil"/>
              <w:left w:val="nil"/>
              <w:bottom w:val="single" w:color="auto" w:sz="12" w:space="0"/>
              <w:right w:val="nil"/>
            </w:tcBorders>
            <w:noWrap w:val="0"/>
            <w:tcMar>
              <w:top w:w="80" w:type="dxa"/>
              <w:left w:w="80" w:type="dxa"/>
              <w:bottom w:w="80" w:type="dxa"/>
              <w:right w:w="80" w:type="dxa"/>
            </w:tcMar>
            <w:vAlign w:val="center"/>
          </w:tcPr>
          <w:p w14:paraId="130A42AF">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Risk-management guidance</w:t>
            </w:r>
          </w:p>
        </w:tc>
        <w:tc>
          <w:tcPr>
            <w:tcW w:w="3031" w:type="dxa"/>
            <w:tcBorders>
              <w:top w:val="nil"/>
              <w:left w:val="nil"/>
              <w:bottom w:val="single" w:color="auto" w:sz="12" w:space="0"/>
              <w:right w:val="nil"/>
            </w:tcBorders>
            <w:noWrap w:val="0"/>
            <w:tcMar>
              <w:top w:w="80" w:type="dxa"/>
              <w:left w:w="80" w:type="dxa"/>
              <w:bottom w:w="80" w:type="dxa"/>
              <w:right w:w="80" w:type="dxa"/>
            </w:tcMar>
            <w:vAlign w:val="center"/>
          </w:tcPr>
          <w:p w14:paraId="688AE4B7">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Risk identification, assessment, treatment and communication</w:t>
            </w:r>
          </w:p>
        </w:tc>
      </w:tr>
    </w:tbl>
    <w:p w14:paraId="134D6B03">
      <w:pPr>
        <w:spacing w:after="0"/>
      </w:pPr>
    </w:p>
    <w:p w14:paraId="65BEBDDA">
      <w:pPr>
        <w:pStyle w:val="165"/>
        <w:keepNext/>
      </w:pPr>
      <w:r>
        <w:t>Supplementary Note: document retrieval and version control</w:t>
      </w:r>
    </w:p>
    <w:p w14:paraId="54D43B28">
      <w:pPr>
        <w:jc w:val="both"/>
      </w:pPr>
      <w:r>
        <w:rPr>
          <w:i w:val="0"/>
        </w:rPr>
        <w:t>The corpus was checked against the cited issuing organisations and the versions identified in the manuscript. Regulatory and policy instruments were treated as dated public documents; technical and management instruments were analysed using the edition or version shown in Table S1. Source titles and publication details were cross-checked on 21 July 2026. Where official English translations were unavailable or wording varied across sources, the English titles used in the manuscript serve as working translations for analytical consistency and do not supersede the original-language instruments.</w:t>
      </w:r>
    </w:p>
    <w:p w14:paraId="7E3056B8">
      <w:pPr>
        <w:pStyle w:val="165"/>
        <w:keepNext/>
      </w:pPr>
      <w:r>
        <w:t>Supplementary Note: coding protocol</w:t>
      </w:r>
    </w:p>
    <w:p w14:paraId="355CFF43">
      <w:pPr>
        <w:jc w:val="both"/>
      </w:pPr>
      <w:r>
        <w:rPr>
          <w:i w:val="0"/>
        </w:rPr>
        <w:t>Each instrument was read for functional statements rather than for doctrinal equivalence. A passage was coded only when it identified or implied: (a) an actor, (b) an information object or technical or organisational control, (c) an audience or decision point, and (d) a governance purpose. Coding memos recorded ambiguity, boundary cases and possible failure pathways.</w:t>
      </w:r>
    </w:p>
    <w:p w14:paraId="4F6B7388">
      <w:pPr>
        <w:pStyle w:val="168"/>
        <w:keepNext/>
        <w:jc w:val="center"/>
      </w:pPr>
      <w:r>
        <w:rPr>
          <w:b w:val="0"/>
        </w:rPr>
        <w:t>Table S2. Coding fields and decision rules</w:t>
      </w:r>
    </w:p>
    <w:tbl>
      <w:tblPr>
        <w:tblStyle w:val="33"/>
        <w:tblW w:w="907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003"/>
        <w:gridCol w:w="4406"/>
        <w:gridCol w:w="3663"/>
      </w:tblGrid>
      <w:tr w14:paraId="3364E5C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003"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3EE3D853">
            <w:pPr>
              <w:keepNext/>
              <w:snapToGrid w:val="0"/>
              <w:spacing w:before="0" w:after="0" w:line="240" w:lineRule="auto"/>
              <w:ind w:left="0" w:leftChars="0" w:right="0" w:rightChars="0" w:firstLine="0" w:firstLineChars="0"/>
              <w:jc w:val="center"/>
              <w:rPr>
                <w:rFonts w:ascii="Arial" w:eastAsia="Arial"/>
                <w:b/>
                <w:sz w:val="16"/>
              </w:rPr>
            </w:pPr>
            <w:r>
              <w:rPr>
                <w:rFonts w:ascii="Arial" w:hAnsi="Arial" w:eastAsia="Arial"/>
                <w:b/>
                <w:sz w:val="16"/>
              </w:rPr>
              <w:t>Field</w:t>
            </w:r>
          </w:p>
        </w:tc>
        <w:tc>
          <w:tcPr>
            <w:tcW w:w="4406"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72302030">
            <w:pPr>
              <w:keepNext/>
              <w:snapToGrid w:val="0"/>
              <w:spacing w:before="0" w:after="0" w:line="240" w:lineRule="auto"/>
              <w:ind w:left="0" w:leftChars="0" w:right="0" w:rightChars="0" w:firstLine="0" w:firstLineChars="0"/>
              <w:jc w:val="center"/>
              <w:rPr>
                <w:rFonts w:ascii="Arial" w:eastAsia="Arial"/>
                <w:b/>
                <w:sz w:val="16"/>
              </w:rPr>
            </w:pPr>
            <w:r>
              <w:rPr>
                <w:rFonts w:ascii="Arial" w:hAnsi="Arial" w:eastAsia="Arial"/>
                <w:b/>
                <w:sz w:val="16"/>
              </w:rPr>
              <w:t>Decision rule</w:t>
            </w:r>
          </w:p>
        </w:tc>
        <w:tc>
          <w:tcPr>
            <w:tcW w:w="3663"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220F8ED5">
            <w:pPr>
              <w:keepNext/>
              <w:snapToGrid w:val="0"/>
              <w:spacing w:before="0" w:after="0" w:line="240" w:lineRule="auto"/>
              <w:ind w:left="0" w:leftChars="0" w:right="0" w:rightChars="0" w:firstLine="0" w:firstLineChars="0"/>
              <w:jc w:val="center"/>
              <w:rPr>
                <w:rFonts w:ascii="Arial" w:eastAsia="Arial"/>
                <w:b/>
                <w:sz w:val="16"/>
              </w:rPr>
            </w:pPr>
            <w:r>
              <w:rPr>
                <w:rFonts w:ascii="Arial" w:hAnsi="Arial" w:eastAsia="Arial"/>
                <w:b/>
                <w:sz w:val="16"/>
              </w:rPr>
              <w:t>Example</w:t>
            </w:r>
          </w:p>
        </w:tc>
      </w:tr>
      <w:tr w14:paraId="3749BB1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03" w:type="dxa"/>
            <w:tcBorders>
              <w:top w:val="single" w:color="auto" w:sz="4" w:space="0"/>
              <w:left w:val="nil"/>
              <w:bottom w:val="nil"/>
              <w:right w:val="nil"/>
            </w:tcBorders>
            <w:noWrap w:val="0"/>
            <w:tcMar>
              <w:top w:w="80" w:type="dxa"/>
              <w:left w:w="80" w:type="dxa"/>
              <w:bottom w:w="80" w:type="dxa"/>
              <w:right w:w="80" w:type="dxa"/>
            </w:tcMar>
            <w:vAlign w:val="center"/>
          </w:tcPr>
          <w:p w14:paraId="77675147">
            <w:pPr>
              <w:keepLines/>
              <w:snapToGrid w:val="0"/>
              <w:spacing w:before="0" w:after="0" w:line="240" w:lineRule="auto"/>
              <w:ind w:left="0" w:leftChars="0" w:right="0" w:rightChars="0" w:firstLine="0" w:firstLineChars="0"/>
              <w:jc w:val="center"/>
              <w:rPr>
                <w:rFonts w:ascii="Arial" w:eastAsia="Arial"/>
                <w:sz w:val="16"/>
              </w:rPr>
            </w:pPr>
            <w:r>
              <w:rPr>
                <w:rFonts w:ascii="Arial" w:hAnsi="Arial" w:eastAsia="Arial"/>
                <w:sz w:val="16"/>
              </w:rPr>
              <w:t>Actor</w:t>
            </w:r>
          </w:p>
        </w:tc>
        <w:tc>
          <w:tcPr>
            <w:tcW w:w="4406" w:type="dxa"/>
            <w:tcBorders>
              <w:top w:val="single" w:color="auto" w:sz="4" w:space="0"/>
              <w:left w:val="nil"/>
              <w:bottom w:val="nil"/>
              <w:right w:val="nil"/>
            </w:tcBorders>
            <w:noWrap w:val="0"/>
            <w:tcMar>
              <w:top w:w="80" w:type="dxa"/>
              <w:left w:w="80" w:type="dxa"/>
              <w:bottom w:w="80" w:type="dxa"/>
              <w:right w:w="80" w:type="dxa"/>
            </w:tcMar>
            <w:vAlign w:val="center"/>
          </w:tcPr>
          <w:p w14:paraId="1D4F3A04">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Identify the organisation or person expected to act or provide evidence</w:t>
            </w:r>
          </w:p>
        </w:tc>
        <w:tc>
          <w:tcPr>
            <w:tcW w:w="3663" w:type="dxa"/>
            <w:tcBorders>
              <w:top w:val="single" w:color="auto" w:sz="4" w:space="0"/>
              <w:left w:val="nil"/>
              <w:bottom w:val="nil"/>
              <w:right w:val="nil"/>
            </w:tcBorders>
            <w:noWrap w:val="0"/>
            <w:tcMar>
              <w:top w:w="80" w:type="dxa"/>
              <w:left w:w="80" w:type="dxa"/>
              <w:bottom w:w="80" w:type="dxa"/>
              <w:right w:w="80" w:type="dxa"/>
            </w:tcMar>
            <w:vAlign w:val="center"/>
          </w:tcPr>
          <w:p w14:paraId="20F57A75">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Model provider, publisher, platform, verifier, regulator</w:t>
            </w:r>
          </w:p>
        </w:tc>
      </w:tr>
      <w:tr w14:paraId="75CA495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03" w:type="dxa"/>
            <w:tcBorders>
              <w:top w:val="nil"/>
              <w:left w:val="nil"/>
              <w:bottom w:val="nil"/>
              <w:right w:val="nil"/>
            </w:tcBorders>
            <w:noWrap w:val="0"/>
            <w:tcMar>
              <w:top w:w="80" w:type="dxa"/>
              <w:left w:w="80" w:type="dxa"/>
              <w:bottom w:w="80" w:type="dxa"/>
              <w:right w:w="80" w:type="dxa"/>
            </w:tcMar>
            <w:vAlign w:val="center"/>
          </w:tcPr>
          <w:p w14:paraId="3FA1D910">
            <w:pPr>
              <w:keepLines/>
              <w:snapToGrid w:val="0"/>
              <w:spacing w:before="0" w:after="0" w:line="240" w:lineRule="auto"/>
              <w:ind w:left="0" w:leftChars="0" w:right="0" w:rightChars="0" w:firstLine="0" w:firstLineChars="0"/>
              <w:jc w:val="center"/>
              <w:rPr>
                <w:rFonts w:ascii="Arial" w:eastAsia="Arial"/>
                <w:sz w:val="16"/>
              </w:rPr>
            </w:pPr>
            <w:r>
              <w:rPr>
                <w:rFonts w:ascii="Arial" w:hAnsi="Arial" w:eastAsia="Arial"/>
                <w:sz w:val="16"/>
              </w:rPr>
              <w:t>Object</w:t>
            </w:r>
          </w:p>
        </w:tc>
        <w:tc>
          <w:tcPr>
            <w:tcW w:w="4406" w:type="dxa"/>
            <w:tcBorders>
              <w:top w:val="nil"/>
              <w:left w:val="nil"/>
              <w:bottom w:val="nil"/>
              <w:right w:val="nil"/>
            </w:tcBorders>
            <w:noWrap w:val="0"/>
            <w:tcMar>
              <w:top w:w="80" w:type="dxa"/>
              <w:left w:w="80" w:type="dxa"/>
              <w:bottom w:w="80" w:type="dxa"/>
              <w:right w:w="80" w:type="dxa"/>
            </w:tcMar>
            <w:vAlign w:val="center"/>
          </w:tcPr>
          <w:p w14:paraId="647D3564">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Identify the thing made visible or retained</w:t>
            </w:r>
          </w:p>
        </w:tc>
        <w:tc>
          <w:tcPr>
            <w:tcW w:w="3663" w:type="dxa"/>
            <w:tcBorders>
              <w:top w:val="nil"/>
              <w:left w:val="nil"/>
              <w:bottom w:val="nil"/>
              <w:right w:val="nil"/>
            </w:tcBorders>
            <w:noWrap w:val="0"/>
            <w:tcMar>
              <w:top w:w="80" w:type="dxa"/>
              <w:left w:w="80" w:type="dxa"/>
              <w:bottom w:w="80" w:type="dxa"/>
              <w:right w:w="80" w:type="dxa"/>
            </w:tcMar>
            <w:vAlign w:val="center"/>
          </w:tcPr>
          <w:p w14:paraId="5189DCAE">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Label, content ID, credential, transformation record, appeal file</w:t>
            </w:r>
          </w:p>
        </w:tc>
      </w:tr>
      <w:tr w14:paraId="0ADAEEB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03" w:type="dxa"/>
            <w:tcBorders>
              <w:top w:val="nil"/>
              <w:left w:val="nil"/>
              <w:bottom w:val="nil"/>
              <w:right w:val="nil"/>
            </w:tcBorders>
            <w:noWrap w:val="0"/>
            <w:tcMar>
              <w:top w:w="80" w:type="dxa"/>
              <w:left w:w="80" w:type="dxa"/>
              <w:bottom w:w="80" w:type="dxa"/>
              <w:right w:w="80" w:type="dxa"/>
            </w:tcMar>
            <w:vAlign w:val="center"/>
          </w:tcPr>
          <w:p w14:paraId="2A1144BC">
            <w:pPr>
              <w:keepLines/>
              <w:snapToGrid w:val="0"/>
              <w:spacing w:before="0" w:after="0" w:line="240" w:lineRule="auto"/>
              <w:ind w:left="0" w:leftChars="0" w:right="0" w:rightChars="0" w:firstLine="0" w:firstLineChars="0"/>
              <w:jc w:val="center"/>
              <w:rPr>
                <w:rFonts w:ascii="Arial" w:eastAsia="Arial"/>
                <w:sz w:val="16"/>
              </w:rPr>
            </w:pPr>
            <w:r>
              <w:rPr>
                <w:rFonts w:ascii="Arial" w:hAnsi="Arial" w:eastAsia="Arial"/>
                <w:sz w:val="16"/>
              </w:rPr>
              <w:t>Audience</w:t>
            </w:r>
          </w:p>
        </w:tc>
        <w:tc>
          <w:tcPr>
            <w:tcW w:w="4406" w:type="dxa"/>
            <w:tcBorders>
              <w:top w:val="nil"/>
              <w:left w:val="nil"/>
              <w:bottom w:val="nil"/>
              <w:right w:val="nil"/>
            </w:tcBorders>
            <w:noWrap w:val="0"/>
            <w:tcMar>
              <w:top w:w="80" w:type="dxa"/>
              <w:left w:w="80" w:type="dxa"/>
              <w:bottom w:w="80" w:type="dxa"/>
              <w:right w:w="80" w:type="dxa"/>
            </w:tcMar>
            <w:vAlign w:val="center"/>
          </w:tcPr>
          <w:p w14:paraId="440FBAA0">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Identify the primary user of the information</w:t>
            </w:r>
          </w:p>
        </w:tc>
        <w:tc>
          <w:tcPr>
            <w:tcW w:w="3663" w:type="dxa"/>
            <w:tcBorders>
              <w:top w:val="nil"/>
              <w:left w:val="nil"/>
              <w:bottom w:val="nil"/>
              <w:right w:val="nil"/>
            </w:tcBorders>
            <w:noWrap w:val="0"/>
            <w:tcMar>
              <w:top w:w="80" w:type="dxa"/>
              <w:left w:w="80" w:type="dxa"/>
              <w:bottom w:w="80" w:type="dxa"/>
              <w:right w:w="80" w:type="dxa"/>
            </w:tcMar>
            <w:vAlign w:val="center"/>
          </w:tcPr>
          <w:p w14:paraId="2CFF01BE">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Citizen, automated system, moderator, auditor, court</w:t>
            </w:r>
          </w:p>
        </w:tc>
      </w:tr>
      <w:tr w14:paraId="6E92226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03" w:type="dxa"/>
            <w:tcBorders>
              <w:top w:val="nil"/>
              <w:left w:val="nil"/>
              <w:bottom w:val="nil"/>
              <w:right w:val="nil"/>
            </w:tcBorders>
            <w:noWrap w:val="0"/>
            <w:tcMar>
              <w:top w:w="80" w:type="dxa"/>
              <w:left w:w="80" w:type="dxa"/>
              <w:bottom w:w="80" w:type="dxa"/>
              <w:right w:w="80" w:type="dxa"/>
            </w:tcMar>
            <w:vAlign w:val="center"/>
          </w:tcPr>
          <w:p w14:paraId="757B7DE5">
            <w:pPr>
              <w:keepLines/>
              <w:snapToGrid w:val="0"/>
              <w:spacing w:before="0" w:after="0" w:line="240" w:lineRule="auto"/>
              <w:ind w:left="0" w:leftChars="0" w:right="0" w:rightChars="0" w:firstLine="0" w:firstLineChars="0"/>
              <w:jc w:val="center"/>
              <w:rPr>
                <w:rFonts w:ascii="Arial" w:eastAsia="Arial"/>
                <w:sz w:val="16"/>
              </w:rPr>
            </w:pPr>
            <w:r>
              <w:rPr>
                <w:rFonts w:ascii="Arial" w:hAnsi="Arial" w:eastAsia="Arial"/>
                <w:sz w:val="16"/>
              </w:rPr>
              <w:t>Control point</w:t>
            </w:r>
          </w:p>
        </w:tc>
        <w:tc>
          <w:tcPr>
            <w:tcW w:w="4406" w:type="dxa"/>
            <w:tcBorders>
              <w:top w:val="nil"/>
              <w:left w:val="nil"/>
              <w:bottom w:val="nil"/>
              <w:right w:val="nil"/>
            </w:tcBorders>
            <w:noWrap w:val="0"/>
            <w:tcMar>
              <w:top w:w="80" w:type="dxa"/>
              <w:left w:w="80" w:type="dxa"/>
              <w:bottom w:w="80" w:type="dxa"/>
              <w:right w:w="80" w:type="dxa"/>
            </w:tcMar>
            <w:vAlign w:val="center"/>
          </w:tcPr>
          <w:p w14:paraId="3E2C3CFA">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Identify the lifecycle stage at which the function operates</w:t>
            </w:r>
          </w:p>
        </w:tc>
        <w:tc>
          <w:tcPr>
            <w:tcW w:w="3663" w:type="dxa"/>
            <w:tcBorders>
              <w:top w:val="nil"/>
              <w:left w:val="nil"/>
              <w:bottom w:val="nil"/>
              <w:right w:val="nil"/>
            </w:tcBorders>
            <w:noWrap w:val="0"/>
            <w:tcMar>
              <w:top w:w="80" w:type="dxa"/>
              <w:left w:w="80" w:type="dxa"/>
              <w:bottom w:w="80" w:type="dxa"/>
              <w:right w:w="80" w:type="dxa"/>
            </w:tcMar>
            <w:vAlign w:val="center"/>
          </w:tcPr>
          <w:p w14:paraId="26DE34D4">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Generation, publication, distribution, review, regulation</w:t>
            </w:r>
          </w:p>
        </w:tc>
      </w:tr>
      <w:tr w14:paraId="7F9CA92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03" w:type="dxa"/>
            <w:tcBorders>
              <w:top w:val="nil"/>
              <w:left w:val="nil"/>
              <w:bottom w:val="nil"/>
              <w:right w:val="nil"/>
            </w:tcBorders>
            <w:noWrap w:val="0"/>
            <w:tcMar>
              <w:top w:w="80" w:type="dxa"/>
              <w:left w:w="80" w:type="dxa"/>
              <w:bottom w:w="80" w:type="dxa"/>
              <w:right w:w="80" w:type="dxa"/>
            </w:tcMar>
            <w:vAlign w:val="center"/>
          </w:tcPr>
          <w:p w14:paraId="3ECCDE20">
            <w:pPr>
              <w:keepLines/>
              <w:snapToGrid w:val="0"/>
              <w:spacing w:before="0" w:after="0" w:line="240" w:lineRule="auto"/>
              <w:ind w:left="0" w:leftChars="0" w:right="0" w:rightChars="0" w:firstLine="0" w:firstLineChars="0"/>
              <w:jc w:val="center"/>
              <w:rPr>
                <w:rFonts w:ascii="Arial" w:eastAsia="Arial"/>
                <w:sz w:val="16"/>
              </w:rPr>
            </w:pPr>
            <w:r>
              <w:rPr>
                <w:rFonts w:ascii="Arial" w:hAnsi="Arial" w:eastAsia="Arial"/>
                <w:sz w:val="16"/>
              </w:rPr>
              <w:t>Purpose</w:t>
            </w:r>
          </w:p>
        </w:tc>
        <w:tc>
          <w:tcPr>
            <w:tcW w:w="4406" w:type="dxa"/>
            <w:tcBorders>
              <w:top w:val="nil"/>
              <w:left w:val="nil"/>
              <w:bottom w:val="nil"/>
              <w:right w:val="nil"/>
            </w:tcBorders>
            <w:noWrap w:val="0"/>
            <w:tcMar>
              <w:top w:w="80" w:type="dxa"/>
              <w:left w:w="80" w:type="dxa"/>
              <w:bottom w:w="80" w:type="dxa"/>
              <w:right w:w="80" w:type="dxa"/>
            </w:tcMar>
            <w:vAlign w:val="center"/>
          </w:tcPr>
          <w:p w14:paraId="67A40331">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Identify the intended governance outcome</w:t>
            </w:r>
          </w:p>
        </w:tc>
        <w:tc>
          <w:tcPr>
            <w:tcW w:w="3663" w:type="dxa"/>
            <w:tcBorders>
              <w:top w:val="nil"/>
              <w:left w:val="nil"/>
              <w:bottom w:val="nil"/>
              <w:right w:val="nil"/>
            </w:tcBorders>
            <w:noWrap w:val="0"/>
            <w:tcMar>
              <w:top w:w="80" w:type="dxa"/>
              <w:left w:w="80" w:type="dxa"/>
              <w:bottom w:w="80" w:type="dxa"/>
              <w:right w:w="80" w:type="dxa"/>
            </w:tcMar>
            <w:vAlign w:val="center"/>
          </w:tcPr>
          <w:p w14:paraId="656A97A9">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Recognition, verification, escalation, remedy, attribution</w:t>
            </w:r>
          </w:p>
        </w:tc>
      </w:tr>
      <w:tr w14:paraId="714FF35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03" w:type="dxa"/>
            <w:tcBorders>
              <w:top w:val="nil"/>
              <w:left w:val="nil"/>
              <w:bottom w:val="single" w:color="auto" w:sz="12" w:space="0"/>
              <w:right w:val="nil"/>
            </w:tcBorders>
            <w:noWrap w:val="0"/>
            <w:tcMar>
              <w:top w:w="80" w:type="dxa"/>
              <w:left w:w="80" w:type="dxa"/>
              <w:bottom w:w="80" w:type="dxa"/>
              <w:right w:w="80" w:type="dxa"/>
            </w:tcMar>
            <w:vAlign w:val="center"/>
          </w:tcPr>
          <w:p w14:paraId="4136F67A">
            <w:pPr>
              <w:keepLines/>
              <w:snapToGrid w:val="0"/>
              <w:spacing w:before="0" w:after="0" w:line="240" w:lineRule="auto"/>
              <w:ind w:left="0" w:leftChars="0" w:right="0" w:rightChars="0" w:firstLine="0" w:firstLineChars="0"/>
              <w:jc w:val="center"/>
              <w:rPr>
                <w:rFonts w:ascii="Arial" w:eastAsia="Arial"/>
                <w:sz w:val="16"/>
              </w:rPr>
            </w:pPr>
            <w:r>
              <w:rPr>
                <w:rFonts w:ascii="Arial" w:hAnsi="Arial" w:eastAsia="Arial"/>
                <w:sz w:val="16"/>
              </w:rPr>
              <w:t>Failure mode</w:t>
            </w:r>
          </w:p>
        </w:tc>
        <w:tc>
          <w:tcPr>
            <w:tcW w:w="4406" w:type="dxa"/>
            <w:tcBorders>
              <w:top w:val="nil"/>
              <w:left w:val="nil"/>
              <w:bottom w:val="single" w:color="auto" w:sz="12" w:space="0"/>
              <w:right w:val="nil"/>
            </w:tcBorders>
            <w:noWrap w:val="0"/>
            <w:tcMar>
              <w:top w:w="80" w:type="dxa"/>
              <w:left w:w="80" w:type="dxa"/>
              <w:bottom w:w="80" w:type="dxa"/>
              <w:right w:w="80" w:type="dxa"/>
            </w:tcMar>
            <w:vAlign w:val="center"/>
          </w:tcPr>
          <w:p w14:paraId="2E07E41C">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Record how the function can be lost, misinterpreted or detached from consequences</w:t>
            </w:r>
          </w:p>
        </w:tc>
        <w:tc>
          <w:tcPr>
            <w:tcW w:w="3663" w:type="dxa"/>
            <w:tcBorders>
              <w:top w:val="nil"/>
              <w:left w:val="nil"/>
              <w:bottom w:val="single" w:color="auto" w:sz="12" w:space="0"/>
              <w:right w:val="nil"/>
            </w:tcBorders>
            <w:noWrap w:val="0"/>
            <w:tcMar>
              <w:top w:w="80" w:type="dxa"/>
              <w:left w:w="80" w:type="dxa"/>
              <w:bottom w:w="80" w:type="dxa"/>
              <w:right w:w="80" w:type="dxa"/>
            </w:tcMar>
            <w:vAlign w:val="center"/>
          </w:tcPr>
          <w:p w14:paraId="2A8C946F">
            <w:pPr>
              <w:keepLines/>
              <w:snapToGrid w:val="0"/>
              <w:spacing w:before="0" w:after="0" w:line="240" w:lineRule="auto"/>
              <w:ind w:left="0" w:leftChars="0" w:right="0" w:rightChars="0" w:firstLine="0" w:firstLineChars="0"/>
              <w:jc w:val="left"/>
              <w:rPr>
                <w:rFonts w:ascii="Arial" w:eastAsia="Arial"/>
                <w:sz w:val="16"/>
              </w:rPr>
            </w:pPr>
            <w:r>
              <w:rPr>
                <w:rFonts w:ascii="Arial" w:hAnsi="Arial" w:eastAsia="Arial"/>
                <w:sz w:val="16"/>
              </w:rPr>
              <w:t>Metadata stripping, ambiguous label, inaccessible log, weak authority</w:t>
            </w:r>
          </w:p>
        </w:tc>
      </w:tr>
    </w:tbl>
    <w:p w14:paraId="3E2E4B2C">
      <w:pPr>
        <w:spacing w:after="0"/>
      </w:pPr>
    </w:p>
    <w:p w14:paraId="40F3986B">
      <w:pPr>
        <w:pStyle w:val="165"/>
        <w:keepNext/>
      </w:pPr>
      <w:r>
        <w:t>Supplementary Note: claim-to-evidence traceability</w:t>
      </w:r>
    </w:p>
    <w:p w14:paraId="72D536CB">
      <w:pPr>
        <w:pStyle w:val="168"/>
        <w:keepNext/>
      </w:pPr>
      <w:r>
        <w:rPr>
          <w:b w:val="0"/>
        </w:rPr>
        <w:t>Table S3. Traceability matrix for principal claims</w:t>
      </w:r>
    </w:p>
    <w:tbl>
      <w:tblPr>
        <w:tblStyle w:val="33"/>
        <w:tblW w:w="907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552"/>
        <w:gridCol w:w="2509"/>
        <w:gridCol w:w="4011"/>
      </w:tblGrid>
      <w:tr w14:paraId="706CA3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3A0151D5">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Principal claim</w:t>
            </w:r>
          </w:p>
        </w:tc>
        <w:tc>
          <w:tcPr>
            <w:tcW w:w="2509"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294CE463">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Instrumental basis</w:t>
            </w:r>
          </w:p>
        </w:tc>
        <w:tc>
          <w:tcPr>
            <w:tcW w:w="4011"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681C3FAC">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Analytical inference</w:t>
            </w:r>
          </w:p>
        </w:tc>
      </w:tr>
      <w:tr w14:paraId="795616A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80" w:type="dxa"/>
              <w:left w:w="80" w:type="dxa"/>
              <w:bottom w:w="80" w:type="dxa"/>
              <w:right w:w="80" w:type="dxa"/>
            </w:tcMar>
            <w:vAlign w:val="center"/>
          </w:tcPr>
          <w:p w14:paraId="699C3289">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Visible and machine-readable labels are complementary</w:t>
            </w:r>
          </w:p>
        </w:tc>
        <w:tc>
          <w:tcPr>
            <w:tcW w:w="2509" w:type="dxa"/>
            <w:tcBorders>
              <w:top w:val="single" w:color="auto" w:sz="4" w:space="0"/>
              <w:left w:val="nil"/>
              <w:bottom w:val="nil"/>
              <w:right w:val="nil"/>
            </w:tcBorders>
            <w:noWrap w:val="0"/>
            <w:tcMar>
              <w:top w:w="80" w:type="dxa"/>
              <w:left w:w="80" w:type="dxa"/>
              <w:bottom w:w="80" w:type="dxa"/>
              <w:right w:w="80" w:type="dxa"/>
            </w:tcMar>
            <w:vAlign w:val="center"/>
          </w:tcPr>
          <w:p w14:paraId="56E644DB">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Chinese labelling measures and GB 45438-2025; EU AI Act</w:t>
            </w:r>
          </w:p>
        </w:tc>
        <w:tc>
          <w:tcPr>
            <w:tcW w:w="4011" w:type="dxa"/>
            <w:tcBorders>
              <w:top w:val="single" w:color="auto" w:sz="4" w:space="0"/>
              <w:left w:val="nil"/>
              <w:bottom w:val="nil"/>
              <w:right w:val="nil"/>
            </w:tcBorders>
            <w:noWrap w:val="0"/>
            <w:tcMar>
              <w:top w:w="80" w:type="dxa"/>
              <w:left w:w="80" w:type="dxa"/>
              <w:bottom w:w="80" w:type="dxa"/>
              <w:right w:w="80" w:type="dxa"/>
            </w:tcMar>
            <w:vAlign w:val="center"/>
          </w:tcPr>
          <w:p w14:paraId="06D424D7">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Human recognition and machine verification address different audiences and failure modes</w:t>
            </w:r>
          </w:p>
        </w:tc>
      </w:tr>
      <w:tr w14:paraId="2D534CA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80" w:type="dxa"/>
              <w:left w:w="80" w:type="dxa"/>
              <w:bottom w:w="80" w:type="dxa"/>
              <w:right w:w="80" w:type="dxa"/>
            </w:tcMar>
            <w:vAlign w:val="center"/>
          </w:tcPr>
          <w:p w14:paraId="38B010F4">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Provenance continuity is a cross-platform problem</w:t>
            </w:r>
          </w:p>
        </w:tc>
        <w:tc>
          <w:tcPr>
            <w:tcW w:w="2509" w:type="dxa"/>
            <w:tcBorders>
              <w:top w:val="nil"/>
              <w:left w:val="nil"/>
              <w:bottom w:val="nil"/>
              <w:right w:val="nil"/>
            </w:tcBorders>
            <w:noWrap w:val="0"/>
            <w:tcMar>
              <w:top w:w="80" w:type="dxa"/>
              <w:left w:w="80" w:type="dxa"/>
              <w:bottom w:w="80" w:type="dxa"/>
              <w:right w:w="80" w:type="dxa"/>
            </w:tcMar>
            <w:vAlign w:val="center"/>
          </w:tcPr>
          <w:p w14:paraId="2A5547E1">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C2PA; Chinese standard; platform-governance duties</w:t>
            </w:r>
          </w:p>
        </w:tc>
        <w:tc>
          <w:tcPr>
            <w:tcW w:w="4011" w:type="dxa"/>
            <w:tcBorders>
              <w:top w:val="nil"/>
              <w:left w:val="nil"/>
              <w:bottom w:val="nil"/>
              <w:right w:val="nil"/>
            </w:tcBorders>
            <w:noWrap w:val="0"/>
            <w:tcMar>
              <w:top w:w="80" w:type="dxa"/>
              <w:left w:w="80" w:type="dxa"/>
              <w:bottom w:w="80" w:type="dxa"/>
              <w:right w:w="80" w:type="dxa"/>
            </w:tcMar>
            <w:vAlign w:val="center"/>
          </w:tcPr>
          <w:p w14:paraId="24482D6C">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Credentials and metadata depend on preservation, mapping and verification across transformations</w:t>
            </w:r>
          </w:p>
        </w:tc>
      </w:tr>
      <w:tr w14:paraId="04F196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80" w:type="dxa"/>
              <w:left w:w="80" w:type="dxa"/>
              <w:bottom w:w="80" w:type="dxa"/>
              <w:right w:w="80" w:type="dxa"/>
            </w:tcMar>
            <w:vAlign w:val="center"/>
          </w:tcPr>
          <w:p w14:paraId="39751A41">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Accountability requires organisational records and access</w:t>
            </w:r>
          </w:p>
        </w:tc>
        <w:tc>
          <w:tcPr>
            <w:tcW w:w="2509" w:type="dxa"/>
            <w:tcBorders>
              <w:top w:val="nil"/>
              <w:left w:val="nil"/>
              <w:bottom w:val="nil"/>
              <w:right w:val="nil"/>
            </w:tcBorders>
            <w:noWrap w:val="0"/>
            <w:tcMar>
              <w:top w:w="80" w:type="dxa"/>
              <w:left w:w="80" w:type="dxa"/>
              <w:bottom w:w="80" w:type="dxa"/>
              <w:right w:w="80" w:type="dxa"/>
            </w:tcMar>
            <w:vAlign w:val="center"/>
          </w:tcPr>
          <w:p w14:paraId="16B6DE7C">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NIST AI RMF; ISO/IEC 42001; EU AI Act</w:t>
            </w:r>
          </w:p>
        </w:tc>
        <w:tc>
          <w:tcPr>
            <w:tcW w:w="4011" w:type="dxa"/>
            <w:tcBorders>
              <w:top w:val="nil"/>
              <w:left w:val="nil"/>
              <w:bottom w:val="nil"/>
              <w:right w:val="nil"/>
            </w:tcBorders>
            <w:noWrap w:val="0"/>
            <w:tcMar>
              <w:top w:w="80" w:type="dxa"/>
              <w:left w:w="80" w:type="dxa"/>
              <w:bottom w:w="80" w:type="dxa"/>
              <w:right w:w="80" w:type="dxa"/>
            </w:tcMar>
            <w:vAlign w:val="center"/>
          </w:tcPr>
          <w:p w14:paraId="49EDF6FA">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Evidence creates answerability only when roles, access and review authority are specified</w:t>
            </w:r>
          </w:p>
        </w:tc>
      </w:tr>
      <w:tr w14:paraId="6630548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80" w:type="dxa"/>
              <w:left w:w="80" w:type="dxa"/>
              <w:bottom w:w="80" w:type="dxa"/>
              <w:right w:w="80" w:type="dxa"/>
            </w:tcMar>
            <w:vAlign w:val="center"/>
          </w:tcPr>
          <w:p w14:paraId="4D72BA08">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Risk differentiation should govern control intensity</w:t>
            </w:r>
          </w:p>
        </w:tc>
        <w:tc>
          <w:tcPr>
            <w:tcW w:w="2509" w:type="dxa"/>
            <w:tcBorders>
              <w:top w:val="nil"/>
              <w:left w:val="nil"/>
              <w:bottom w:val="nil"/>
              <w:right w:val="nil"/>
            </w:tcBorders>
            <w:noWrap w:val="0"/>
            <w:tcMar>
              <w:top w:w="80" w:type="dxa"/>
              <w:left w:w="80" w:type="dxa"/>
              <w:bottom w:w="80" w:type="dxa"/>
              <w:right w:w="80" w:type="dxa"/>
            </w:tcMar>
            <w:vAlign w:val="center"/>
          </w:tcPr>
          <w:p w14:paraId="36B39850">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EU AI Act; NIST profiles; Chinese scenario duties</w:t>
            </w:r>
          </w:p>
        </w:tc>
        <w:tc>
          <w:tcPr>
            <w:tcW w:w="4011" w:type="dxa"/>
            <w:tcBorders>
              <w:top w:val="nil"/>
              <w:left w:val="nil"/>
              <w:bottom w:val="nil"/>
              <w:right w:val="nil"/>
            </w:tcBorders>
            <w:noWrap w:val="0"/>
            <w:tcMar>
              <w:top w:w="80" w:type="dxa"/>
              <w:left w:w="80" w:type="dxa"/>
              <w:bottom w:w="80" w:type="dxa"/>
              <w:right w:w="80" w:type="dxa"/>
            </w:tcMar>
            <w:vAlign w:val="center"/>
          </w:tcPr>
          <w:p w14:paraId="5DAD936C">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Uniform labelling cannot reflect variation in public consequences and administrative authority</w:t>
            </w:r>
          </w:p>
        </w:tc>
      </w:tr>
      <w:tr w14:paraId="3C7BC28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80" w:type="dxa"/>
              <w:left w:w="80" w:type="dxa"/>
              <w:bottom w:w="80" w:type="dxa"/>
              <w:right w:w="80" w:type="dxa"/>
            </w:tcMar>
            <w:vAlign w:val="center"/>
          </w:tcPr>
          <w:p w14:paraId="46C6C4A3">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Feedback is necessary for adaptive governance</w:t>
            </w:r>
          </w:p>
        </w:tc>
        <w:tc>
          <w:tcPr>
            <w:tcW w:w="2509" w:type="dxa"/>
            <w:tcBorders>
              <w:top w:val="nil"/>
              <w:left w:val="nil"/>
              <w:bottom w:val="nil"/>
              <w:right w:val="nil"/>
            </w:tcBorders>
            <w:noWrap w:val="0"/>
            <w:tcMar>
              <w:top w:w="80" w:type="dxa"/>
              <w:left w:w="80" w:type="dxa"/>
              <w:bottom w:w="80" w:type="dxa"/>
              <w:right w:w="80" w:type="dxa"/>
            </w:tcMar>
            <w:vAlign w:val="center"/>
          </w:tcPr>
          <w:p w14:paraId="733E02AA">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NIST AI RMF; ISO management-system logic</w:t>
            </w:r>
          </w:p>
        </w:tc>
        <w:tc>
          <w:tcPr>
            <w:tcW w:w="4011" w:type="dxa"/>
            <w:tcBorders>
              <w:top w:val="nil"/>
              <w:left w:val="nil"/>
              <w:bottom w:val="nil"/>
              <w:right w:val="nil"/>
            </w:tcBorders>
            <w:noWrap w:val="0"/>
            <w:tcMar>
              <w:top w:w="80" w:type="dxa"/>
              <w:left w:w="80" w:type="dxa"/>
              <w:bottom w:w="80" w:type="dxa"/>
              <w:right w:w="80" w:type="dxa"/>
            </w:tcMar>
            <w:vAlign w:val="center"/>
          </w:tcPr>
          <w:p w14:paraId="3D7D611E">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Incidents, appeals and audits must revise controls rather than remain isolated compliance events</w:t>
            </w:r>
          </w:p>
        </w:tc>
      </w:tr>
      <w:tr w14:paraId="1CC16D6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552" w:type="dxa"/>
            <w:tcBorders>
              <w:top w:val="nil"/>
              <w:left w:val="nil"/>
              <w:bottom w:val="single" w:color="auto" w:sz="12" w:space="0"/>
              <w:right w:val="nil"/>
            </w:tcBorders>
            <w:noWrap w:val="0"/>
            <w:tcMar>
              <w:top w:w="80" w:type="dxa"/>
              <w:left w:w="80" w:type="dxa"/>
              <w:bottom w:w="80" w:type="dxa"/>
              <w:right w:w="80" w:type="dxa"/>
            </w:tcMar>
            <w:vAlign w:val="center"/>
          </w:tcPr>
          <w:p w14:paraId="5E497796">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No single governance logic is sufficient</w:t>
            </w:r>
          </w:p>
        </w:tc>
        <w:tc>
          <w:tcPr>
            <w:tcW w:w="2509" w:type="dxa"/>
            <w:tcBorders>
              <w:top w:val="nil"/>
              <w:left w:val="nil"/>
              <w:bottom w:val="single" w:color="auto" w:sz="12" w:space="0"/>
              <w:right w:val="nil"/>
            </w:tcBorders>
            <w:noWrap w:val="0"/>
            <w:tcMar>
              <w:top w:w="80" w:type="dxa"/>
              <w:left w:w="80" w:type="dxa"/>
              <w:bottom w:w="80" w:type="dxa"/>
              <w:right w:w="80" w:type="dxa"/>
            </w:tcMar>
            <w:vAlign w:val="center"/>
          </w:tcPr>
          <w:p w14:paraId="20F934B6">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Comparison across all four material groups</w:t>
            </w:r>
          </w:p>
        </w:tc>
        <w:tc>
          <w:tcPr>
            <w:tcW w:w="4011" w:type="dxa"/>
            <w:tcBorders>
              <w:top w:val="nil"/>
              <w:left w:val="nil"/>
              <w:bottom w:val="single" w:color="auto" w:sz="12" w:space="0"/>
              <w:right w:val="nil"/>
            </w:tcBorders>
            <w:noWrap w:val="0"/>
            <w:tcMar>
              <w:top w:w="80" w:type="dxa"/>
              <w:left w:w="80" w:type="dxa"/>
              <w:bottom w:w="80" w:type="dxa"/>
              <w:right w:w="80" w:type="dxa"/>
            </w:tcMar>
            <w:vAlign w:val="center"/>
          </w:tcPr>
          <w:p w14:paraId="00A06C9D">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Rules, technical standards, risk frameworks and management systems supply complementary capabilities</w:t>
            </w:r>
          </w:p>
        </w:tc>
      </w:tr>
    </w:tbl>
    <w:p w14:paraId="702A7213">
      <w:pPr>
        <w:spacing w:after="0"/>
      </w:pPr>
    </w:p>
    <w:p w14:paraId="36C21786">
      <w:pPr>
        <w:pStyle w:val="165"/>
        <w:keepNext/>
      </w:pPr>
      <w:r>
        <w:t>Supplementary Note: analytical boundary conditions</w:t>
      </w:r>
    </w:p>
    <w:p w14:paraId="68536E11">
      <w:pPr>
        <w:pStyle w:val="16"/>
        <w:spacing w:after="40" w:line="252" w:lineRule="auto"/>
        <w:ind w:left="369" w:hanging="142"/>
      </w:pPr>
      <w:r>
        <w:rPr>
          <w:rFonts w:ascii="Arial" w:hAnsi="Arial" w:eastAsia="Arial"/>
          <w:sz w:val="18"/>
        </w:rPr>
        <w:t>Provenance is not treated as proof of substantive truth. It records claims about origin and transformation.</w:t>
      </w:r>
    </w:p>
    <w:p w14:paraId="5FC1C42D">
      <w:pPr>
        <w:pStyle w:val="16"/>
        <w:spacing w:after="40" w:line="252" w:lineRule="auto"/>
        <w:ind w:left="369" w:hanging="142"/>
      </w:pPr>
      <w:r>
        <w:rPr>
          <w:rFonts w:ascii="Arial" w:hAnsi="Arial" w:eastAsia="Arial"/>
          <w:sz w:val="18"/>
        </w:rPr>
        <w:t>Absence of provenance is not treated as proof of deception because credentials may be lost through benign transformation or legacy systems.</w:t>
      </w:r>
    </w:p>
    <w:p w14:paraId="44562A63">
      <w:pPr>
        <w:pStyle w:val="16"/>
        <w:spacing w:after="40" w:line="252" w:lineRule="auto"/>
        <w:ind w:left="369" w:hanging="142"/>
      </w:pPr>
      <w:r>
        <w:rPr>
          <w:rFonts w:ascii="Arial" w:hAnsi="Arial" w:eastAsia="Arial"/>
          <w:sz w:val="18"/>
        </w:rPr>
        <w:t>Risk tiers are design propositions, not empirically validated scoring thresholds.</w:t>
      </w:r>
    </w:p>
    <w:p w14:paraId="02BAF735">
      <w:pPr>
        <w:pStyle w:val="16"/>
        <w:spacing w:after="40" w:line="252" w:lineRule="auto"/>
        <w:ind w:left="369" w:hanging="142"/>
      </w:pPr>
      <w:r>
        <w:rPr>
          <w:rFonts w:ascii="Arial" w:hAnsi="Arial" w:eastAsia="Arial"/>
          <w:sz w:val="18"/>
        </w:rPr>
        <w:t>The comparison does not claim that the selected instruments are legally or institutionally equivalent.</w:t>
      </w:r>
    </w:p>
    <w:p w14:paraId="2688188B">
      <w:pPr>
        <w:pStyle w:val="16"/>
        <w:spacing w:after="40" w:line="252" w:lineRule="auto"/>
        <w:ind w:left="369" w:hanging="142"/>
      </w:pPr>
      <w:r>
        <w:rPr>
          <w:rFonts w:ascii="Arial" w:hAnsi="Arial" w:eastAsia="Arial"/>
          <w:sz w:val="18"/>
        </w:rPr>
        <w:t>The framework is intended for future testing through experiments, technical benchmarks, organisational case studies and cross-jurisdictional comparison.</w:t>
      </w:r>
    </w:p>
    <w:p w14:paraId="1EDFCD03">
      <w:pPr>
        <w:pStyle w:val="168"/>
        <w:keepNext/>
        <w:jc w:val="center"/>
      </w:pPr>
      <w:r>
        <w:rPr>
          <w:b w:val="0"/>
        </w:rPr>
        <w:t>Table S4. Negative cases and boundary-condition checks</w:t>
      </w:r>
    </w:p>
    <w:tbl>
      <w:tblPr>
        <w:tblStyle w:val="33"/>
        <w:tblW w:w="907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550"/>
        <w:gridCol w:w="4256"/>
        <w:gridCol w:w="3266"/>
      </w:tblGrid>
      <w:tr w14:paraId="46763A0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550"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6E1DDD79">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Analytical check</w:t>
            </w:r>
          </w:p>
        </w:tc>
        <w:tc>
          <w:tcPr>
            <w:tcW w:w="4257"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31E6AB29">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Counter-case</w:t>
            </w:r>
          </w:p>
        </w:tc>
        <w:tc>
          <w:tcPr>
            <w:tcW w:w="3266" w:type="dxa"/>
            <w:tcBorders>
              <w:top w:val="single" w:color="auto" w:sz="12" w:space="0"/>
              <w:left w:val="nil"/>
              <w:bottom w:val="nil"/>
              <w:right w:val="nil"/>
            </w:tcBorders>
            <w:shd w:val="clear" w:color="auto" w:fill="auto"/>
            <w:noWrap w:val="0"/>
            <w:tcMar>
              <w:top w:w="80" w:type="dxa"/>
              <w:left w:w="80" w:type="dxa"/>
              <w:bottom w:w="80" w:type="dxa"/>
              <w:right w:w="80" w:type="dxa"/>
            </w:tcMar>
            <w:vAlign w:val="center"/>
          </w:tcPr>
          <w:p w14:paraId="1699DCE7">
            <w:pPr>
              <w:keepNext/>
              <w:snapToGrid w:val="0"/>
              <w:spacing w:before="0" w:after="0" w:line="240" w:lineRule="auto"/>
              <w:ind w:left="0" w:leftChars="0" w:right="0" w:rightChars="0" w:firstLine="0" w:firstLineChars="0"/>
              <w:jc w:val="center"/>
              <w:rPr>
                <w:rFonts w:ascii="Arial" w:eastAsia="Arial"/>
                <w:b/>
                <w:sz w:val="15"/>
              </w:rPr>
            </w:pPr>
            <w:r>
              <w:rPr>
                <w:rFonts w:ascii="Arial" w:hAnsi="Arial" w:eastAsia="Arial"/>
                <w:b/>
                <w:sz w:val="15"/>
              </w:rPr>
              <w:t>Implication for the framework</w:t>
            </w:r>
          </w:p>
        </w:tc>
      </w:tr>
      <w:tr w14:paraId="040950A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550" w:type="dxa"/>
            <w:tcBorders>
              <w:top w:val="single" w:color="auto" w:sz="4" w:space="0"/>
              <w:left w:val="nil"/>
              <w:bottom w:val="nil"/>
              <w:right w:val="nil"/>
            </w:tcBorders>
            <w:noWrap w:val="0"/>
            <w:tcMar>
              <w:top w:w="80" w:type="dxa"/>
              <w:left w:w="80" w:type="dxa"/>
              <w:bottom w:w="80" w:type="dxa"/>
              <w:right w:w="80" w:type="dxa"/>
            </w:tcMar>
            <w:vAlign w:val="center"/>
          </w:tcPr>
          <w:p w14:paraId="70C64123">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Provenance is not truth</w:t>
            </w:r>
          </w:p>
        </w:tc>
        <w:tc>
          <w:tcPr>
            <w:tcW w:w="4257" w:type="dxa"/>
            <w:tcBorders>
              <w:top w:val="single" w:color="auto" w:sz="4" w:space="0"/>
              <w:left w:val="nil"/>
              <w:bottom w:val="nil"/>
              <w:right w:val="nil"/>
            </w:tcBorders>
            <w:noWrap w:val="0"/>
            <w:tcMar>
              <w:top w:w="80" w:type="dxa"/>
              <w:left w:w="80" w:type="dxa"/>
              <w:bottom w:w="80" w:type="dxa"/>
              <w:right w:w="80" w:type="dxa"/>
            </w:tcMar>
            <w:vAlign w:val="center"/>
          </w:tcPr>
          <w:p w14:paraId="347AEDC2">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An authentic credential can accompany an inaccurate or politically contested official statement.</w:t>
            </w:r>
          </w:p>
        </w:tc>
        <w:tc>
          <w:tcPr>
            <w:tcW w:w="3266" w:type="dxa"/>
            <w:tcBorders>
              <w:top w:val="single" w:color="auto" w:sz="4" w:space="0"/>
              <w:left w:val="nil"/>
              <w:bottom w:val="nil"/>
              <w:right w:val="nil"/>
            </w:tcBorders>
            <w:noWrap w:val="0"/>
            <w:tcMar>
              <w:top w:w="80" w:type="dxa"/>
              <w:left w:w="80" w:type="dxa"/>
              <w:bottom w:w="80" w:type="dxa"/>
              <w:right w:w="80" w:type="dxa"/>
            </w:tcMar>
            <w:vAlign w:val="center"/>
          </w:tcPr>
          <w:p w14:paraId="55642E1A">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Source history must be displayed separately from substantive factual assessment.</w:t>
            </w:r>
          </w:p>
        </w:tc>
      </w:tr>
      <w:tr w14:paraId="6FAD362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550" w:type="dxa"/>
            <w:tcBorders>
              <w:top w:val="nil"/>
              <w:left w:val="nil"/>
              <w:bottom w:val="nil"/>
              <w:right w:val="nil"/>
            </w:tcBorders>
            <w:noWrap w:val="0"/>
            <w:tcMar>
              <w:top w:w="80" w:type="dxa"/>
              <w:left w:w="80" w:type="dxa"/>
              <w:bottom w:w="80" w:type="dxa"/>
              <w:right w:w="80" w:type="dxa"/>
            </w:tcMar>
            <w:vAlign w:val="center"/>
          </w:tcPr>
          <w:p w14:paraId="77EB7DC0">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Absence is not deception</w:t>
            </w:r>
          </w:p>
        </w:tc>
        <w:tc>
          <w:tcPr>
            <w:tcW w:w="4257" w:type="dxa"/>
            <w:tcBorders>
              <w:top w:val="nil"/>
              <w:left w:val="nil"/>
              <w:bottom w:val="nil"/>
              <w:right w:val="nil"/>
            </w:tcBorders>
            <w:noWrap w:val="0"/>
            <w:tcMar>
              <w:top w:w="80" w:type="dxa"/>
              <w:left w:w="80" w:type="dxa"/>
              <w:bottom w:w="80" w:type="dxa"/>
              <w:right w:w="80" w:type="dxa"/>
            </w:tcMar>
            <w:vAlign w:val="center"/>
          </w:tcPr>
          <w:p w14:paraId="39E381FF">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Metadata or credentials can be lost through benign compression, screenshots, accessibility workflows or legacy systems.</w:t>
            </w:r>
          </w:p>
        </w:tc>
        <w:tc>
          <w:tcPr>
            <w:tcW w:w="3266" w:type="dxa"/>
            <w:tcBorders>
              <w:top w:val="nil"/>
              <w:left w:val="nil"/>
              <w:bottom w:val="nil"/>
              <w:right w:val="nil"/>
            </w:tcBorders>
            <w:noWrap w:val="0"/>
            <w:tcMar>
              <w:top w:w="80" w:type="dxa"/>
              <w:left w:w="80" w:type="dxa"/>
              <w:bottom w:w="80" w:type="dxa"/>
              <w:right w:w="80" w:type="dxa"/>
            </w:tcMar>
            <w:vAlign w:val="center"/>
          </w:tcPr>
          <w:p w14:paraId="4D909095">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Missing provenance should trigger proportionate review, not automatic exclusion or guilt.</w:t>
            </w:r>
          </w:p>
        </w:tc>
      </w:tr>
      <w:tr w14:paraId="09F636F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550" w:type="dxa"/>
            <w:tcBorders>
              <w:top w:val="nil"/>
              <w:left w:val="nil"/>
              <w:bottom w:val="nil"/>
              <w:right w:val="nil"/>
            </w:tcBorders>
            <w:noWrap w:val="0"/>
            <w:tcMar>
              <w:top w:w="80" w:type="dxa"/>
              <w:left w:w="80" w:type="dxa"/>
              <w:bottom w:w="80" w:type="dxa"/>
              <w:right w:w="80" w:type="dxa"/>
            </w:tcMar>
            <w:vAlign w:val="center"/>
          </w:tcPr>
          <w:p w14:paraId="1C7D53C3">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Disclosure is not verification</w:t>
            </w:r>
          </w:p>
        </w:tc>
        <w:tc>
          <w:tcPr>
            <w:tcW w:w="4257" w:type="dxa"/>
            <w:tcBorders>
              <w:top w:val="nil"/>
              <w:left w:val="nil"/>
              <w:bottom w:val="nil"/>
              <w:right w:val="nil"/>
            </w:tcBorders>
            <w:noWrap w:val="0"/>
            <w:tcMar>
              <w:top w:w="80" w:type="dxa"/>
              <w:left w:w="80" w:type="dxa"/>
              <w:bottom w:w="80" w:type="dxa"/>
              <w:right w:w="80" w:type="dxa"/>
            </w:tcMar>
            <w:vAlign w:val="center"/>
          </w:tcPr>
          <w:p w14:paraId="51A43DF9">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A visible label may remain attached while no machine-readable evidence is available to platforms or citizens.</w:t>
            </w:r>
          </w:p>
        </w:tc>
        <w:tc>
          <w:tcPr>
            <w:tcW w:w="3266" w:type="dxa"/>
            <w:tcBorders>
              <w:top w:val="nil"/>
              <w:left w:val="nil"/>
              <w:bottom w:val="nil"/>
              <w:right w:val="nil"/>
            </w:tcBorders>
            <w:noWrap w:val="0"/>
            <w:tcMar>
              <w:top w:w="80" w:type="dxa"/>
              <w:left w:w="80" w:type="dxa"/>
              <w:bottom w:w="80" w:type="dxa"/>
              <w:right w:w="80" w:type="dxa"/>
            </w:tcMar>
            <w:vAlign w:val="center"/>
          </w:tcPr>
          <w:p w14:paraId="3FE94FE1">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Public legibility must connect to inspectable evidence and an accessible verification route.</w:t>
            </w:r>
          </w:p>
        </w:tc>
      </w:tr>
      <w:tr w14:paraId="36E4AEC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550" w:type="dxa"/>
            <w:tcBorders>
              <w:top w:val="nil"/>
              <w:left w:val="nil"/>
              <w:bottom w:val="nil"/>
              <w:right w:val="nil"/>
            </w:tcBorders>
            <w:noWrap w:val="0"/>
            <w:tcMar>
              <w:top w:w="80" w:type="dxa"/>
              <w:left w:w="80" w:type="dxa"/>
              <w:bottom w:w="80" w:type="dxa"/>
              <w:right w:w="80" w:type="dxa"/>
            </w:tcMar>
            <w:vAlign w:val="center"/>
          </w:tcPr>
          <w:p w14:paraId="57ACBD46">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Records are not answerability</w:t>
            </w:r>
          </w:p>
        </w:tc>
        <w:tc>
          <w:tcPr>
            <w:tcW w:w="4257" w:type="dxa"/>
            <w:tcBorders>
              <w:top w:val="nil"/>
              <w:left w:val="nil"/>
              <w:bottom w:val="nil"/>
              <w:right w:val="nil"/>
            </w:tcBorders>
            <w:noWrap w:val="0"/>
            <w:tcMar>
              <w:top w:w="80" w:type="dxa"/>
              <w:left w:w="80" w:type="dxa"/>
              <w:bottom w:w="80" w:type="dxa"/>
              <w:right w:w="80" w:type="dxa"/>
            </w:tcMar>
            <w:vAlign w:val="center"/>
          </w:tcPr>
          <w:p w14:paraId="0A374F99">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Complete logs may exist while regulators lack access, technical capacity or authority to compel correction.</w:t>
            </w:r>
          </w:p>
        </w:tc>
        <w:tc>
          <w:tcPr>
            <w:tcW w:w="3266" w:type="dxa"/>
            <w:tcBorders>
              <w:top w:val="nil"/>
              <w:left w:val="nil"/>
              <w:bottom w:val="nil"/>
              <w:right w:val="nil"/>
            </w:tcBorders>
            <w:noWrap w:val="0"/>
            <w:tcMar>
              <w:top w:w="80" w:type="dxa"/>
              <w:left w:w="80" w:type="dxa"/>
              <w:bottom w:w="80" w:type="dxa"/>
              <w:right w:w="80" w:type="dxa"/>
            </w:tcMar>
            <w:vAlign w:val="center"/>
          </w:tcPr>
          <w:p w14:paraId="4B722BD2">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Institutional forums, interpretive capacity and enforceable consequences are necessary.</w:t>
            </w:r>
          </w:p>
        </w:tc>
      </w:tr>
      <w:tr w14:paraId="268EEC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550" w:type="dxa"/>
            <w:tcBorders>
              <w:top w:val="nil"/>
              <w:left w:val="nil"/>
              <w:bottom w:val="single" w:color="auto" w:sz="12" w:space="0"/>
              <w:right w:val="nil"/>
            </w:tcBorders>
            <w:noWrap w:val="0"/>
            <w:tcMar>
              <w:top w:w="80" w:type="dxa"/>
              <w:left w:w="80" w:type="dxa"/>
              <w:bottom w:w="80" w:type="dxa"/>
              <w:right w:w="80" w:type="dxa"/>
            </w:tcMar>
            <w:vAlign w:val="center"/>
          </w:tcPr>
          <w:p w14:paraId="1B3BCCF7">
            <w:pPr>
              <w:keepLines/>
              <w:snapToGrid w:val="0"/>
              <w:spacing w:before="0" w:after="0" w:line="240" w:lineRule="auto"/>
              <w:ind w:left="0" w:leftChars="0" w:right="0" w:rightChars="0" w:firstLine="0" w:firstLineChars="0"/>
              <w:jc w:val="center"/>
              <w:rPr>
                <w:rFonts w:ascii="Arial" w:eastAsia="Arial"/>
                <w:sz w:val="15"/>
              </w:rPr>
            </w:pPr>
            <w:r>
              <w:rPr>
                <w:rFonts w:ascii="Arial" w:hAnsi="Arial" w:eastAsia="Arial"/>
                <w:sz w:val="15"/>
              </w:rPr>
              <w:t>Uniform controls are not neutral</w:t>
            </w:r>
          </w:p>
        </w:tc>
        <w:tc>
          <w:tcPr>
            <w:tcW w:w="4257" w:type="dxa"/>
            <w:tcBorders>
              <w:top w:val="nil"/>
              <w:left w:val="nil"/>
              <w:bottom w:val="single" w:color="auto" w:sz="12" w:space="0"/>
              <w:right w:val="nil"/>
            </w:tcBorders>
            <w:noWrap w:val="0"/>
            <w:tcMar>
              <w:top w:w="80" w:type="dxa"/>
              <w:left w:w="80" w:type="dxa"/>
              <w:bottom w:w="80" w:type="dxa"/>
              <w:right w:w="80" w:type="dxa"/>
            </w:tcMar>
            <w:vAlign w:val="center"/>
          </w:tcPr>
          <w:p w14:paraId="369FE611">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The same disclosure and audit burden may be applied to low-risk creative material and emergency government communication.</w:t>
            </w:r>
          </w:p>
        </w:tc>
        <w:tc>
          <w:tcPr>
            <w:tcW w:w="3266" w:type="dxa"/>
            <w:tcBorders>
              <w:top w:val="nil"/>
              <w:left w:val="nil"/>
              <w:bottom w:val="single" w:color="auto" w:sz="12" w:space="0"/>
              <w:right w:val="nil"/>
            </w:tcBorders>
            <w:noWrap w:val="0"/>
            <w:tcMar>
              <w:top w:w="80" w:type="dxa"/>
              <w:left w:w="80" w:type="dxa"/>
              <w:bottom w:w="80" w:type="dxa"/>
              <w:right w:w="80" w:type="dxa"/>
            </w:tcMar>
            <w:vAlign w:val="center"/>
          </w:tcPr>
          <w:p w14:paraId="6F60E08C">
            <w:pPr>
              <w:keepLines/>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rPr>
              <w:t>Risk tiers require local validation, periodic review and avenues for contestation.</w:t>
            </w:r>
          </w:p>
        </w:tc>
      </w:tr>
    </w:tbl>
    <w:p w14:paraId="2D170A6A">
      <w:pPr>
        <w:spacing w:after="0"/>
      </w:pPr>
    </w:p>
    <w:sectPr>
      <w:footerReference r:id="rId5" w:type="default"/>
      <w:pgSz w:w="11906" w:h="16838"/>
      <w:pgMar w:top="1304" w:right="1417" w:bottom="1304" w:left="1417" w:header="454" w:footer="45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8ABC4">
    <w:pPr>
      <w:pStyle w:val="24"/>
      <w:jc w:val="center"/>
    </w:pPr>
    <w:r>
      <w:rPr>
        <w:sz w:val="18"/>
      </w:rPr>
      <w:fldChar w:fldCharType="begin"/>
    </w:r>
    <w:r>
      <w:rPr>
        <w:sz w:val="18"/>
      </w:rPr>
      <w:instrText xml:space="preserve"> PAGE </w:instrTex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9" w:lineRule="auto"/>
      </w:pPr>
      <w:r>
        <w:separator/>
      </w:r>
    </w:p>
  </w:footnote>
  <w:footnote w:type="continuationSeparator" w:id="1">
    <w:p>
      <w:pPr>
        <w:spacing w:before="0" w:after="0" w:line="26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F4F418D"/>
    <w:rsid w:val="39595DC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69" w:lineRule="auto"/>
      <w:jc w:val="both"/>
    </w:pPr>
    <w:rPr>
      <w:rFonts w:ascii="Arial" w:hAnsi="Arial" w:eastAsia="Arial"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Manuscript Title"/>
    <w:qFormat/>
    <w:uiPriority w:val="0"/>
    <w:pPr>
      <w:spacing w:before="0" w:after="200" w:line="240" w:lineRule="auto"/>
    </w:pPr>
    <w:rPr>
      <w:rFonts w:ascii="Arial" w:hAnsi="Arial" w:eastAsia="Arial" w:cstheme="minorBidi"/>
      <w:b/>
      <w:sz w:val="30"/>
      <w:szCs w:val="22"/>
      <w:lang w:val="en-US" w:eastAsia="en-US" w:bidi="ar-SA"/>
    </w:rPr>
  </w:style>
  <w:style w:type="paragraph" w:customStyle="1" w:styleId="165">
    <w:name w:val="Section Heading"/>
    <w:qFormat/>
    <w:uiPriority w:val="0"/>
    <w:pPr>
      <w:spacing w:before="200" w:after="80" w:line="240" w:lineRule="auto"/>
    </w:pPr>
    <w:rPr>
      <w:rFonts w:ascii="Arial" w:hAnsi="Arial" w:eastAsia="Arial" w:cstheme="minorBidi"/>
      <w:b/>
      <w:sz w:val="25"/>
      <w:szCs w:val="22"/>
      <w:lang w:val="en-US" w:eastAsia="en-US" w:bidi="ar-SA"/>
    </w:rPr>
  </w:style>
  <w:style w:type="paragraph" w:customStyle="1" w:styleId="166">
    <w:name w:val="Subsection Heading"/>
    <w:qFormat/>
    <w:uiPriority w:val="0"/>
    <w:pPr>
      <w:spacing w:before="160" w:after="60" w:line="240" w:lineRule="auto"/>
    </w:pPr>
    <w:rPr>
      <w:rFonts w:ascii="Arial" w:hAnsi="Arial" w:eastAsia="Arial" w:cstheme="minorBidi"/>
      <w:b/>
      <w:sz w:val="21"/>
      <w:szCs w:val="22"/>
      <w:lang w:val="en-US" w:eastAsia="en-US" w:bidi="ar-SA"/>
    </w:rPr>
  </w:style>
  <w:style w:type="paragraph" w:customStyle="1" w:styleId="167">
    <w:name w:val="Small Text"/>
    <w:qFormat/>
    <w:uiPriority w:val="0"/>
    <w:pPr>
      <w:spacing w:before="0" w:after="0" w:line="240" w:lineRule="auto"/>
    </w:pPr>
    <w:rPr>
      <w:rFonts w:ascii="Arial" w:hAnsi="Arial" w:eastAsia="Arial" w:cstheme="minorBidi"/>
      <w:sz w:val="17"/>
      <w:szCs w:val="22"/>
      <w:lang w:val="en-US" w:eastAsia="en-US" w:bidi="ar-SA"/>
    </w:rPr>
  </w:style>
  <w:style w:type="paragraph" w:customStyle="1" w:styleId="168">
    <w:name w:val="Table Caption"/>
    <w:qFormat/>
    <w:uiPriority w:val="0"/>
    <w:pPr>
      <w:spacing w:before="100" w:after="40" w:line="240" w:lineRule="auto"/>
    </w:pPr>
    <w:rPr>
      <w:rFonts w:ascii="Arial" w:hAnsi="Arial" w:eastAsia="Arial" w:cstheme="minorBidi"/>
      <w:sz w:val="18"/>
      <w:szCs w:val="22"/>
      <w:lang w:val="en-US" w:eastAsia="en-US" w:bidi="ar-SA"/>
    </w:rPr>
  </w:style>
  <w:style w:type="paragraph" w:customStyle="1" w:styleId="169">
    <w:name w:val="Figure Caption"/>
    <w:qFormat/>
    <w:uiPriority w:val="0"/>
    <w:pPr>
      <w:spacing w:before="80" w:after="40" w:line="240" w:lineRule="auto"/>
    </w:pPr>
    <w:rPr>
      <w:rFonts w:ascii="Arial" w:hAnsi="Arial" w:eastAsia="Arial" w:cstheme="minorBidi"/>
      <w:sz w:val="18"/>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919</Words>
  <Characters>6322</Characters>
  <Lines>0</Lines>
  <Paragraphs>0</Paragraphs>
  <TotalTime>3</TotalTime>
  <ScaleCrop>false</ScaleCrop>
  <LinksUpToDate>false</LinksUpToDate>
  <CharactersWithSpaces>7114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cp:lastModifiedBy/>
  <dcterms:modified xsi:type="dcterms:W3CDTF">2026-07-21T12:41:32Z</dcterms:modified>
  <dc:subject>Anonymous supplementary information</dc:subject>
  <dc:title>Supplementary information: Who gets to verify AI? Provenance, authority and accountability in digital government</dc:title>
  <cp:revision>1</cp:revision>
  <dc:description/>
  <cp:category/>
  <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eyJoZGlkIjoiY2JlMWIyMWQ3Yjc0NjY0N2IwZTFhYWEyNDFhMWQ3ZDYiLCJ1c2VySWQiOiIzMjE5OTc5MzAifQ==</vt:lpwstr>
  </property>
  <property fmtid="{D5CDD505-2E9C-101B-9397-08002B2CF9AE}" pid="3" name="KSOProductBuildVer">
    <vt:lpwstr>2052-12.1.0.26375</vt:lpwstr>
  </property>
  <property fmtid="{D5CDD505-2E9C-101B-9397-08002B2CF9AE}" pid="4" name="ICV">
    <vt:lpwstr>BEEEEC774BD841C1BF23F77054413E3C_12</vt:lpwstr>
  </property>
</Properties>
</file>