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983A1">
      <w:pPr>
        <w:keepLines w:val="0"/>
        <w:pageBreakBefore w:val="0"/>
        <w:kinsoku/>
        <w:wordWrap/>
        <w:overflowPunct/>
        <w:topLinePunct w:val="0"/>
        <w:autoSpaceDE/>
        <w:autoSpaceDN/>
        <w:bidi w:val="0"/>
        <w:adjustRightInd/>
        <w:spacing w:before="0" w:beforeLines="50" w:after="0" w:afterLines="50" w:line="240" w:lineRule="exact"/>
        <w:ind w:left="0" w:leftChars="0"/>
        <w:jc w:val="center"/>
        <w:rPr>
          <w:rFonts w:hint="default" w:ascii="Times New Roman" w:hAnsi="Times New Roman" w:eastAsia="等线" w:cs="Times New Roman"/>
          <w:b/>
          <w:bCs/>
          <w:color w:val="auto"/>
          <w:sz w:val="36"/>
          <w:szCs w:val="36"/>
        </w:rPr>
      </w:pPr>
      <w:r>
        <w:rPr>
          <w:rFonts w:hint="default" w:ascii="Times New Roman" w:hAnsi="Times New Roman" w:eastAsia="宋体" w:cs="Times New Roman"/>
          <w:b/>
          <w:bCs/>
          <w:color w:val="auto"/>
          <w:sz w:val="36"/>
          <w:szCs w:val="36"/>
        </w:rPr>
        <w:t>Coding Manual</w:t>
      </w:r>
    </w:p>
    <w:p w14:paraId="3BC0D2AC">
      <w:pPr>
        <w:keepLines w:val="0"/>
        <w:pageBreakBefore w:val="0"/>
        <w:kinsoku/>
        <w:wordWrap/>
        <w:overflowPunct/>
        <w:topLinePunct w:val="0"/>
        <w:autoSpaceDE/>
        <w:autoSpaceDN/>
        <w:bidi w:val="0"/>
        <w:adjustRightInd/>
        <w:spacing w:before="0" w:beforeLines="50" w:after="0" w:afterLines="50" w:line="240" w:lineRule="exact"/>
        <w:ind w:left="0" w:leftChars="0"/>
        <w:jc w:val="left"/>
        <w:rPr>
          <w:rFonts w:hint="default" w:ascii="Times New Roman" w:hAnsi="Times New Roman" w:eastAsia="等线" w:cs="Times New Roman"/>
          <w:b/>
          <w:bCs/>
          <w:color w:val="auto"/>
          <w:sz w:val="24"/>
          <w:szCs w:val="24"/>
        </w:rPr>
      </w:pPr>
      <w:r>
        <w:rPr>
          <w:rFonts w:hint="default" w:ascii="Times New Roman" w:hAnsi="Times New Roman" w:eastAsia="等线" w:cs="Times New Roman"/>
          <w:b/>
          <w:bCs/>
          <w:color w:val="auto"/>
          <w:sz w:val="24"/>
          <w:szCs w:val="24"/>
        </w:rPr>
        <w:t>Manual Overview</w:t>
      </w:r>
    </w:p>
    <w:p w14:paraId="633A2023">
      <w:pPr>
        <w:keepLines w:val="0"/>
        <w:pageBreakBefore w:val="0"/>
        <w:kinsoku/>
        <w:wordWrap/>
        <w:overflowPunct/>
        <w:topLinePunct w:val="0"/>
        <w:autoSpaceDE/>
        <w:autoSpaceDN/>
        <w:bidi w:val="0"/>
        <w:adjustRightInd/>
        <w:spacing w:before="0" w:beforeLines="50" w:after="0" w:afterLines="50" w:line="240" w:lineRule="exact"/>
        <w:ind w:left="0" w:leftChars="0"/>
        <w:jc w:val="left"/>
        <w:rPr>
          <w:rFonts w:hint="default" w:ascii="Times New Roman" w:hAnsi="Times New Roman" w:eastAsia="等线" w:cs="Times New Roman"/>
          <w:color w:val="auto"/>
          <w:sz w:val="18"/>
          <w:szCs w:val="18"/>
        </w:rPr>
      </w:pPr>
      <w:r>
        <w:rPr>
          <w:rFonts w:hint="default" w:ascii="Times New Roman" w:hAnsi="Times New Roman" w:eastAsia="等线" w:cs="Times New Roman"/>
          <w:color w:val="auto"/>
          <w:sz w:val="18"/>
          <w:szCs w:val="18"/>
          <w:lang w:val="en-US" w:eastAsia="zh-CN"/>
        </w:rPr>
        <w:t>This manual is developed to guide coders in conducting independent, standardised content coding of public preconception-related posts on the Xiaohongshu platform. Prior to commencing formal coding, all coders must fully master the full content of this manual to align on uniform judgement criteria across the coding team.</w:t>
      </w:r>
    </w:p>
    <w:p w14:paraId="1A09FA0F">
      <w:pPr>
        <w:keepLines w:val="0"/>
        <w:pageBreakBefore w:val="0"/>
        <w:kinsoku/>
        <w:wordWrap/>
        <w:overflowPunct/>
        <w:topLinePunct w:val="0"/>
        <w:autoSpaceDE/>
        <w:autoSpaceDN/>
        <w:bidi w:val="0"/>
        <w:adjustRightInd/>
        <w:spacing w:before="0" w:beforeLines="50" w:after="0" w:afterLines="50" w:line="240" w:lineRule="exact"/>
        <w:ind w:left="0" w:leftChars="0"/>
        <w:jc w:val="left"/>
        <w:rPr>
          <w:rFonts w:hint="default" w:ascii="Times New Roman" w:hAnsi="Times New Roman" w:eastAsia="等线" w:cs="Times New Roman"/>
          <w:color w:val="auto"/>
          <w:sz w:val="18"/>
          <w:szCs w:val="18"/>
        </w:rPr>
      </w:pPr>
      <w:r>
        <w:rPr>
          <w:rFonts w:hint="default" w:ascii="Times New Roman" w:hAnsi="Times New Roman" w:eastAsia="等线" w:cs="Times New Roman"/>
          <w:color w:val="auto"/>
          <w:sz w:val="18"/>
          <w:szCs w:val="18"/>
          <w:lang w:val="en-US" w:eastAsia="zh-CN"/>
        </w:rPr>
        <w:t>All coding determinations shall be made exclusively on the basis of the textual content of post bodies, and shall not rely on images, comments, account usernames, follower counts, profile biographies or external links. Entries that cannot be reliably classified shall be marked as for consensus review; coders shall not force an independent judgement for ambiguous items.</w:t>
      </w:r>
    </w:p>
    <w:p w14:paraId="71C5A507">
      <w:pPr>
        <w:keepLines w:val="0"/>
        <w:pageBreakBefore w:val="0"/>
        <w:kinsoku/>
        <w:wordWrap/>
        <w:overflowPunct/>
        <w:topLinePunct w:val="0"/>
        <w:autoSpaceDE/>
        <w:autoSpaceDN/>
        <w:bidi w:val="0"/>
        <w:adjustRightInd/>
        <w:spacing w:before="0" w:beforeLines="50" w:after="0" w:afterLines="50" w:line="240" w:lineRule="exact"/>
        <w:ind w:left="0" w:leftChars="0"/>
        <w:jc w:val="left"/>
        <w:rPr>
          <w:rFonts w:hint="default" w:ascii="Times New Roman" w:hAnsi="Times New Roman" w:eastAsia="等线" w:cs="Times New Roman"/>
          <w:color w:val="auto"/>
          <w:sz w:val="18"/>
          <w:szCs w:val="18"/>
        </w:rPr>
      </w:pPr>
    </w:p>
    <w:p w14:paraId="2F5C55F6">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1"/>
        <w:rPr>
          <w:rFonts w:hint="default" w:ascii="Times New Roman" w:hAnsi="Times New Roman" w:eastAsia="等线" w:cs="Times New Roman"/>
          <w:b/>
          <w:color w:val="auto"/>
          <w:sz w:val="24"/>
          <w:szCs w:val="24"/>
        </w:rPr>
      </w:pPr>
      <w:r>
        <w:rPr>
          <w:rFonts w:hint="default" w:ascii="Times New Roman" w:hAnsi="Times New Roman" w:eastAsia="等线" w:cs="Times New Roman"/>
          <w:b/>
          <w:color w:val="auto"/>
          <w:sz w:val="24"/>
          <w:szCs w:val="24"/>
        </w:rPr>
        <w:t>1 General Coding Principles</w:t>
      </w:r>
    </w:p>
    <w:p w14:paraId="15702C39">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 xml:space="preserve">1.1 </w:t>
      </w:r>
      <w:r>
        <w:rPr>
          <w:rFonts w:hint="default" w:ascii="Times New Roman" w:hAnsi="Times New Roman" w:eastAsia="等线" w:cs="Times New Roman"/>
          <w:b/>
          <w:color w:val="auto"/>
          <w:sz w:val="18"/>
          <w:szCs w:val="18"/>
        </w:rPr>
        <w:t>Core Judgement Rules</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1"/>
        <w:gridCol w:w="7320"/>
      </w:tblGrid>
      <w:tr w14:paraId="23C7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38C3AEC4">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val="0"/>
                <w:bCs/>
                <w:color w:val="auto"/>
                <w:sz w:val="18"/>
                <w:szCs w:val="18"/>
                <w:vertAlign w:val="baseline"/>
              </w:rPr>
            </w:pPr>
            <w:r>
              <w:rPr>
                <w:rFonts w:hint="default" w:ascii="Times New Roman" w:hAnsi="Times New Roman" w:eastAsia="宋体" w:cs="Times New Roman"/>
                <w:b w:val="0"/>
                <w:bCs/>
                <w:i w:val="0"/>
                <w:iCs w:val="0"/>
                <w:color w:val="auto"/>
                <w:kern w:val="0"/>
                <w:sz w:val="18"/>
                <w:szCs w:val="18"/>
                <w:u w:val="none"/>
                <w:lang w:val="en-US" w:eastAsia="zh-CN" w:bidi="ar"/>
              </w:rPr>
              <w:t>Principle</w:t>
            </w:r>
          </w:p>
        </w:tc>
        <w:tc>
          <w:tcPr>
            <w:tcW w:w="7320" w:type="dxa"/>
            <w:vAlign w:val="center"/>
          </w:tcPr>
          <w:p w14:paraId="015D70C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val="0"/>
                <w:bCs/>
                <w:color w:val="auto"/>
                <w:sz w:val="18"/>
                <w:szCs w:val="18"/>
                <w:vertAlign w:val="baseline"/>
              </w:rPr>
            </w:pPr>
            <w:r>
              <w:rPr>
                <w:rFonts w:hint="default" w:ascii="Times New Roman" w:hAnsi="Times New Roman" w:eastAsia="宋体" w:cs="Times New Roman"/>
                <w:b w:val="0"/>
                <w:bCs/>
                <w:i w:val="0"/>
                <w:iCs w:val="0"/>
                <w:color w:val="auto"/>
                <w:kern w:val="0"/>
                <w:sz w:val="18"/>
                <w:szCs w:val="18"/>
                <w:u w:val="none"/>
                <w:lang w:val="en-US" w:eastAsia="zh-CN" w:bidi="ar"/>
              </w:rPr>
              <w:t>Detailed Specification</w:t>
            </w:r>
          </w:p>
        </w:tc>
      </w:tr>
      <w:tr w14:paraId="47ED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29E71D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Code content only, not account attributes</w:t>
            </w:r>
          </w:p>
        </w:tc>
        <w:tc>
          <w:tcPr>
            <w:tcW w:w="7320" w:type="dxa"/>
            <w:vAlign w:val="center"/>
          </w:tcPr>
          <w:p w14:paraId="698B7D5D">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The sole valid basis for coding is the textual content of the post body. Content orientation shall not be inferred from account identity, professional accreditation or follower volume.</w:t>
            </w:r>
          </w:p>
        </w:tc>
      </w:tr>
      <w:tr w14:paraId="7FB5F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33C1FC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Personal experience ≠ treatment recommendation</w:t>
            </w:r>
          </w:p>
        </w:tc>
        <w:tc>
          <w:tcPr>
            <w:tcW w:w="7320" w:type="dxa"/>
            <w:vAlign w:val="center"/>
          </w:tcPr>
          <w:p w14:paraId="2711A381">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Statements such as "I became pregnant after taking Chinese herbal medicine for three months" are classified as personal experience sharing and shall not be coded as non-evidence-based exposure. Statements that actively recommend alternative regimens and reject formal medical care — for example, "You should all avoid hospitals; Chinese medicine alone works" — shall be coded as non-evidence-based exposure.</w:t>
            </w:r>
          </w:p>
        </w:tc>
      </w:tr>
      <w:tr w14:paraId="21F8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AA02092">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Judgement based on final behavioural intention</w:t>
            </w:r>
          </w:p>
        </w:tc>
        <w:tc>
          <w:tcPr>
            <w:tcW w:w="7320" w:type="dxa"/>
            <w:vAlign w:val="center"/>
          </w:tcPr>
          <w:p w14:paraId="32288E20">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If a post contains both accounts such as "I first tried traditional Chinese medicine conditioning" and "in the end I underwent IVF", coding shall be determined by the final healthcare-seeking behavioural intention, and the post shall be assigned to the evidence-based control group.</w:t>
            </w:r>
          </w:p>
        </w:tc>
      </w:tr>
      <w:tr w14:paraId="2E47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21" w:type="dxa"/>
            <w:vAlign w:val="center"/>
          </w:tcPr>
          <w:p w14:paraId="63167447">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forced classification for ambiguous cases</w:t>
            </w:r>
          </w:p>
        </w:tc>
        <w:tc>
          <w:tcPr>
            <w:tcW w:w="7320" w:type="dxa"/>
            <w:vAlign w:val="center"/>
          </w:tcPr>
          <w:p w14:paraId="4F5BE40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Where any variable cannot be clearly and definitively determined, the entry shall be marked as for consensus review. The final coding outcome shall be confirmed through joint discussion with a third independent researcher.</w:t>
            </w:r>
          </w:p>
        </w:tc>
      </w:tr>
    </w:tbl>
    <w:p w14:paraId="3E330D9E">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1.</w:t>
      </w:r>
      <w:r>
        <w:rPr>
          <w:rFonts w:hint="default" w:ascii="Times New Roman" w:hAnsi="Times New Roman" w:eastAsia="等线" w:cs="Times New Roman"/>
          <w:b/>
          <w:color w:val="auto"/>
          <w:sz w:val="18"/>
          <w:szCs w:val="18"/>
        </w:rPr>
        <w:t>2</w:t>
      </w:r>
      <w:r>
        <w:rPr>
          <w:rFonts w:hint="eastAsia" w:ascii="Times New Roman" w:hAnsi="Times New Roman" w:eastAsia="等线" w:cs="Times New Roman"/>
          <w:b/>
          <w:color w:val="auto"/>
          <w:sz w:val="18"/>
          <w:szCs w:val="18"/>
          <w:lang w:val="en-US" w:eastAsia="zh-CN"/>
        </w:rPr>
        <w:t xml:space="preserve"> </w:t>
      </w:r>
      <w:r>
        <w:rPr>
          <w:rFonts w:hint="default" w:ascii="Times New Roman" w:hAnsi="Times New Roman" w:eastAsia="等线" w:cs="Times New Roman"/>
          <w:b/>
          <w:color w:val="auto"/>
          <w:sz w:val="18"/>
          <w:szCs w:val="18"/>
        </w:rPr>
        <w:t>Coding Procedure</w:t>
      </w:r>
      <w:bookmarkStart w:id="0" w:name="heading_4"/>
    </w:p>
    <w:p w14:paraId="36496FF8">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Read through the full body text of each post in its entirety to extract core viewpoints, healthcare-seeking behaviours and relevant personal background information.</w:t>
      </w:r>
      <w:r>
        <w:rPr>
          <w:rFonts w:hint="eastAsia" w:ascii="Times New Roman" w:hAnsi="Times New Roman" w:cs="Times New Roman"/>
          <w:color w:val="auto"/>
          <w:sz w:val="18"/>
          <w:szCs w:val="18"/>
          <w:highlight w:val="none"/>
          <w:lang w:val="en-US" w:eastAsia="zh-CN"/>
        </w:rPr>
        <w:t xml:space="preserve"> </w:t>
      </w:r>
      <w:r>
        <w:rPr>
          <w:rFonts w:hint="default" w:ascii="Times New Roman" w:hAnsi="Times New Roman" w:cs="Times New Roman"/>
          <w:color w:val="auto"/>
          <w:sz w:val="18"/>
          <w:szCs w:val="18"/>
          <w:highlight w:val="none"/>
        </w:rPr>
        <w:t>Determine author type and posting entity with reference to publicly available account identity information.</w:t>
      </w:r>
      <w:r>
        <w:rPr>
          <w:rFonts w:hint="eastAsia" w:ascii="Times New Roman" w:hAnsi="Times New Roman" w:cs="Times New Roman"/>
          <w:color w:val="auto"/>
          <w:sz w:val="18"/>
          <w:szCs w:val="18"/>
          <w:highlight w:val="none"/>
          <w:lang w:val="en-US" w:eastAsia="zh-CN"/>
        </w:rPr>
        <w:t xml:space="preserve"> </w:t>
      </w:r>
      <w:r>
        <w:rPr>
          <w:rFonts w:hint="default" w:ascii="Times New Roman" w:hAnsi="Times New Roman" w:cs="Times New Roman"/>
          <w:color w:val="auto"/>
          <w:sz w:val="18"/>
          <w:szCs w:val="18"/>
          <w:highlight w:val="none"/>
        </w:rPr>
        <w:t>Complete variable coding in the specified sequential order: posting date → author type → posting entity → geographic administrative tier → exposure group assignment → delayed care attendance outcome → six covariates (age, infertility duration, anxiety severity, risk awareness, and willingness to critically appraise health information)</w:t>
      </w:r>
      <w:r>
        <w:rPr>
          <w:rFonts w:hint="default" w:ascii="Times New Roman" w:hAnsi="Times New Roman" w:cs="Times New Roman"/>
          <w:b w:val="0"/>
          <w:i w:val="0"/>
          <w:color w:val="auto"/>
          <w:sz w:val="18"/>
          <w:szCs w:val="18"/>
          <w:highlight w:val="none"/>
          <w:u w:val="none"/>
        </w:rPr>
        <w:fldChar w:fldCharType="begin"/>
      </w:r>
      <w:r>
        <w:rPr>
          <w:rFonts w:hint="default" w:ascii="Times New Roman" w:hAnsi="Times New Roman" w:cs="Times New Roman"/>
          <w:b w:val="0"/>
          <w:i w:val="0"/>
          <w:color w:val="auto"/>
          <w:sz w:val="18"/>
          <w:szCs w:val="18"/>
          <w:highlight w:val="none"/>
          <w:u w:val="none"/>
        </w:rPr>
        <w:instrText xml:space="preserve"> ADDIN  ADDIN KYMRREF{01DA6DAC-A727-46B9-85A0-ABE4EE83D2D0}495 </w:instrText>
      </w:r>
      <w:r>
        <w:rPr>
          <w:rFonts w:hint="default" w:ascii="Times New Roman" w:hAnsi="Times New Roman" w:cs="Times New Roman"/>
          <w:b w:val="0"/>
          <w:i w:val="0"/>
          <w:color w:val="auto"/>
          <w:sz w:val="18"/>
          <w:szCs w:val="18"/>
          <w:highlight w:val="none"/>
          <w:u w:val="none"/>
        </w:rPr>
        <w:fldChar w:fldCharType="separate"/>
      </w:r>
      <w:r>
        <w:rPr>
          <w:rFonts w:hint="default" w:ascii="Times New Roman" w:hAnsi="Times New Roman" w:eastAsia="宋体" w:cs="Times New Roman"/>
          <w:b w:val="0"/>
          <w:i w:val="0"/>
          <w:color w:val="auto"/>
          <w:sz w:val="18"/>
          <w:szCs w:val="18"/>
          <w:highlight w:val="none"/>
          <w:u w:val="none"/>
          <w:vertAlign w:val="superscript"/>
          <w:lang w:eastAsia="zh-CN"/>
        </w:rPr>
        <w:t>[1]</w:t>
      </w:r>
      <w:r>
        <w:rPr>
          <w:rFonts w:hint="default" w:ascii="Times New Roman" w:hAnsi="Times New Roman" w:cs="Times New Roman"/>
          <w:b w:val="0"/>
          <w:i w:val="0"/>
          <w:color w:val="auto"/>
          <w:sz w:val="18"/>
          <w:szCs w:val="18"/>
          <w:highlight w:val="none"/>
          <w:u w:val="none"/>
        </w:rPr>
        <w:fldChar w:fldCharType="end"/>
      </w:r>
      <w:r>
        <w:rPr>
          <w:rFonts w:hint="default" w:ascii="Times New Roman" w:hAnsi="Times New Roman" w:cs="Times New Roman"/>
          <w:color w:val="auto"/>
          <w:sz w:val="18"/>
          <w:szCs w:val="18"/>
          <w:highlight w:val="none"/>
        </w:rPr>
        <w:t>.</w:t>
      </w:r>
      <w:r>
        <w:rPr>
          <w:rFonts w:hint="eastAsia" w:ascii="Times New Roman" w:hAnsi="Times New Roman" w:cs="Times New Roman"/>
          <w:color w:val="auto"/>
          <w:sz w:val="18"/>
          <w:szCs w:val="18"/>
          <w:highlight w:val="none"/>
          <w:lang w:val="en-US" w:eastAsia="zh-CN"/>
        </w:rPr>
        <w:t xml:space="preserve"> </w:t>
      </w:r>
      <w:r>
        <w:rPr>
          <w:rFonts w:hint="default" w:ascii="Times New Roman" w:hAnsi="Times New Roman" w:cs="Times New Roman"/>
          <w:color w:val="auto"/>
          <w:sz w:val="18"/>
          <w:szCs w:val="18"/>
          <w:highlight w:val="none"/>
        </w:rPr>
        <w:t>Conduct independent rating of all six items using the Brief DISCERN scale, then calculate the total information quality score</w:t>
      </w:r>
      <w:r>
        <w:rPr>
          <w:rFonts w:hint="default" w:ascii="Times New Roman" w:hAnsi="Times New Roman" w:cs="Times New Roman"/>
          <w:b w:val="0"/>
          <w:i w:val="0"/>
          <w:color w:val="auto"/>
          <w:sz w:val="18"/>
          <w:szCs w:val="18"/>
          <w:highlight w:val="none"/>
          <w:u w:val="none"/>
        </w:rPr>
        <w:fldChar w:fldCharType="begin"/>
      </w:r>
      <w:r>
        <w:rPr>
          <w:rFonts w:hint="default" w:ascii="Times New Roman" w:hAnsi="Times New Roman" w:cs="Times New Roman"/>
          <w:b w:val="0"/>
          <w:i w:val="0"/>
          <w:color w:val="auto"/>
          <w:sz w:val="18"/>
          <w:szCs w:val="18"/>
          <w:highlight w:val="none"/>
          <w:u w:val="none"/>
        </w:rPr>
        <w:instrText xml:space="preserve"> ADDIN  ADDIN KYMRREF{01DA6DAC-A727-46B9-85A0-ABE4EE83D2D0}478,{01DA6DAC-A727-46B9-85A0-ABE4EE83D2D0}482,{01DA6DAC-A727-46B9-85A0-ABE4EE83D2D0}485,{01DA6DAC-A727-46B9-85A0-ABE4EE83D2D0}486,{01DA6DAC-A727-46B9-85A0-ABE4EE83D2D0}535 </w:instrText>
      </w:r>
      <w:r>
        <w:rPr>
          <w:rFonts w:hint="default" w:ascii="Times New Roman" w:hAnsi="Times New Roman" w:cs="Times New Roman"/>
          <w:b w:val="0"/>
          <w:i w:val="0"/>
          <w:color w:val="auto"/>
          <w:sz w:val="18"/>
          <w:szCs w:val="18"/>
          <w:highlight w:val="none"/>
          <w:u w:val="none"/>
        </w:rPr>
        <w:fldChar w:fldCharType="separate"/>
      </w:r>
      <w:r>
        <w:rPr>
          <w:rFonts w:hint="default" w:ascii="Times New Roman" w:hAnsi="Times New Roman" w:eastAsia="宋体" w:cs="Times New Roman"/>
          <w:b w:val="0"/>
          <w:i w:val="0"/>
          <w:color w:val="auto"/>
          <w:sz w:val="18"/>
          <w:szCs w:val="18"/>
          <w:highlight w:val="none"/>
          <w:u w:val="none"/>
          <w:vertAlign w:val="superscript"/>
          <w:lang w:eastAsia="zh-CN"/>
        </w:rPr>
        <w:t>[2-6]</w:t>
      </w:r>
      <w:r>
        <w:rPr>
          <w:rFonts w:hint="default" w:ascii="Times New Roman" w:hAnsi="Times New Roman" w:cs="Times New Roman"/>
          <w:b w:val="0"/>
          <w:i w:val="0"/>
          <w:color w:val="auto"/>
          <w:sz w:val="18"/>
          <w:szCs w:val="18"/>
          <w:highlight w:val="none"/>
          <w:u w:val="none"/>
        </w:rPr>
        <w:fldChar w:fldCharType="end"/>
      </w:r>
      <w:r>
        <w:rPr>
          <w:rFonts w:hint="default" w:ascii="Times New Roman" w:hAnsi="Times New Roman" w:cs="Times New Roman"/>
          <w:color w:val="auto"/>
          <w:sz w:val="18"/>
          <w:szCs w:val="18"/>
          <w:highlight w:val="none"/>
        </w:rPr>
        <w:t>.</w:t>
      </w:r>
      <w:r>
        <w:rPr>
          <w:rFonts w:hint="eastAsia" w:ascii="Times New Roman" w:hAnsi="Times New Roman" w:cs="Times New Roman"/>
          <w:color w:val="auto"/>
          <w:sz w:val="18"/>
          <w:szCs w:val="18"/>
          <w:highlight w:val="none"/>
          <w:lang w:val="en-US" w:eastAsia="zh-CN"/>
        </w:rPr>
        <w:t xml:space="preserve"> </w:t>
      </w:r>
      <w:r>
        <w:rPr>
          <w:rFonts w:hint="default" w:ascii="Times New Roman" w:hAnsi="Times New Roman" w:cs="Times New Roman"/>
          <w:color w:val="auto"/>
          <w:sz w:val="18"/>
          <w:szCs w:val="18"/>
          <w:highlight w:val="none"/>
        </w:rPr>
        <w:t>Cross-reference against the exclusion category criteria to assess whether a sample meets the exclusion threshold and whether consensus review is required. Assign the corresponding exclusion type code to samples that fulfil exclusion criteria; supplementary textual notes shall be added for exceptional cases.</w:t>
      </w:r>
    </w:p>
    <w:p w14:paraId="2FB81A87">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cs="Times New Roman"/>
          <w:color w:val="auto"/>
          <w:sz w:val="18"/>
          <w:szCs w:val="18"/>
          <w:highlight w:val="none"/>
        </w:rPr>
      </w:pPr>
    </w:p>
    <w:bookmarkEnd w:id="0"/>
    <w:p w14:paraId="0AD26D16">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1"/>
        <w:rPr>
          <w:rFonts w:hint="default" w:ascii="Times New Roman" w:hAnsi="Times New Roman" w:eastAsia="等线" w:cs="Times New Roman"/>
          <w:b/>
          <w:color w:val="auto"/>
          <w:sz w:val="24"/>
          <w:szCs w:val="24"/>
        </w:rPr>
      </w:pPr>
      <w:bookmarkStart w:id="1" w:name="heading_5"/>
      <w:r>
        <w:rPr>
          <w:rFonts w:hint="default" w:ascii="Times New Roman" w:hAnsi="Times New Roman" w:eastAsia="等线" w:cs="Times New Roman"/>
          <w:b/>
          <w:color w:val="auto"/>
          <w:sz w:val="24"/>
          <w:szCs w:val="24"/>
        </w:rPr>
        <w:t>2 Coding Dictionary</w:t>
      </w:r>
    </w:p>
    <w:bookmarkEnd w:id="1"/>
    <w:p w14:paraId="718BB6E1">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2.</w:t>
      </w:r>
      <w:r>
        <w:rPr>
          <w:rFonts w:hint="default" w:ascii="Times New Roman" w:hAnsi="Times New Roman" w:eastAsia="等线" w:cs="Times New Roman"/>
          <w:b/>
          <w:color w:val="auto"/>
          <w:sz w:val="18"/>
          <w:szCs w:val="18"/>
        </w:rPr>
        <w:t>1</w:t>
      </w:r>
      <w:r>
        <w:rPr>
          <w:rFonts w:hint="eastAsia" w:ascii="Times New Roman" w:hAnsi="Times New Roman" w:eastAsia="等线" w:cs="Times New Roman"/>
          <w:b/>
          <w:color w:val="auto"/>
          <w:sz w:val="18"/>
          <w:szCs w:val="18"/>
          <w:lang w:val="en-US" w:eastAsia="zh-CN"/>
        </w:rPr>
        <w:t xml:space="preserve"> </w:t>
      </w:r>
      <w:r>
        <w:rPr>
          <w:rFonts w:hint="default" w:ascii="Times New Roman" w:hAnsi="Times New Roman" w:eastAsia="等线" w:cs="Times New Roman"/>
          <w:b/>
          <w:color w:val="auto"/>
          <w:sz w:val="18"/>
          <w:szCs w:val="18"/>
        </w:rPr>
        <w:t>Publication Date</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4"/>
        <w:gridCol w:w="1091"/>
        <w:gridCol w:w="2774"/>
        <w:gridCol w:w="3822"/>
      </w:tblGrid>
      <w:tr w14:paraId="700F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54" w:type="dxa"/>
            <w:vAlign w:val="center"/>
          </w:tcPr>
          <w:p w14:paraId="5442259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Coding format</w:t>
            </w:r>
          </w:p>
        </w:tc>
        <w:tc>
          <w:tcPr>
            <w:tcW w:w="1091" w:type="dxa"/>
            <w:vAlign w:val="center"/>
          </w:tcPr>
          <w:p w14:paraId="7DD74F43">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Type</w:t>
            </w:r>
          </w:p>
        </w:tc>
        <w:tc>
          <w:tcPr>
            <w:tcW w:w="2774" w:type="dxa"/>
            <w:vAlign w:val="center"/>
          </w:tcPr>
          <w:p w14:paraId="168162C4">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Operational definition</w:t>
            </w:r>
          </w:p>
        </w:tc>
        <w:tc>
          <w:tcPr>
            <w:tcW w:w="3823" w:type="dxa"/>
            <w:vAlign w:val="center"/>
          </w:tcPr>
          <w:p w14:paraId="26B2A5B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Judgement criterion</w:t>
            </w:r>
          </w:p>
        </w:tc>
      </w:tr>
      <w:tr w14:paraId="4E18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4" w:type="dxa"/>
            <w:vAlign w:val="center"/>
          </w:tcPr>
          <w:p w14:paraId="0F67A026">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Date format</w:t>
            </w:r>
          </w:p>
        </w:tc>
        <w:tc>
          <w:tcPr>
            <w:tcW w:w="1091" w:type="dxa"/>
            <w:vAlign w:val="center"/>
          </w:tcPr>
          <w:p w14:paraId="2015DACF">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Publication date</w:t>
            </w:r>
          </w:p>
        </w:tc>
        <w:tc>
          <w:tcPr>
            <w:tcW w:w="2774" w:type="dxa"/>
            <w:vAlign w:val="center"/>
          </w:tcPr>
          <w:p w14:paraId="68A09144">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Recorded verbatim per the original publication time of the post</w:t>
            </w:r>
          </w:p>
        </w:tc>
        <w:tc>
          <w:tcPr>
            <w:tcW w:w="3823" w:type="dxa"/>
            <w:vAlign w:val="center"/>
          </w:tcPr>
          <w:p w14:paraId="5109EAE3">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Uniform format is YYYY-MM-DD, determined by the publication time displayed on the platform</w:t>
            </w:r>
          </w:p>
        </w:tc>
      </w:tr>
    </w:tbl>
    <w:p w14:paraId="60BCDD1E">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 xml:space="preserve">2.2 </w:t>
      </w:r>
      <w:r>
        <w:rPr>
          <w:rFonts w:hint="default" w:ascii="Times New Roman" w:hAnsi="Times New Roman" w:eastAsia="等线" w:cs="Times New Roman"/>
          <w:b/>
          <w:color w:val="auto"/>
          <w:sz w:val="18"/>
          <w:szCs w:val="18"/>
        </w:rPr>
        <w:t>Author Type</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3"/>
        <w:gridCol w:w="1376"/>
        <w:gridCol w:w="2421"/>
        <w:gridCol w:w="4181"/>
      </w:tblGrid>
      <w:tr w14:paraId="71C8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63" w:type="dxa"/>
            <w:vAlign w:val="center"/>
          </w:tcPr>
          <w:p w14:paraId="21A18E5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Code value</w:t>
            </w:r>
          </w:p>
        </w:tc>
        <w:tc>
          <w:tcPr>
            <w:tcW w:w="0" w:type="auto"/>
            <w:vAlign w:val="center"/>
          </w:tcPr>
          <w:p w14:paraId="6EADD0A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Type</w:t>
            </w:r>
          </w:p>
        </w:tc>
        <w:tc>
          <w:tcPr>
            <w:tcW w:w="0" w:type="auto"/>
            <w:vAlign w:val="center"/>
          </w:tcPr>
          <w:p w14:paraId="2EE39584">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Operational definition</w:t>
            </w:r>
          </w:p>
        </w:tc>
        <w:tc>
          <w:tcPr>
            <w:tcW w:w="4181" w:type="dxa"/>
            <w:vAlign w:val="center"/>
          </w:tcPr>
          <w:p w14:paraId="160994D3">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Judgement criteria and examples</w:t>
            </w:r>
          </w:p>
        </w:tc>
      </w:tr>
      <w:tr w14:paraId="377B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3" w:type="dxa"/>
            <w:vAlign w:val="center"/>
          </w:tcPr>
          <w:p w14:paraId="50A91AAE">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08D11C63">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Professional</w:t>
            </w:r>
          </w:p>
        </w:tc>
        <w:tc>
          <w:tcPr>
            <w:tcW w:w="0" w:type="auto"/>
            <w:vAlign w:val="center"/>
          </w:tcPr>
          <w:p w14:paraId="1E81D944">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The posting entity is a licenced medical and health professional, official account of a public medical institution, or official account of a health administrative authority</w:t>
            </w:r>
          </w:p>
        </w:tc>
        <w:tc>
          <w:tcPr>
            <w:tcW w:w="4181" w:type="dxa"/>
            <w:vAlign w:val="center"/>
          </w:tcPr>
          <w:p w14:paraId="2612FF70">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Profile / bio explicitly states titles such as physician, chief physician, professor, attending physician, reproductive medicine centre, official hospital account, or Health Commission; or the account carries an official verification badge for medical practitioners or hospitals.Examples: Dr. Lu, Obstetrics and Gynaecology (bio indicates chief physician), Official Account of XX Hospital Reproductive Medicine Centre</w:t>
            </w:r>
          </w:p>
        </w:tc>
      </w:tr>
      <w:tr w14:paraId="65EA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3" w:type="dxa"/>
            <w:vAlign w:val="center"/>
          </w:tcPr>
          <w:p w14:paraId="13FB3B8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w:t>
            </w:r>
          </w:p>
        </w:tc>
        <w:tc>
          <w:tcPr>
            <w:tcW w:w="0" w:type="auto"/>
            <w:vAlign w:val="center"/>
          </w:tcPr>
          <w:p w14:paraId="545E0F2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Non-professional</w:t>
            </w:r>
          </w:p>
        </w:tc>
        <w:tc>
          <w:tcPr>
            <w:tcW w:w="0" w:type="auto"/>
            <w:vAlign w:val="center"/>
          </w:tcPr>
          <w:p w14:paraId="5012C9F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The posting entity is a general user, unqualified health / maternal health influencer, commercial organisation, or other non-professional account</w:t>
            </w:r>
          </w:p>
        </w:tc>
        <w:tc>
          <w:tcPr>
            <w:tcW w:w="4181" w:type="dxa"/>
            <w:vAlign w:val="center"/>
          </w:tcPr>
          <w:p w14:paraId="315C021D">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Profile does not indicate medical practitioner qualifications, or lists non-medical professional credentials such as nursery teacher, health manager, wellness influencer, or preconception blogger.Examples: General personal preconception sharing account, senior nursery teacher influencer</w:t>
            </w:r>
          </w:p>
        </w:tc>
      </w:tr>
      <w:tr w14:paraId="2B94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3" w:type="dxa"/>
            <w:vAlign w:val="center"/>
          </w:tcPr>
          <w:p w14:paraId="5824A8C2">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99</w:t>
            </w:r>
          </w:p>
        </w:tc>
        <w:tc>
          <w:tcPr>
            <w:tcW w:w="1376" w:type="dxa"/>
            <w:vAlign w:val="center"/>
          </w:tcPr>
          <w:p w14:paraId="140E82E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Unascertainable</w:t>
            </w:r>
          </w:p>
        </w:tc>
        <w:tc>
          <w:tcPr>
            <w:tcW w:w="2421" w:type="dxa"/>
            <w:vAlign w:val="center"/>
          </w:tcPr>
          <w:p w14:paraId="45C30AE2">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Publisher identity cannot be determined from account information or post body text</w:t>
            </w:r>
          </w:p>
        </w:tc>
        <w:tc>
          <w:tcPr>
            <w:tcW w:w="4181" w:type="dxa"/>
            <w:vAlign w:val="center"/>
          </w:tcPr>
          <w:p w14:paraId="1E3F87AB">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w:t>
            </w:r>
          </w:p>
        </w:tc>
      </w:tr>
    </w:tbl>
    <w:p w14:paraId="1D7B9B12">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2.</w:t>
      </w:r>
      <w:r>
        <w:rPr>
          <w:rFonts w:hint="default" w:ascii="Times New Roman" w:hAnsi="Times New Roman" w:eastAsia="等线" w:cs="Times New Roman"/>
          <w:b/>
          <w:color w:val="auto"/>
          <w:sz w:val="18"/>
          <w:szCs w:val="18"/>
        </w:rPr>
        <w:t>3.Posting Entity</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2214"/>
        <w:gridCol w:w="2492"/>
        <w:gridCol w:w="3318"/>
      </w:tblGrid>
      <w:tr w14:paraId="02D8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17" w:type="dxa"/>
            <w:vAlign w:val="center"/>
          </w:tcPr>
          <w:p w14:paraId="6537CE7E">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Code value</w:t>
            </w:r>
          </w:p>
        </w:tc>
        <w:tc>
          <w:tcPr>
            <w:tcW w:w="0" w:type="auto"/>
            <w:vAlign w:val="center"/>
          </w:tcPr>
          <w:p w14:paraId="6784C0A2">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Posting entity category</w:t>
            </w:r>
          </w:p>
        </w:tc>
        <w:tc>
          <w:tcPr>
            <w:tcW w:w="2492" w:type="dxa"/>
            <w:vAlign w:val="center"/>
          </w:tcPr>
          <w:p w14:paraId="60CD8388">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Operational definition</w:t>
            </w:r>
          </w:p>
        </w:tc>
        <w:tc>
          <w:tcPr>
            <w:tcW w:w="3318" w:type="dxa"/>
            <w:vAlign w:val="center"/>
          </w:tcPr>
          <w:p w14:paraId="693692D0">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Judgement criteria</w:t>
            </w:r>
          </w:p>
        </w:tc>
      </w:tr>
      <w:tr w14:paraId="413C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17" w:type="dxa"/>
            <w:vAlign w:val="center"/>
          </w:tcPr>
          <w:p w14:paraId="6C2F6A33">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0E12A0D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Public hospital / reproductive centre</w:t>
            </w:r>
          </w:p>
        </w:tc>
        <w:tc>
          <w:tcPr>
            <w:tcW w:w="2492" w:type="dxa"/>
            <w:vAlign w:val="center"/>
          </w:tcPr>
          <w:p w14:paraId="27314785">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Official accounts of public medical institutions</w:t>
            </w:r>
          </w:p>
        </w:tc>
        <w:tc>
          <w:tcPr>
            <w:tcW w:w="3318" w:type="dxa"/>
            <w:vAlign w:val="center"/>
          </w:tcPr>
          <w:p w14:paraId="1622786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Account name includes terms such as people’s hospital, maternal and child health hospital, reproductive centre or department of reproductive medicine</w:t>
            </w:r>
          </w:p>
        </w:tc>
      </w:tr>
      <w:tr w14:paraId="71C9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17" w:type="dxa"/>
            <w:vAlign w:val="center"/>
          </w:tcPr>
          <w:p w14:paraId="0E21DDD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0" w:type="auto"/>
            <w:vAlign w:val="center"/>
          </w:tcPr>
          <w:p w14:paraId="06CC5DE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Individual licensed medical practitioners</w:t>
            </w:r>
          </w:p>
        </w:tc>
        <w:tc>
          <w:tcPr>
            <w:tcW w:w="2492" w:type="dxa"/>
            <w:vAlign w:val="center"/>
          </w:tcPr>
          <w:p w14:paraId="779AF861">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Personal accounts held by individuals with licensed medical practitioner qualifications</w:t>
            </w:r>
          </w:p>
        </w:tc>
        <w:tc>
          <w:tcPr>
            <w:tcW w:w="3318" w:type="dxa"/>
            <w:vAlign w:val="center"/>
          </w:tcPr>
          <w:p w14:paraId="358B2849">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Profile indicates titles such as chief physician, associate chief physician or attending physician</w:t>
            </w:r>
          </w:p>
        </w:tc>
      </w:tr>
      <w:tr w14:paraId="618F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17" w:type="dxa"/>
            <w:vAlign w:val="center"/>
          </w:tcPr>
          <w:p w14:paraId="0D0DF65B">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3</w:t>
            </w:r>
          </w:p>
        </w:tc>
        <w:tc>
          <w:tcPr>
            <w:tcW w:w="0" w:type="auto"/>
            <w:vAlign w:val="center"/>
          </w:tcPr>
          <w:p w14:paraId="1750186D">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Health administrative authorities</w:t>
            </w:r>
          </w:p>
        </w:tc>
        <w:tc>
          <w:tcPr>
            <w:tcW w:w="2492" w:type="dxa"/>
            <w:vAlign w:val="center"/>
          </w:tcPr>
          <w:p w14:paraId="6CD11D8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Official accounts of official regulatory bodies such as the Health Commission</w:t>
            </w:r>
          </w:p>
        </w:tc>
        <w:tc>
          <w:tcPr>
            <w:tcW w:w="3318" w:type="dxa"/>
            <w:vAlign w:val="center"/>
          </w:tcPr>
          <w:p w14:paraId="2733EF88">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Account name includes terms such as Health Commission or Health and Wellness Commission</w:t>
            </w:r>
          </w:p>
        </w:tc>
      </w:tr>
      <w:tr w14:paraId="4CBF3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17" w:type="dxa"/>
            <w:vAlign w:val="center"/>
          </w:tcPr>
          <w:p w14:paraId="24F1B76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4</w:t>
            </w:r>
          </w:p>
        </w:tc>
        <w:tc>
          <w:tcPr>
            <w:tcW w:w="0" w:type="auto"/>
            <w:vAlign w:val="center"/>
          </w:tcPr>
          <w:p w14:paraId="0FC0FA08">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General individual users</w:t>
            </w:r>
          </w:p>
        </w:tc>
        <w:tc>
          <w:tcPr>
            <w:tcW w:w="2492" w:type="dxa"/>
            <w:vAlign w:val="center"/>
          </w:tcPr>
          <w:p w14:paraId="4B3B14E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Ordinary users without medical qualifications, primarily sharing personal experiences</w:t>
            </w:r>
          </w:p>
        </w:tc>
        <w:tc>
          <w:tcPr>
            <w:tcW w:w="3318" w:type="dxa"/>
            <w:vAlign w:val="center"/>
          </w:tcPr>
          <w:p w14:paraId="4031BDD4">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professional qualifications indicated; content focuses on personal preconception and healthcare experiences</w:t>
            </w:r>
          </w:p>
        </w:tc>
      </w:tr>
      <w:tr w14:paraId="546C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17" w:type="dxa"/>
            <w:vAlign w:val="center"/>
          </w:tcPr>
          <w:p w14:paraId="2538C29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5</w:t>
            </w:r>
          </w:p>
        </w:tc>
        <w:tc>
          <w:tcPr>
            <w:tcW w:w="0" w:type="auto"/>
            <w:vAlign w:val="center"/>
          </w:tcPr>
          <w:p w14:paraId="467F8297">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Unqualified health / maternal health influencers</w:t>
            </w:r>
          </w:p>
        </w:tc>
        <w:tc>
          <w:tcPr>
            <w:tcW w:w="2492" w:type="dxa"/>
            <w:vAlign w:val="center"/>
          </w:tcPr>
          <w:p w14:paraId="29ADF85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Content creators specialising in health and maternal topics without licensed medical practitioner qualifications</w:t>
            </w:r>
          </w:p>
        </w:tc>
        <w:tc>
          <w:tcPr>
            <w:tcW w:w="3318" w:type="dxa"/>
            <w:vAlign w:val="center"/>
          </w:tcPr>
          <w:p w14:paraId="008CD608">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Profile labels such as nursery teacher, health manager, wellness influencer or preconception blogger</w:t>
            </w:r>
          </w:p>
        </w:tc>
      </w:tr>
      <w:tr w14:paraId="6F04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17" w:type="dxa"/>
            <w:vAlign w:val="center"/>
          </w:tcPr>
          <w:p w14:paraId="32438B3E">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6</w:t>
            </w:r>
          </w:p>
        </w:tc>
        <w:tc>
          <w:tcPr>
            <w:tcW w:w="0" w:type="auto"/>
            <w:vAlign w:val="center"/>
          </w:tcPr>
          <w:p w14:paraId="591893F9">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Commercial / institutional accounts</w:t>
            </w:r>
          </w:p>
        </w:tc>
        <w:tc>
          <w:tcPr>
            <w:tcW w:w="2492" w:type="dxa"/>
            <w:vAlign w:val="center"/>
          </w:tcPr>
          <w:p w14:paraId="51E58213">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Accounts operated by commercial companies, marketing accounts or intermediary agencies</w:t>
            </w:r>
          </w:p>
        </w:tc>
        <w:tc>
          <w:tcPr>
            <w:tcW w:w="3318" w:type="dxa"/>
            <w:vAlign w:val="center"/>
          </w:tcPr>
          <w:p w14:paraId="3FD36B29">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Account name carries commercial attributes such as medical, health management or consulting; or content features user acquisition or advertising properties</w:t>
            </w:r>
          </w:p>
        </w:tc>
      </w:tr>
      <w:tr w14:paraId="3274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17" w:type="dxa"/>
            <w:vAlign w:val="center"/>
          </w:tcPr>
          <w:p w14:paraId="6A5F3762">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99</w:t>
            </w:r>
          </w:p>
        </w:tc>
        <w:tc>
          <w:tcPr>
            <w:tcW w:w="2214" w:type="dxa"/>
            <w:vAlign w:val="center"/>
          </w:tcPr>
          <w:p w14:paraId="24337931">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Unascertainable</w:t>
            </w:r>
          </w:p>
        </w:tc>
        <w:tc>
          <w:tcPr>
            <w:tcW w:w="2492" w:type="dxa"/>
            <w:vAlign w:val="center"/>
          </w:tcPr>
          <w:p w14:paraId="08BC101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Posting entity type cannot be determined from account profile or post body text</w:t>
            </w:r>
          </w:p>
        </w:tc>
        <w:tc>
          <w:tcPr>
            <w:tcW w:w="3318" w:type="dxa"/>
            <w:vAlign w:val="center"/>
          </w:tcPr>
          <w:p w14:paraId="19B44013">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w:t>
            </w:r>
          </w:p>
        </w:tc>
      </w:tr>
    </w:tbl>
    <w:p w14:paraId="3F1517C1">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2.</w:t>
      </w:r>
      <w:r>
        <w:rPr>
          <w:rFonts w:hint="default" w:ascii="Times New Roman" w:hAnsi="Times New Roman" w:eastAsia="等线" w:cs="Times New Roman"/>
          <w:b/>
          <w:color w:val="auto"/>
          <w:sz w:val="18"/>
          <w:szCs w:val="18"/>
        </w:rPr>
        <w:t>4</w:t>
      </w:r>
      <w:r>
        <w:rPr>
          <w:rFonts w:hint="eastAsia" w:ascii="Times New Roman" w:hAnsi="Times New Roman" w:eastAsia="等线" w:cs="Times New Roman"/>
          <w:b/>
          <w:color w:val="auto"/>
          <w:sz w:val="18"/>
          <w:szCs w:val="18"/>
          <w:lang w:val="en-US" w:eastAsia="zh-CN"/>
        </w:rPr>
        <w:t xml:space="preserve"> </w:t>
      </w:r>
      <w:r>
        <w:rPr>
          <w:rFonts w:hint="default" w:ascii="Times New Roman" w:hAnsi="Times New Roman" w:eastAsia="等线" w:cs="Times New Roman"/>
          <w:b/>
          <w:color w:val="auto"/>
          <w:sz w:val="18"/>
          <w:szCs w:val="18"/>
        </w:rPr>
        <w:t>Geographic Administrative Tier</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4"/>
        <w:gridCol w:w="1368"/>
        <w:gridCol w:w="3273"/>
        <w:gridCol w:w="3366"/>
      </w:tblGrid>
      <w:tr w14:paraId="30A4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0" w:hRule="atLeast"/>
          <w:tblHeader/>
          <w:jc w:val="center"/>
        </w:trPr>
        <w:tc>
          <w:tcPr>
            <w:tcW w:w="1234" w:type="dxa"/>
            <w:vAlign w:val="center"/>
          </w:tcPr>
          <w:p w14:paraId="5C2F60D5">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Code value</w:t>
            </w:r>
          </w:p>
        </w:tc>
        <w:tc>
          <w:tcPr>
            <w:tcW w:w="0" w:type="auto"/>
            <w:vAlign w:val="center"/>
          </w:tcPr>
          <w:p w14:paraId="1E298A67">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Stratum</w:t>
            </w:r>
          </w:p>
        </w:tc>
        <w:tc>
          <w:tcPr>
            <w:tcW w:w="3273" w:type="dxa"/>
            <w:vAlign w:val="center"/>
          </w:tcPr>
          <w:p w14:paraId="014F459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Operational definition</w:t>
            </w:r>
          </w:p>
        </w:tc>
        <w:tc>
          <w:tcPr>
            <w:tcW w:w="3366" w:type="dxa"/>
            <w:vAlign w:val="center"/>
          </w:tcPr>
          <w:p w14:paraId="1487420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Typical textual features</w:t>
            </w:r>
          </w:p>
        </w:tc>
      </w:tr>
      <w:tr w14:paraId="5B94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0" w:hRule="atLeast"/>
          <w:jc w:val="center"/>
        </w:trPr>
        <w:tc>
          <w:tcPr>
            <w:tcW w:w="1234" w:type="dxa"/>
            <w:vAlign w:val="center"/>
          </w:tcPr>
          <w:p w14:paraId="4B488D35">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0EC0ABD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Provincial / municipality level</w:t>
            </w:r>
          </w:p>
        </w:tc>
        <w:tc>
          <w:tcPr>
            <w:tcW w:w="3273" w:type="dxa"/>
            <w:vAlign w:val="center"/>
          </w:tcPr>
          <w:p w14:paraId="0C0C97B4">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The post explicitly mentions a province, autonomous region or municipality directly under the central government, or the IP location is a municipality directly under the central government</w:t>
            </w:r>
          </w:p>
        </w:tc>
        <w:tc>
          <w:tcPr>
            <w:tcW w:w="3366" w:type="dxa"/>
            <w:vAlign w:val="center"/>
          </w:tcPr>
          <w:p w14:paraId="41413925">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Examples: in Beijing, Shanghai Red House Hospital, Third Affiliated Hospital of Guangzhou Medical University, IP location: Henan; Beijing, Shanghai, Tianjin and Chongqing are directly coded as 1</w:t>
            </w:r>
          </w:p>
        </w:tc>
      </w:tr>
      <w:tr w14:paraId="6EE6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0" w:hRule="atLeast"/>
          <w:jc w:val="center"/>
        </w:trPr>
        <w:tc>
          <w:tcPr>
            <w:tcW w:w="1234" w:type="dxa"/>
            <w:vAlign w:val="center"/>
          </w:tcPr>
          <w:p w14:paraId="15D6C258">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0" w:type="auto"/>
            <w:vAlign w:val="center"/>
          </w:tcPr>
          <w:p w14:paraId="43DCB89B">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Prefectural city level</w:t>
            </w:r>
          </w:p>
        </w:tc>
        <w:tc>
          <w:tcPr>
            <w:tcW w:w="3273" w:type="dxa"/>
            <w:vAlign w:val="center"/>
          </w:tcPr>
          <w:p w14:paraId="11CAE3EE">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The post mentions the name of an ordinary prefecture-level city</w:t>
            </w:r>
          </w:p>
        </w:tc>
        <w:tc>
          <w:tcPr>
            <w:tcW w:w="3366" w:type="dxa"/>
            <w:vAlign w:val="center"/>
          </w:tcPr>
          <w:p w14:paraId="1797F88A">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Examples: in Luoyang, Weifang, Suzhou, etc.</w:t>
            </w:r>
          </w:p>
        </w:tc>
      </w:tr>
      <w:tr w14:paraId="2558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0" w:hRule="atLeast"/>
          <w:jc w:val="center"/>
        </w:trPr>
        <w:tc>
          <w:tcPr>
            <w:tcW w:w="1234" w:type="dxa"/>
            <w:vAlign w:val="center"/>
          </w:tcPr>
          <w:p w14:paraId="28063B9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3</w:t>
            </w:r>
          </w:p>
        </w:tc>
        <w:tc>
          <w:tcPr>
            <w:tcW w:w="0" w:type="auto"/>
            <w:vAlign w:val="center"/>
          </w:tcPr>
          <w:p w14:paraId="5C9209F8">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County-level and rural areas</w:t>
            </w:r>
          </w:p>
        </w:tc>
        <w:tc>
          <w:tcPr>
            <w:tcW w:w="3273" w:type="dxa"/>
            <w:vAlign w:val="center"/>
          </w:tcPr>
          <w:p w14:paraId="06EF2AC7">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The post mentions counties, towns, villages or rural areas</w:t>
            </w:r>
          </w:p>
        </w:tc>
        <w:tc>
          <w:tcPr>
            <w:tcW w:w="3366" w:type="dxa"/>
            <w:vAlign w:val="center"/>
          </w:tcPr>
          <w:p w14:paraId="205155D1">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Examples: in the county town, township hospital, hometown in the countryside</w:t>
            </w:r>
          </w:p>
        </w:tc>
      </w:tr>
      <w:tr w14:paraId="12487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0" w:hRule="atLeast"/>
          <w:jc w:val="center"/>
        </w:trPr>
        <w:tc>
          <w:tcPr>
            <w:tcW w:w="1234" w:type="dxa"/>
            <w:vAlign w:val="center"/>
          </w:tcPr>
          <w:p w14:paraId="7F91BBD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99</w:t>
            </w:r>
          </w:p>
        </w:tc>
        <w:tc>
          <w:tcPr>
            <w:tcW w:w="1368" w:type="dxa"/>
            <w:vAlign w:val="center"/>
          </w:tcPr>
          <w:p w14:paraId="67EE7F0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Missing</w:t>
            </w:r>
          </w:p>
        </w:tc>
        <w:tc>
          <w:tcPr>
            <w:tcW w:w="3273" w:type="dxa"/>
            <w:vAlign w:val="center"/>
          </w:tcPr>
          <w:p w14:paraId="2C4D4170">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geographic-related information is mentioned anywhere in the post text</w:t>
            </w:r>
          </w:p>
        </w:tc>
        <w:tc>
          <w:tcPr>
            <w:tcW w:w="3366" w:type="dxa"/>
            <w:vAlign w:val="center"/>
          </w:tcPr>
          <w:p w14:paraId="262C33F2">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w:t>
            </w:r>
          </w:p>
        </w:tc>
      </w:tr>
    </w:tbl>
    <w:p w14:paraId="3D2B6769">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eastAsia" w:ascii="Times New Roman" w:hAnsi="Times New Roman" w:eastAsia="等线" w:cs="Times New Roman"/>
          <w:b/>
          <w:color w:val="auto"/>
          <w:sz w:val="18"/>
          <w:szCs w:val="18"/>
          <w:lang w:val="en-US" w:eastAsia="zh-CN"/>
        </w:rPr>
      </w:pPr>
      <w:r>
        <w:rPr>
          <w:rFonts w:hint="default" w:ascii="Times New Roman" w:hAnsi="Times New Roman" w:eastAsia="等线" w:cs="Times New Roman"/>
          <w:color w:val="auto"/>
          <w:sz w:val="18"/>
          <w:szCs w:val="18"/>
        </w:rPr>
        <w:t>Judgement rule: Geographic information stated in the post body text takes precedence. Where no geographic information appears in the body text, the account’s IP location or geographic details in the profile bio may be referenced.</w:t>
      </w:r>
    </w:p>
    <w:p w14:paraId="132A1359">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2.</w:t>
      </w:r>
      <w:r>
        <w:rPr>
          <w:rFonts w:hint="default" w:ascii="Times New Roman" w:hAnsi="Times New Roman" w:eastAsia="等线" w:cs="Times New Roman"/>
          <w:b/>
          <w:color w:val="auto"/>
          <w:sz w:val="18"/>
          <w:szCs w:val="18"/>
        </w:rPr>
        <w:t>5</w:t>
      </w:r>
      <w:r>
        <w:rPr>
          <w:rFonts w:hint="eastAsia" w:ascii="Times New Roman" w:hAnsi="Times New Roman" w:eastAsia="等线" w:cs="Times New Roman"/>
          <w:b/>
          <w:color w:val="auto"/>
          <w:sz w:val="18"/>
          <w:szCs w:val="18"/>
          <w:lang w:val="en-US" w:eastAsia="zh-CN"/>
        </w:rPr>
        <w:t xml:space="preserve"> </w:t>
      </w:r>
      <w:r>
        <w:rPr>
          <w:rFonts w:hint="default" w:ascii="Times New Roman" w:hAnsi="Times New Roman" w:eastAsia="等线" w:cs="Times New Roman"/>
          <w:b/>
          <w:color w:val="auto"/>
          <w:sz w:val="18"/>
          <w:szCs w:val="18"/>
        </w:rPr>
        <w:t xml:space="preserve"> Exposure Group Assignment</w:t>
      </w:r>
    </w:p>
    <w:p w14:paraId="2F1E44B3">
      <w:pPr>
        <w:keepLines w:val="0"/>
        <w:pageBreakBefore w:val="0"/>
        <w:kinsoku/>
        <w:wordWrap/>
        <w:overflowPunct/>
        <w:topLinePunct w:val="0"/>
        <w:autoSpaceDE/>
        <w:autoSpaceDN/>
        <w:bidi w:val="0"/>
        <w:adjustRightInd/>
        <w:spacing w:before="0" w:beforeLines="50" w:after="0" w:afterLines="50" w:line="240" w:lineRule="exact"/>
        <w:ind w:left="0" w:leftChars="0"/>
        <w:jc w:val="left"/>
        <w:rPr>
          <w:rFonts w:hint="default" w:ascii="Times New Roman" w:hAnsi="Times New Roman" w:eastAsia="等线" w:cs="Times New Roman"/>
          <w:color w:val="auto"/>
          <w:sz w:val="18"/>
          <w:szCs w:val="18"/>
        </w:rPr>
      </w:pPr>
      <w:r>
        <w:rPr>
          <w:rFonts w:hint="default" w:ascii="Times New Roman" w:hAnsi="Times New Roman" w:eastAsia="等线" w:cs="Times New Roman"/>
          <w:color w:val="auto"/>
          <w:sz w:val="18"/>
          <w:szCs w:val="18"/>
        </w:rPr>
        <w:t>This variable is used to classify posts into the non</w:t>
      </w:r>
      <w:r>
        <w:rPr>
          <w:rFonts w:hint="default" w:ascii="Times New Roman" w:hAnsi="Times New Roman" w:eastAsia="等线" w:cs="Times New Roman"/>
          <w:color w:val="auto"/>
          <w:sz w:val="18"/>
          <w:szCs w:val="18"/>
        </w:rPr>
        <w:noBreakHyphen/>
      </w:r>
      <w:r>
        <w:rPr>
          <w:rFonts w:hint="default" w:ascii="Times New Roman" w:hAnsi="Times New Roman" w:eastAsia="等线" w:cs="Times New Roman"/>
          <w:color w:val="auto"/>
          <w:sz w:val="18"/>
          <w:szCs w:val="18"/>
        </w:rPr>
        <w:t>evidence</w:t>
      </w:r>
      <w:r>
        <w:rPr>
          <w:rFonts w:hint="default" w:ascii="Times New Roman" w:hAnsi="Times New Roman" w:eastAsia="等线" w:cs="Times New Roman"/>
          <w:color w:val="auto"/>
          <w:sz w:val="18"/>
          <w:szCs w:val="18"/>
        </w:rPr>
        <w:noBreakHyphen/>
      </w:r>
      <w:r>
        <w:rPr>
          <w:rFonts w:hint="default" w:ascii="Times New Roman" w:hAnsi="Times New Roman" w:eastAsia="等线" w:cs="Times New Roman"/>
          <w:color w:val="auto"/>
          <w:sz w:val="18"/>
          <w:szCs w:val="18"/>
        </w:rPr>
        <w:t>based exposure group or the evidence</w:t>
      </w:r>
      <w:r>
        <w:rPr>
          <w:rFonts w:hint="default" w:ascii="Times New Roman" w:hAnsi="Times New Roman" w:eastAsia="等线" w:cs="Times New Roman"/>
          <w:color w:val="auto"/>
          <w:sz w:val="18"/>
          <w:szCs w:val="18"/>
        </w:rPr>
        <w:noBreakHyphen/>
      </w:r>
      <w:r>
        <w:rPr>
          <w:rFonts w:hint="default" w:ascii="Times New Roman" w:hAnsi="Times New Roman" w:eastAsia="等线" w:cs="Times New Roman"/>
          <w:color w:val="auto"/>
          <w:sz w:val="18"/>
          <w:szCs w:val="18"/>
        </w:rPr>
        <w:t>based control group. Prior to coding, coders shall first distinguish whether the text adopts a recommendation/persuasion orientation or a confessional/personal sharing orientation.</w:t>
      </w:r>
    </w:p>
    <w:tbl>
      <w:tblPr>
        <w:tblStyle w:val="5"/>
        <w:tblW w:w="9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788"/>
        <w:gridCol w:w="2493"/>
        <w:gridCol w:w="2679"/>
        <w:gridCol w:w="2056"/>
      </w:tblGrid>
      <w:tr w14:paraId="5D0F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72" w:type="dxa"/>
            <w:vAlign w:val="center"/>
          </w:tcPr>
          <w:p w14:paraId="19C6B7AA">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Code value</w:t>
            </w:r>
          </w:p>
        </w:tc>
        <w:tc>
          <w:tcPr>
            <w:tcW w:w="1788" w:type="dxa"/>
            <w:vAlign w:val="center"/>
          </w:tcPr>
          <w:p w14:paraId="789DD79D">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Group name</w:t>
            </w:r>
          </w:p>
        </w:tc>
        <w:tc>
          <w:tcPr>
            <w:tcW w:w="2493" w:type="dxa"/>
            <w:vAlign w:val="center"/>
          </w:tcPr>
          <w:p w14:paraId="6665D432">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Operational definition</w:t>
            </w:r>
          </w:p>
        </w:tc>
        <w:tc>
          <w:tcPr>
            <w:tcW w:w="2679" w:type="dxa"/>
            <w:vAlign w:val="center"/>
          </w:tcPr>
          <w:p w14:paraId="1C6244AE">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Mandatory concurrent criteria</w:t>
            </w:r>
          </w:p>
        </w:tc>
        <w:tc>
          <w:tcPr>
            <w:tcW w:w="2056" w:type="dxa"/>
            <w:vAlign w:val="center"/>
          </w:tcPr>
          <w:p w14:paraId="62BD6093">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Typical textual features</w:t>
            </w:r>
          </w:p>
        </w:tc>
      </w:tr>
      <w:tr w14:paraId="4CAB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2" w:type="dxa"/>
            <w:vAlign w:val="center"/>
          </w:tcPr>
          <w:p w14:paraId="5500630D">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1788" w:type="dxa"/>
            <w:vAlign w:val="center"/>
          </w:tcPr>
          <w:p w14:paraId="5EE12009">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Non</w:t>
            </w:r>
            <w:r>
              <w:rPr>
                <w:rFonts w:hint="default" w:ascii="Times New Roman" w:hAnsi="Times New Roman" w:eastAsia="宋体" w:cs="Times New Roman"/>
                <w:i w:val="0"/>
                <w:iCs w:val="0"/>
                <w:color w:val="auto"/>
                <w:kern w:val="0"/>
                <w:sz w:val="18"/>
                <w:szCs w:val="18"/>
                <w:u w:val="none"/>
                <w:lang w:val="en-US" w:eastAsia="zh-CN" w:bidi="ar"/>
              </w:rPr>
              <w:noBreakHyphen/>
            </w:r>
            <w:r>
              <w:rPr>
                <w:rFonts w:hint="default" w:ascii="Times New Roman" w:hAnsi="Times New Roman" w:eastAsia="宋体" w:cs="Times New Roman"/>
                <w:i w:val="0"/>
                <w:iCs w:val="0"/>
                <w:color w:val="auto"/>
                <w:kern w:val="0"/>
                <w:sz w:val="18"/>
                <w:szCs w:val="18"/>
                <w:u w:val="none"/>
                <w:lang w:val="en-US" w:eastAsia="zh-CN" w:bidi="ar"/>
              </w:rPr>
              <w:t>evidence</w:t>
            </w:r>
            <w:r>
              <w:rPr>
                <w:rFonts w:hint="default" w:ascii="Times New Roman" w:hAnsi="Times New Roman" w:eastAsia="宋体" w:cs="Times New Roman"/>
                <w:i w:val="0"/>
                <w:iCs w:val="0"/>
                <w:color w:val="auto"/>
                <w:kern w:val="0"/>
                <w:sz w:val="18"/>
                <w:szCs w:val="18"/>
                <w:u w:val="none"/>
                <w:lang w:val="en-US" w:eastAsia="zh-CN" w:bidi="ar"/>
              </w:rPr>
              <w:noBreakHyphen/>
            </w:r>
            <w:r>
              <w:rPr>
                <w:rFonts w:hint="default" w:ascii="Times New Roman" w:hAnsi="Times New Roman" w:eastAsia="宋体" w:cs="Times New Roman"/>
                <w:i w:val="0"/>
                <w:iCs w:val="0"/>
                <w:color w:val="auto"/>
                <w:kern w:val="0"/>
                <w:sz w:val="18"/>
                <w:szCs w:val="18"/>
                <w:u w:val="none"/>
                <w:lang w:val="en-US" w:eastAsia="zh-CN" w:bidi="ar"/>
              </w:rPr>
              <w:t>based exposure group</w:t>
            </w:r>
          </w:p>
        </w:tc>
        <w:tc>
          <w:tcPr>
            <w:tcW w:w="2493" w:type="dxa"/>
            <w:vAlign w:val="center"/>
          </w:tcPr>
          <w:p w14:paraId="0E1DF125">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Posts that explicitly promote or recommend alternative preconception regimens without evidence</w:t>
            </w:r>
            <w:r>
              <w:rPr>
                <w:rFonts w:hint="default" w:ascii="Times New Roman" w:hAnsi="Times New Roman" w:eastAsia="宋体" w:cs="Times New Roman"/>
                <w:i w:val="0"/>
                <w:iCs w:val="0"/>
                <w:color w:val="auto"/>
                <w:kern w:val="0"/>
                <w:sz w:val="18"/>
                <w:szCs w:val="18"/>
                <w:u w:val="none"/>
                <w:lang w:val="en-US" w:eastAsia="zh-CN" w:bidi="ar"/>
              </w:rPr>
              <w:noBreakHyphen/>
            </w:r>
            <w:r>
              <w:rPr>
                <w:rFonts w:hint="default" w:ascii="Times New Roman" w:hAnsi="Times New Roman" w:eastAsia="宋体" w:cs="Times New Roman"/>
                <w:i w:val="0"/>
                <w:iCs w:val="0"/>
                <w:color w:val="auto"/>
                <w:kern w:val="0"/>
                <w:sz w:val="18"/>
                <w:szCs w:val="18"/>
                <w:u w:val="none"/>
                <w:lang w:val="en-US" w:eastAsia="zh-CN" w:bidi="ar"/>
              </w:rPr>
              <w:t>based medical support, and express scepticism, disparagement or rejection of formal reproductive medical diagnosis and treatment</w:t>
            </w:r>
          </w:p>
        </w:tc>
        <w:tc>
          <w:tcPr>
            <w:tcW w:w="2679" w:type="dxa"/>
            <w:vAlign w:val="center"/>
          </w:tcPr>
          <w:p w14:paraId="3DEEE6F2">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① Core content promotes a specific alternative regimen; ② Contains at least one negative statement regarding formal medical care; ③ The recommended regimen itself is not supported by evidence</w:t>
            </w:r>
            <w:r>
              <w:rPr>
                <w:rFonts w:hint="default" w:ascii="Times New Roman" w:hAnsi="Times New Roman" w:eastAsia="宋体" w:cs="Times New Roman"/>
                <w:i w:val="0"/>
                <w:iCs w:val="0"/>
                <w:color w:val="auto"/>
                <w:kern w:val="0"/>
                <w:sz w:val="18"/>
                <w:szCs w:val="18"/>
                <w:u w:val="none"/>
                <w:lang w:val="en-US" w:eastAsia="zh-CN" w:bidi="ar"/>
              </w:rPr>
              <w:noBreakHyphen/>
            </w:r>
            <w:r>
              <w:rPr>
                <w:rFonts w:hint="default" w:ascii="Times New Roman" w:hAnsi="Times New Roman" w:eastAsia="宋体" w:cs="Times New Roman"/>
                <w:i w:val="0"/>
                <w:iCs w:val="0"/>
                <w:color w:val="auto"/>
                <w:kern w:val="0"/>
                <w:sz w:val="18"/>
                <w:szCs w:val="18"/>
                <w:u w:val="none"/>
                <w:lang w:val="en-US" w:eastAsia="zh-CN" w:bidi="ar"/>
              </w:rPr>
              <w:t>based medicine</w:t>
            </w:r>
          </w:p>
        </w:tc>
        <w:tc>
          <w:tcPr>
            <w:tcW w:w="2056" w:type="dxa"/>
            <w:vAlign w:val="center"/>
          </w:tcPr>
          <w:p w14:paraId="7C116D84">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"Avoid IVF at all costs", "Do not go to hospital", "Hospitals cannot cure this", "Condition your body and conceive naturally", "I don’t trust Western medicine", "Western medicine harms the body"</w:t>
            </w:r>
          </w:p>
        </w:tc>
      </w:tr>
      <w:tr w14:paraId="3E51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2" w:type="dxa"/>
            <w:vAlign w:val="center"/>
          </w:tcPr>
          <w:p w14:paraId="1515639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w:t>
            </w:r>
          </w:p>
        </w:tc>
        <w:tc>
          <w:tcPr>
            <w:tcW w:w="1788" w:type="dxa"/>
            <w:vAlign w:val="center"/>
          </w:tcPr>
          <w:p w14:paraId="38A557C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Evidence</w:t>
            </w:r>
            <w:r>
              <w:rPr>
                <w:rFonts w:hint="default" w:ascii="Times New Roman" w:hAnsi="Times New Roman" w:eastAsia="宋体" w:cs="Times New Roman"/>
                <w:i w:val="0"/>
                <w:iCs w:val="0"/>
                <w:color w:val="auto"/>
                <w:kern w:val="0"/>
                <w:sz w:val="18"/>
                <w:szCs w:val="18"/>
                <w:u w:val="none"/>
                <w:lang w:val="en-US" w:eastAsia="zh-CN" w:bidi="ar"/>
              </w:rPr>
              <w:noBreakHyphen/>
            </w:r>
            <w:r>
              <w:rPr>
                <w:rFonts w:hint="default" w:ascii="Times New Roman" w:hAnsi="Times New Roman" w:eastAsia="宋体" w:cs="Times New Roman"/>
                <w:i w:val="0"/>
                <w:iCs w:val="0"/>
                <w:color w:val="auto"/>
                <w:kern w:val="0"/>
                <w:sz w:val="18"/>
                <w:szCs w:val="18"/>
                <w:u w:val="none"/>
                <w:lang w:val="en-US" w:eastAsia="zh-CN" w:bidi="ar"/>
              </w:rPr>
              <w:t>based control group</w:t>
            </w:r>
          </w:p>
        </w:tc>
        <w:tc>
          <w:tcPr>
            <w:tcW w:w="2493" w:type="dxa"/>
            <w:vAlign w:val="center"/>
          </w:tcPr>
          <w:p w14:paraId="77B63A48">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Content advocates standardised medical examination first, followed by standardised treatment tailored to the underlying cause</w:t>
            </w:r>
          </w:p>
        </w:tc>
        <w:tc>
          <w:tcPr>
            <w:tcW w:w="2679" w:type="dxa"/>
            <w:vAlign w:val="center"/>
          </w:tcPr>
          <w:p w14:paraId="73AC6A6B">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① Core content advises seeking medical care or shares formal diagnosis and treatment experiences; ② Explicitly references actions such as attending hospital, consulting a reproductive medicine department or following medical advice</w:t>
            </w:r>
          </w:p>
        </w:tc>
        <w:tc>
          <w:tcPr>
            <w:tcW w:w="2056" w:type="dxa"/>
            <w:vAlign w:val="center"/>
          </w:tcPr>
          <w:p w14:paraId="427EBF8E">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"It is recommended to attend a tertiary hospital reproductive medicine department", "Follow your doctor’s advice for treatment", "Get AMH / sex hormone panel testing", "Do not undergo unregulated conditioning blindly"</w:t>
            </w:r>
          </w:p>
        </w:tc>
      </w:tr>
      <w:tr w14:paraId="1937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2" w:type="dxa"/>
            <w:vAlign w:val="center"/>
          </w:tcPr>
          <w:p w14:paraId="11B2591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99</w:t>
            </w:r>
          </w:p>
        </w:tc>
        <w:tc>
          <w:tcPr>
            <w:tcW w:w="1788" w:type="dxa"/>
            <w:vAlign w:val="center"/>
          </w:tcPr>
          <w:p w14:paraId="0386EA94">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Unascertainable</w:t>
            </w:r>
          </w:p>
        </w:tc>
        <w:tc>
          <w:tcPr>
            <w:tcW w:w="2493" w:type="dxa"/>
            <w:vAlign w:val="center"/>
          </w:tcPr>
          <w:p w14:paraId="6538BBBB">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discernible preference for any regimen and no clear description of healthcare</w:t>
            </w:r>
            <w:r>
              <w:rPr>
                <w:rFonts w:hint="default" w:ascii="Times New Roman" w:hAnsi="Times New Roman" w:eastAsia="宋体" w:cs="Times New Roman"/>
                <w:i w:val="0"/>
                <w:iCs w:val="0"/>
                <w:color w:val="auto"/>
                <w:kern w:val="0"/>
                <w:sz w:val="18"/>
                <w:szCs w:val="18"/>
                <w:u w:val="none"/>
                <w:lang w:val="en-US" w:eastAsia="zh-CN" w:bidi="ar"/>
              </w:rPr>
              <w:noBreakHyphen/>
            </w:r>
            <w:r>
              <w:rPr>
                <w:rFonts w:hint="default" w:ascii="Times New Roman" w:hAnsi="Times New Roman" w:eastAsia="宋体" w:cs="Times New Roman"/>
                <w:i w:val="0"/>
                <w:iCs w:val="0"/>
                <w:color w:val="auto"/>
                <w:kern w:val="0"/>
                <w:sz w:val="18"/>
                <w:szCs w:val="18"/>
                <w:u w:val="none"/>
                <w:lang w:val="en-US" w:eastAsia="zh-CN" w:bidi="ar"/>
              </w:rPr>
              <w:t>seeking behaviour</w:t>
            </w:r>
          </w:p>
        </w:tc>
        <w:tc>
          <w:tcPr>
            <w:tcW w:w="2679" w:type="dxa"/>
            <w:vAlign w:val="center"/>
          </w:tcPr>
          <w:p w14:paraId="42BCB858">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w:t>
            </w:r>
          </w:p>
        </w:tc>
        <w:tc>
          <w:tcPr>
            <w:tcW w:w="2056" w:type="dxa"/>
            <w:vAlign w:val="center"/>
          </w:tcPr>
          <w:p w14:paraId="1BB71600">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Pure emotional venting posts, simple question posts</w:t>
            </w:r>
          </w:p>
        </w:tc>
      </w:tr>
    </w:tbl>
    <w:p w14:paraId="74955D76">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bookmarkStart w:id="2" w:name="heading_10"/>
      <w:r>
        <w:rPr>
          <w:rFonts w:hint="default" w:ascii="Times New Roman" w:hAnsi="Times New Roman" w:eastAsia="等线" w:cs="Times New Roman"/>
          <w:color w:val="auto"/>
          <w:sz w:val="18"/>
          <w:szCs w:val="18"/>
        </w:rPr>
        <w:t>Special note: Posts that only mention traditional Chinese medicine conditioning but do not negate formal medical care shall not be coded into the non</w:t>
      </w:r>
      <w:r>
        <w:rPr>
          <w:rFonts w:hint="default" w:ascii="Times New Roman" w:hAnsi="Times New Roman" w:eastAsia="等线" w:cs="Times New Roman"/>
          <w:color w:val="auto"/>
          <w:sz w:val="18"/>
          <w:szCs w:val="18"/>
        </w:rPr>
        <w:noBreakHyphen/>
      </w:r>
      <w:r>
        <w:rPr>
          <w:rFonts w:hint="default" w:ascii="Times New Roman" w:hAnsi="Times New Roman" w:eastAsia="等线" w:cs="Times New Roman"/>
          <w:color w:val="auto"/>
          <w:sz w:val="18"/>
          <w:szCs w:val="18"/>
        </w:rPr>
        <w:t>evidence</w:t>
      </w:r>
      <w:r>
        <w:rPr>
          <w:rFonts w:hint="default" w:ascii="Times New Roman" w:hAnsi="Times New Roman" w:eastAsia="等线" w:cs="Times New Roman"/>
          <w:color w:val="auto"/>
          <w:sz w:val="18"/>
          <w:szCs w:val="18"/>
        </w:rPr>
        <w:noBreakHyphen/>
      </w:r>
      <w:r>
        <w:rPr>
          <w:rFonts w:hint="default" w:ascii="Times New Roman" w:hAnsi="Times New Roman" w:eastAsia="等线" w:cs="Times New Roman"/>
          <w:color w:val="auto"/>
          <w:sz w:val="18"/>
          <w:szCs w:val="18"/>
        </w:rPr>
        <w:t>based exposure group. The professional status of the posting entity does not influence the determination of exposure group assignment.</w:t>
      </w:r>
    </w:p>
    <w:bookmarkEnd w:id="2"/>
    <w:p w14:paraId="7462E37C">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2.</w:t>
      </w:r>
      <w:r>
        <w:rPr>
          <w:rFonts w:hint="default" w:ascii="Times New Roman" w:hAnsi="Times New Roman" w:eastAsia="等线" w:cs="Times New Roman"/>
          <w:b/>
          <w:color w:val="auto"/>
          <w:sz w:val="18"/>
          <w:szCs w:val="18"/>
        </w:rPr>
        <w:t>6</w:t>
      </w:r>
      <w:r>
        <w:rPr>
          <w:rFonts w:hint="eastAsia" w:ascii="Times New Roman" w:hAnsi="Times New Roman" w:eastAsia="等线" w:cs="Times New Roman"/>
          <w:b/>
          <w:color w:val="auto"/>
          <w:sz w:val="18"/>
          <w:szCs w:val="18"/>
          <w:lang w:val="en-US" w:eastAsia="zh-CN"/>
        </w:rPr>
        <w:t xml:space="preserve"> </w:t>
      </w:r>
      <w:r>
        <w:rPr>
          <w:rFonts w:hint="default" w:ascii="Times New Roman" w:hAnsi="Times New Roman" w:eastAsia="等线" w:cs="Times New Roman"/>
          <w:b/>
          <w:color w:val="auto"/>
          <w:sz w:val="18"/>
          <w:szCs w:val="18"/>
        </w:rPr>
        <w:t>Delayed Care Attendance</w:t>
      </w:r>
    </w:p>
    <w:p w14:paraId="70F9A078">
      <w:pPr>
        <w:keepLines w:val="0"/>
        <w:pageBreakBefore w:val="0"/>
        <w:kinsoku/>
        <w:wordWrap/>
        <w:overflowPunct/>
        <w:topLinePunct w:val="0"/>
        <w:autoSpaceDE/>
        <w:autoSpaceDN/>
        <w:bidi w:val="0"/>
        <w:adjustRightInd/>
        <w:spacing w:before="0" w:beforeLines="50" w:after="0" w:afterLines="50" w:line="240" w:lineRule="exact"/>
        <w:ind w:left="0" w:leftChars="0"/>
        <w:jc w:val="left"/>
        <w:rPr>
          <w:rFonts w:hint="default" w:ascii="Times New Roman" w:hAnsi="Times New Roman" w:eastAsia="宋体" w:cs="Times New Roman"/>
          <w:color w:val="auto"/>
          <w:sz w:val="18"/>
          <w:szCs w:val="18"/>
        </w:rPr>
      </w:pPr>
      <w:r>
        <w:rPr>
          <w:rStyle w:val="7"/>
          <w:rFonts w:hint="default" w:ascii="Times New Roman" w:hAnsi="Times New Roman" w:eastAsia="宋体" w:cs="Times New Roman"/>
          <w:color w:val="auto"/>
          <w:sz w:val="18"/>
          <w:szCs w:val="18"/>
        </w:rPr>
        <w:t xml:space="preserve"> </w:t>
      </w:r>
      <w:r>
        <w:rPr>
          <w:rStyle w:val="7"/>
          <w:rFonts w:hint="default" w:ascii="Times New Roman" w:hAnsi="Times New Roman" w:eastAsia="宋体" w:cs="Times New Roman"/>
          <w:color w:val="auto"/>
          <w:sz w:val="18"/>
          <w:szCs w:val="18"/>
          <w:lang w:val="en-US" w:eastAsia="zh-CN"/>
        </w:rPr>
        <w:t>R</w:t>
      </w:r>
      <w:r>
        <w:rPr>
          <w:rStyle w:val="7"/>
          <w:rFonts w:hint="default" w:ascii="Times New Roman" w:hAnsi="Times New Roman" w:eastAsia="宋体" w:cs="Times New Roman"/>
          <w:color w:val="auto"/>
          <w:sz w:val="18"/>
          <w:szCs w:val="18"/>
        </w:rPr>
        <w:t>ule</w:t>
      </w:r>
      <w:r>
        <w:rPr>
          <w:rFonts w:hint="default" w:ascii="Times New Roman" w:hAnsi="Times New Roman" w:eastAsia="宋体" w:cs="Times New Roman"/>
          <w:color w:val="auto"/>
          <w:sz w:val="18"/>
          <w:szCs w:val="18"/>
        </w:rPr>
        <w:t>: Coding must be based on explicit descriptions of actual behaviour, rather than mere stated intentions or emotional expressions.</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1435"/>
        <w:gridCol w:w="2119"/>
        <w:gridCol w:w="2288"/>
        <w:gridCol w:w="2172"/>
      </w:tblGrid>
      <w:tr w14:paraId="28D5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27" w:type="dxa"/>
            <w:vAlign w:val="center"/>
          </w:tcPr>
          <w:p w14:paraId="10540319">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Code value</w:t>
            </w:r>
          </w:p>
        </w:tc>
        <w:tc>
          <w:tcPr>
            <w:tcW w:w="0" w:type="auto"/>
            <w:vAlign w:val="center"/>
          </w:tcPr>
          <w:p w14:paraId="426740F9">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Label</w:t>
            </w:r>
          </w:p>
        </w:tc>
        <w:tc>
          <w:tcPr>
            <w:tcW w:w="2119" w:type="dxa"/>
            <w:vAlign w:val="center"/>
          </w:tcPr>
          <w:p w14:paraId="629FE6B3">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Operational definition</w:t>
            </w:r>
          </w:p>
        </w:tc>
        <w:tc>
          <w:tcPr>
            <w:tcW w:w="2288" w:type="dxa"/>
            <w:vAlign w:val="center"/>
          </w:tcPr>
          <w:p w14:paraId="04C27AAB">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Key judgement criteria</w:t>
            </w:r>
          </w:p>
        </w:tc>
        <w:tc>
          <w:tcPr>
            <w:tcW w:w="2172" w:type="dxa"/>
            <w:vAlign w:val="center"/>
          </w:tcPr>
          <w:p w14:paraId="608D6CC9">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Typical textual features</w:t>
            </w:r>
          </w:p>
        </w:tc>
      </w:tr>
      <w:tr w14:paraId="7729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27" w:type="dxa"/>
            <w:vAlign w:val="center"/>
          </w:tcPr>
          <w:p w14:paraId="6A2B330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65B7C3CD">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Delayed attendance present</w:t>
            </w:r>
          </w:p>
        </w:tc>
        <w:tc>
          <w:tcPr>
            <w:tcW w:w="2119" w:type="dxa"/>
            <w:vAlign w:val="center"/>
          </w:tcPr>
          <w:p w14:paraId="0D366224">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The post explicitly states that formal reproductive specialist care has been or is being postponed, with a self</w:t>
            </w:r>
            <w:r>
              <w:rPr>
                <w:rFonts w:hint="default" w:ascii="Times New Roman" w:hAnsi="Times New Roman" w:eastAsia="宋体" w:cs="Times New Roman"/>
                <w:i w:val="0"/>
                <w:iCs w:val="0"/>
                <w:color w:val="auto"/>
                <w:kern w:val="0"/>
                <w:sz w:val="18"/>
                <w:szCs w:val="18"/>
                <w:u w:val="none"/>
                <w:lang w:val="en-US" w:eastAsia="zh-CN" w:bidi="ar"/>
              </w:rPr>
              <w:noBreakHyphen/>
            </w:r>
            <w:r>
              <w:rPr>
                <w:rFonts w:hint="default" w:ascii="Times New Roman" w:hAnsi="Times New Roman" w:eastAsia="宋体" w:cs="Times New Roman"/>
                <w:i w:val="0"/>
                <w:iCs w:val="0"/>
                <w:color w:val="auto"/>
                <w:kern w:val="0"/>
                <w:sz w:val="18"/>
                <w:szCs w:val="18"/>
                <w:u w:val="none"/>
                <w:lang w:val="en-US" w:eastAsia="zh-CN" w:bidi="ar"/>
              </w:rPr>
              <w:t>reported delay duration of ≥ 6 months</w:t>
            </w:r>
          </w:p>
        </w:tc>
        <w:tc>
          <w:tcPr>
            <w:tcW w:w="2288" w:type="dxa"/>
            <w:vAlign w:val="center"/>
          </w:tcPr>
          <w:p w14:paraId="0510160E">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① Contains behavioural verbs such as postpone, delay, wait or try again; ② Clear temporal indication of ≥ 6 months; ③ Prioritises non</w:t>
            </w:r>
            <w:r>
              <w:rPr>
                <w:rFonts w:hint="default" w:ascii="Times New Roman" w:hAnsi="Times New Roman" w:eastAsia="宋体" w:cs="Times New Roman"/>
                <w:i w:val="0"/>
                <w:iCs w:val="0"/>
                <w:color w:val="auto"/>
                <w:kern w:val="0"/>
                <w:sz w:val="18"/>
                <w:szCs w:val="18"/>
                <w:u w:val="none"/>
                <w:lang w:val="en-US" w:eastAsia="zh-CN" w:bidi="ar"/>
              </w:rPr>
              <w:noBreakHyphen/>
            </w:r>
            <w:r>
              <w:rPr>
                <w:rFonts w:hint="default" w:ascii="Times New Roman" w:hAnsi="Times New Roman" w:eastAsia="宋体" w:cs="Times New Roman"/>
                <w:i w:val="0"/>
                <w:iCs w:val="0"/>
                <w:color w:val="auto"/>
                <w:kern w:val="0"/>
                <w:sz w:val="18"/>
                <w:szCs w:val="18"/>
                <w:u w:val="none"/>
                <w:lang w:val="en-US" w:eastAsia="zh-CN" w:bidi="ar"/>
              </w:rPr>
              <w:t>evidence</w:t>
            </w:r>
            <w:r>
              <w:rPr>
                <w:rFonts w:hint="default" w:ascii="Times New Roman" w:hAnsi="Times New Roman" w:eastAsia="宋体" w:cs="Times New Roman"/>
                <w:i w:val="0"/>
                <w:iCs w:val="0"/>
                <w:color w:val="auto"/>
                <w:kern w:val="0"/>
                <w:sz w:val="18"/>
                <w:szCs w:val="18"/>
                <w:u w:val="none"/>
                <w:lang w:val="en-US" w:eastAsia="zh-CN" w:bidi="ar"/>
              </w:rPr>
              <w:noBreakHyphen/>
            </w:r>
            <w:r>
              <w:rPr>
                <w:rFonts w:hint="default" w:ascii="Times New Roman" w:hAnsi="Times New Roman" w:eastAsia="宋体" w:cs="Times New Roman"/>
                <w:i w:val="0"/>
                <w:iCs w:val="0"/>
                <w:color w:val="auto"/>
                <w:kern w:val="0"/>
                <w:sz w:val="18"/>
                <w:szCs w:val="18"/>
                <w:u w:val="none"/>
                <w:lang w:val="en-US" w:eastAsia="zh-CN" w:bidi="ar"/>
              </w:rPr>
              <w:t>based alternative regimens</w:t>
            </w:r>
          </w:p>
        </w:tc>
        <w:tc>
          <w:tcPr>
            <w:tcW w:w="2172" w:type="dxa"/>
            <w:vAlign w:val="center"/>
          </w:tcPr>
          <w:p w14:paraId="4BA63C6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"Try on my own for another six months", "Take Chinese herbal medicine for a few months first", "Don’t want to go to hospital", "Put it off and haven’t gone", "Wait and see for a while"</w:t>
            </w:r>
          </w:p>
        </w:tc>
      </w:tr>
      <w:tr w14:paraId="6614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27" w:type="dxa"/>
            <w:vAlign w:val="center"/>
          </w:tcPr>
          <w:p w14:paraId="4B437F17">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w:t>
            </w:r>
          </w:p>
        </w:tc>
        <w:tc>
          <w:tcPr>
            <w:tcW w:w="0" w:type="auto"/>
            <w:vAlign w:val="center"/>
          </w:tcPr>
          <w:p w14:paraId="6276BD4D">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delayed attendance</w:t>
            </w:r>
          </w:p>
        </w:tc>
        <w:tc>
          <w:tcPr>
            <w:tcW w:w="2119" w:type="dxa"/>
            <w:vAlign w:val="center"/>
          </w:tcPr>
          <w:p w14:paraId="40C01907">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The post indicates that formal reproductive medical care is currently being received or will be initiated imminently</w:t>
            </w:r>
          </w:p>
        </w:tc>
        <w:tc>
          <w:tcPr>
            <w:tcW w:w="2288" w:type="dxa"/>
            <w:vAlign w:val="center"/>
          </w:tcPr>
          <w:p w14:paraId="7815BAA7">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① Explicitly mentions actions such as attended hospital, booked a reproductive medicine appointment or preparing for IVF; ② Has completed formal examinations and complies with medical advice</w:t>
            </w:r>
          </w:p>
        </w:tc>
        <w:tc>
          <w:tcPr>
            <w:tcW w:w="2172" w:type="dxa"/>
            <w:vAlign w:val="center"/>
          </w:tcPr>
          <w:p w14:paraId="6E21DD3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"Get sex hormone testing on day 3 of menstruation", "Start ovulation induction next month", "I proceeded with IVF as recommended by my doctor", "Already completed hospital registration"</w:t>
            </w:r>
          </w:p>
        </w:tc>
      </w:tr>
      <w:tr w14:paraId="575B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27" w:type="dxa"/>
            <w:vAlign w:val="center"/>
          </w:tcPr>
          <w:p w14:paraId="34FA5423">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99</w:t>
            </w:r>
          </w:p>
        </w:tc>
        <w:tc>
          <w:tcPr>
            <w:tcW w:w="1435" w:type="dxa"/>
            <w:vAlign w:val="center"/>
          </w:tcPr>
          <w:p w14:paraId="74E68493">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Unascertainable</w:t>
            </w:r>
          </w:p>
        </w:tc>
        <w:tc>
          <w:tcPr>
            <w:tcW w:w="2119" w:type="dxa"/>
            <w:vAlign w:val="center"/>
          </w:tcPr>
          <w:p w14:paraId="13F417E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clear description of healthcare</w:t>
            </w:r>
            <w:r>
              <w:rPr>
                <w:rFonts w:hint="default" w:ascii="Times New Roman" w:hAnsi="Times New Roman" w:eastAsia="宋体" w:cs="Times New Roman"/>
                <w:i w:val="0"/>
                <w:iCs w:val="0"/>
                <w:color w:val="auto"/>
                <w:kern w:val="0"/>
                <w:sz w:val="18"/>
                <w:szCs w:val="18"/>
                <w:u w:val="none"/>
                <w:lang w:val="en-US" w:eastAsia="zh-CN" w:bidi="ar"/>
              </w:rPr>
              <w:noBreakHyphen/>
            </w:r>
            <w:r>
              <w:rPr>
                <w:rFonts w:hint="default" w:ascii="Times New Roman" w:hAnsi="Times New Roman" w:eastAsia="宋体" w:cs="Times New Roman"/>
                <w:i w:val="0"/>
                <w:iCs w:val="0"/>
                <w:color w:val="auto"/>
                <w:kern w:val="0"/>
                <w:sz w:val="18"/>
                <w:szCs w:val="18"/>
                <w:u w:val="none"/>
                <w:lang w:val="en-US" w:eastAsia="zh-CN" w:bidi="ar"/>
              </w:rPr>
              <w:t>seeking behaviour, ambiguous timeline, or reported delay duration of less than 6 months</w:t>
            </w:r>
          </w:p>
        </w:tc>
        <w:tc>
          <w:tcPr>
            <w:tcW w:w="2288" w:type="dxa"/>
            <w:vAlign w:val="center"/>
          </w:tcPr>
          <w:p w14:paraId="3CFBC3EE">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w:t>
            </w:r>
          </w:p>
        </w:tc>
        <w:tc>
          <w:tcPr>
            <w:tcW w:w="2172" w:type="dxa"/>
            <w:vAlign w:val="center"/>
          </w:tcPr>
          <w:p w14:paraId="67BF825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Only states "been trying to conceive for 2 years without success" with no description of delayed medical care</w:t>
            </w:r>
            <w:r>
              <w:rPr>
                <w:rFonts w:hint="default" w:ascii="Times New Roman" w:hAnsi="Times New Roman" w:eastAsia="宋体" w:cs="Times New Roman"/>
                <w:i w:val="0"/>
                <w:iCs w:val="0"/>
                <w:color w:val="auto"/>
                <w:kern w:val="0"/>
                <w:sz w:val="18"/>
                <w:szCs w:val="18"/>
                <w:u w:val="none"/>
                <w:lang w:val="en-US" w:eastAsia="zh-CN" w:bidi="ar"/>
              </w:rPr>
              <w:noBreakHyphen/>
            </w:r>
            <w:r>
              <w:rPr>
                <w:rFonts w:hint="default" w:ascii="Times New Roman" w:hAnsi="Times New Roman" w:eastAsia="宋体" w:cs="Times New Roman"/>
                <w:i w:val="0"/>
                <w:iCs w:val="0"/>
                <w:color w:val="auto"/>
                <w:kern w:val="0"/>
                <w:sz w:val="18"/>
                <w:szCs w:val="18"/>
                <w:u w:val="none"/>
                <w:lang w:val="en-US" w:eastAsia="zh-CN" w:bidi="ar"/>
              </w:rPr>
              <w:t>seeking behaviour</w:t>
            </w:r>
          </w:p>
        </w:tc>
      </w:tr>
    </w:tbl>
    <w:p w14:paraId="3DA5333A">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2.</w:t>
      </w:r>
      <w:r>
        <w:rPr>
          <w:rFonts w:hint="default" w:ascii="Times New Roman" w:hAnsi="Times New Roman" w:eastAsia="等线" w:cs="Times New Roman"/>
          <w:b/>
          <w:color w:val="auto"/>
          <w:sz w:val="18"/>
          <w:szCs w:val="18"/>
        </w:rPr>
        <w:t>7 Age Stratum</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0"/>
        <w:gridCol w:w="899"/>
        <w:gridCol w:w="3405"/>
        <w:gridCol w:w="3667"/>
      </w:tblGrid>
      <w:tr w14:paraId="4455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0" w:hRule="atLeast"/>
          <w:tblHeader/>
          <w:jc w:val="center"/>
        </w:trPr>
        <w:tc>
          <w:tcPr>
            <w:tcW w:w="1270" w:type="dxa"/>
            <w:vAlign w:val="center"/>
          </w:tcPr>
          <w:p w14:paraId="4CDC18B4">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Code value</w:t>
            </w:r>
          </w:p>
        </w:tc>
        <w:tc>
          <w:tcPr>
            <w:tcW w:w="0" w:type="auto"/>
            <w:vAlign w:val="center"/>
          </w:tcPr>
          <w:p w14:paraId="1E1ECE0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Stratum</w:t>
            </w:r>
          </w:p>
        </w:tc>
        <w:tc>
          <w:tcPr>
            <w:tcW w:w="3405" w:type="dxa"/>
            <w:vAlign w:val="center"/>
          </w:tcPr>
          <w:p w14:paraId="1D0DB9EB">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Operational definition</w:t>
            </w:r>
          </w:p>
        </w:tc>
        <w:tc>
          <w:tcPr>
            <w:tcW w:w="3667" w:type="dxa"/>
            <w:vAlign w:val="center"/>
          </w:tcPr>
          <w:p w14:paraId="3CEB495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Typical textual features</w:t>
            </w:r>
          </w:p>
        </w:tc>
      </w:tr>
      <w:tr w14:paraId="68E7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0" w:hRule="atLeast"/>
          <w:jc w:val="center"/>
        </w:trPr>
        <w:tc>
          <w:tcPr>
            <w:tcW w:w="1270" w:type="dxa"/>
            <w:vAlign w:val="center"/>
          </w:tcPr>
          <w:p w14:paraId="4D4E5198">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20A97195">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&lt; 35 years</w:t>
            </w:r>
          </w:p>
        </w:tc>
        <w:tc>
          <w:tcPr>
            <w:tcW w:w="3405" w:type="dxa"/>
            <w:vAlign w:val="center"/>
          </w:tcPr>
          <w:p w14:paraId="796BC312">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Age stated as under 35 years in the post, or inferable as below 35 years from context</w:t>
            </w:r>
          </w:p>
        </w:tc>
        <w:tc>
          <w:tcPr>
            <w:tcW w:w="3667" w:type="dxa"/>
            <w:vAlign w:val="center"/>
          </w:tcPr>
          <w:p w14:paraId="32EF1805">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"I’m 26 years old", "trying to conceive at 30", "been married for just six months", "trying to conceive, born in the 1990s"</w:t>
            </w:r>
          </w:p>
        </w:tc>
      </w:tr>
      <w:tr w14:paraId="5DE7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0" w:hRule="atLeast"/>
          <w:jc w:val="center"/>
        </w:trPr>
        <w:tc>
          <w:tcPr>
            <w:tcW w:w="1270" w:type="dxa"/>
            <w:vAlign w:val="center"/>
          </w:tcPr>
          <w:p w14:paraId="1264AB3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0" w:type="auto"/>
            <w:vAlign w:val="center"/>
          </w:tcPr>
          <w:p w14:paraId="7A8C572E">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 35 years</w:t>
            </w:r>
          </w:p>
        </w:tc>
        <w:tc>
          <w:tcPr>
            <w:tcW w:w="3405" w:type="dxa"/>
            <w:vAlign w:val="center"/>
          </w:tcPr>
          <w:p w14:paraId="3806E94B">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Age stated as 35 years or older, or explicitly described as advanced maternal age preconception</w:t>
            </w:r>
          </w:p>
        </w:tc>
        <w:tc>
          <w:tcPr>
            <w:tcW w:w="3667" w:type="dxa"/>
            <w:vAlign w:val="center"/>
          </w:tcPr>
          <w:p w14:paraId="1E131413">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"36 years old", "advanced maternal age pregnancy planning", "born in 1982", "35+"</w:t>
            </w:r>
          </w:p>
        </w:tc>
      </w:tr>
      <w:tr w14:paraId="13E7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0" w:hRule="atLeast"/>
          <w:jc w:val="center"/>
        </w:trPr>
        <w:tc>
          <w:tcPr>
            <w:tcW w:w="1270" w:type="dxa"/>
            <w:vAlign w:val="center"/>
          </w:tcPr>
          <w:p w14:paraId="58C4714B">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99</w:t>
            </w:r>
          </w:p>
        </w:tc>
        <w:tc>
          <w:tcPr>
            <w:tcW w:w="899" w:type="dxa"/>
            <w:vAlign w:val="center"/>
          </w:tcPr>
          <w:p w14:paraId="30350A64">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Missing</w:t>
            </w:r>
          </w:p>
        </w:tc>
        <w:tc>
          <w:tcPr>
            <w:tcW w:w="3405" w:type="dxa"/>
            <w:vAlign w:val="center"/>
          </w:tcPr>
          <w:p w14:paraId="2A8ED8D8">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age mentioned in the full text and cannot be inferred from context</w:t>
            </w:r>
          </w:p>
        </w:tc>
        <w:tc>
          <w:tcPr>
            <w:tcW w:w="3667" w:type="dxa"/>
            <w:vAlign w:val="center"/>
          </w:tcPr>
          <w:p w14:paraId="17680CFE">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w:t>
            </w:r>
          </w:p>
        </w:tc>
      </w:tr>
    </w:tbl>
    <w:tbl>
      <w:tblPr>
        <w:tblStyle w:val="4"/>
        <w:tblW w:w="5006"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9276"/>
      </w:tblGrid>
      <w:tr w14:paraId="05F64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wAfter w:w="525" w:type="pct"/>
        </w:trPr>
        <w:tc>
          <w:tcPr>
            <w:tcW w:w="4474" w:type="pct"/>
            <w:tcBorders>
              <w:top w:val="nil"/>
              <w:left w:val="single" w:color="BBBFC4" w:sz="18" w:space="0"/>
              <w:bottom w:val="nil"/>
              <w:right w:val="nil"/>
            </w:tcBorders>
            <w:tcMar>
              <w:top w:w="60" w:type="dxa"/>
              <w:left w:w="120" w:type="dxa"/>
              <w:bottom w:w="30" w:type="dxa"/>
              <w:right w:w="120" w:type="dxa"/>
            </w:tcMar>
          </w:tcPr>
          <w:p w14:paraId="13DC823E">
            <w:pPr>
              <w:keepLines w:val="0"/>
              <w:pageBreakBefore w:val="0"/>
              <w:kinsoku/>
              <w:wordWrap/>
              <w:overflowPunct/>
              <w:topLinePunct w:val="0"/>
              <w:autoSpaceDE/>
              <w:autoSpaceDN/>
              <w:bidi w:val="0"/>
              <w:adjustRightInd/>
              <w:spacing w:before="0" w:beforeLines="50" w:after="0" w:afterLines="50" w:line="240" w:lineRule="exact"/>
              <w:ind w:left="0" w:leftChars="0"/>
              <w:jc w:val="left"/>
              <w:rPr>
                <w:rFonts w:hint="default" w:ascii="Times New Roman" w:hAnsi="Times New Roman" w:eastAsia="等线" w:cs="Times New Roman"/>
                <w:color w:val="auto"/>
                <w:sz w:val="18"/>
                <w:szCs w:val="18"/>
              </w:rPr>
            </w:pPr>
            <w:r>
              <w:rPr>
                <w:rFonts w:hint="default" w:ascii="Times New Roman" w:hAnsi="Times New Roman" w:eastAsia="等线" w:cs="Times New Roman"/>
                <w:color w:val="auto"/>
                <w:sz w:val="18"/>
                <w:szCs w:val="18"/>
              </w:rPr>
              <w:t>Inference rule: "recently married" may be conservatively inferred as &lt; 35 years. In reproductive medicine contexts, "advanced maternal age" uniformly refers to ≥ 35 years.</w:t>
            </w:r>
          </w:p>
        </w:tc>
      </w:tr>
    </w:tbl>
    <w:p w14:paraId="6F7240A8">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2.</w:t>
      </w:r>
      <w:r>
        <w:rPr>
          <w:rFonts w:hint="default" w:ascii="Times New Roman" w:hAnsi="Times New Roman" w:eastAsia="等线" w:cs="Times New Roman"/>
          <w:b/>
          <w:color w:val="auto"/>
          <w:sz w:val="18"/>
          <w:szCs w:val="18"/>
        </w:rPr>
        <w:t>8</w:t>
      </w:r>
      <w:r>
        <w:rPr>
          <w:rFonts w:hint="eastAsia" w:ascii="Times New Roman" w:hAnsi="Times New Roman" w:eastAsia="等线" w:cs="Times New Roman"/>
          <w:b/>
          <w:color w:val="auto"/>
          <w:sz w:val="18"/>
          <w:szCs w:val="18"/>
          <w:lang w:val="en-US" w:eastAsia="zh-CN"/>
        </w:rPr>
        <w:t xml:space="preserve"> </w:t>
      </w:r>
      <w:r>
        <w:rPr>
          <w:rFonts w:hint="default" w:ascii="Times New Roman" w:hAnsi="Times New Roman" w:eastAsia="等线" w:cs="Times New Roman"/>
          <w:b/>
          <w:color w:val="auto"/>
          <w:sz w:val="18"/>
          <w:szCs w:val="18"/>
        </w:rPr>
        <w:t>Infertility Duration</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865"/>
        <w:gridCol w:w="3073"/>
        <w:gridCol w:w="4035"/>
      </w:tblGrid>
      <w:tr w14:paraId="6ADB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68" w:type="dxa"/>
            <w:vAlign w:val="center"/>
          </w:tcPr>
          <w:p w14:paraId="7EADC2E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Code value</w:t>
            </w:r>
          </w:p>
        </w:tc>
        <w:tc>
          <w:tcPr>
            <w:tcW w:w="0" w:type="auto"/>
            <w:vAlign w:val="center"/>
          </w:tcPr>
          <w:p w14:paraId="2F526CB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Stratum</w:t>
            </w:r>
          </w:p>
        </w:tc>
        <w:tc>
          <w:tcPr>
            <w:tcW w:w="0" w:type="auto"/>
            <w:vAlign w:val="center"/>
          </w:tcPr>
          <w:p w14:paraId="568027C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Operational definition</w:t>
            </w:r>
          </w:p>
        </w:tc>
        <w:tc>
          <w:tcPr>
            <w:tcW w:w="4035" w:type="dxa"/>
            <w:vAlign w:val="center"/>
          </w:tcPr>
          <w:p w14:paraId="719A6C7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Typical textual features</w:t>
            </w:r>
          </w:p>
        </w:tc>
      </w:tr>
      <w:tr w14:paraId="6D374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2719196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45657750">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&lt; 3 years</w:t>
            </w:r>
          </w:p>
        </w:tc>
        <w:tc>
          <w:tcPr>
            <w:tcW w:w="0" w:type="auto"/>
            <w:vAlign w:val="center"/>
          </w:tcPr>
          <w:p w14:paraId="3BC0EB9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Duration of preconception effort / infertility is less than 3 years</w:t>
            </w:r>
          </w:p>
        </w:tc>
        <w:tc>
          <w:tcPr>
            <w:tcW w:w="4035" w:type="dxa"/>
            <w:vAlign w:val="center"/>
          </w:tcPr>
          <w:p w14:paraId="25A7C7D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"been trying for six months", "tried for a few months", "one and a half years trying to conceive", "it’s been two years"</w:t>
            </w:r>
          </w:p>
        </w:tc>
      </w:tr>
      <w:tr w14:paraId="4BFB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6BFB0E50">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0" w:type="auto"/>
            <w:vAlign w:val="center"/>
          </w:tcPr>
          <w:p w14:paraId="13713E1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 3 years</w:t>
            </w:r>
          </w:p>
        </w:tc>
        <w:tc>
          <w:tcPr>
            <w:tcW w:w="0" w:type="auto"/>
            <w:vAlign w:val="center"/>
          </w:tcPr>
          <w:p w14:paraId="51E8452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Duration of preconception effort / infertility reaches or exceeds 3 years</w:t>
            </w:r>
          </w:p>
        </w:tc>
        <w:tc>
          <w:tcPr>
            <w:tcW w:w="4035" w:type="dxa"/>
            <w:vAlign w:val="center"/>
          </w:tcPr>
          <w:p w14:paraId="1A45EA6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"four years trying to conceive", "it’s been five years", "over three years trying and no pregnancy"</w:t>
            </w:r>
          </w:p>
        </w:tc>
      </w:tr>
      <w:tr w14:paraId="1B7E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7C4738E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99</w:t>
            </w:r>
          </w:p>
        </w:tc>
        <w:tc>
          <w:tcPr>
            <w:tcW w:w="865" w:type="dxa"/>
            <w:vAlign w:val="center"/>
          </w:tcPr>
          <w:p w14:paraId="1009992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Missing</w:t>
            </w:r>
          </w:p>
        </w:tc>
        <w:tc>
          <w:tcPr>
            <w:tcW w:w="3073" w:type="dxa"/>
            <w:vAlign w:val="center"/>
          </w:tcPr>
          <w:p w14:paraId="58F0C39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mention of infertility duration in the full text</w:t>
            </w:r>
          </w:p>
        </w:tc>
        <w:tc>
          <w:tcPr>
            <w:tcW w:w="4035" w:type="dxa"/>
            <w:vAlign w:val="center"/>
          </w:tcPr>
          <w:p w14:paraId="7867699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w:t>
            </w:r>
          </w:p>
        </w:tc>
      </w:tr>
    </w:tbl>
    <w:p w14:paraId="5B75A0A3">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2.</w:t>
      </w:r>
      <w:r>
        <w:rPr>
          <w:rFonts w:hint="default" w:ascii="Times New Roman" w:hAnsi="Times New Roman" w:eastAsia="等线" w:cs="Times New Roman"/>
          <w:b/>
          <w:color w:val="auto"/>
          <w:sz w:val="18"/>
          <w:szCs w:val="18"/>
        </w:rPr>
        <w:t>9</w:t>
      </w:r>
      <w:r>
        <w:rPr>
          <w:rFonts w:hint="eastAsia" w:ascii="Times New Roman" w:hAnsi="Times New Roman" w:eastAsia="等线" w:cs="Times New Roman"/>
          <w:b/>
          <w:color w:val="auto"/>
          <w:sz w:val="18"/>
          <w:szCs w:val="18"/>
          <w:lang w:val="en-US" w:eastAsia="zh-CN"/>
        </w:rPr>
        <w:t xml:space="preserve"> </w:t>
      </w:r>
      <w:r>
        <w:rPr>
          <w:rFonts w:hint="default" w:ascii="Times New Roman" w:hAnsi="Times New Roman" w:eastAsia="等线" w:cs="Times New Roman"/>
          <w:b/>
          <w:color w:val="auto"/>
          <w:sz w:val="18"/>
          <w:szCs w:val="18"/>
        </w:rPr>
        <w:t>Preconception Anxiety Severity</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1"/>
        <w:gridCol w:w="906"/>
        <w:gridCol w:w="3492"/>
        <w:gridCol w:w="3562"/>
      </w:tblGrid>
      <w:tr w14:paraId="5551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81" w:type="dxa"/>
            <w:vAlign w:val="center"/>
          </w:tcPr>
          <w:p w14:paraId="7817360F">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Code value</w:t>
            </w:r>
          </w:p>
        </w:tc>
        <w:tc>
          <w:tcPr>
            <w:tcW w:w="0" w:type="auto"/>
            <w:vAlign w:val="center"/>
          </w:tcPr>
          <w:p w14:paraId="2C7DFCB3">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Stratum</w:t>
            </w:r>
          </w:p>
        </w:tc>
        <w:tc>
          <w:tcPr>
            <w:tcW w:w="3492" w:type="dxa"/>
            <w:vAlign w:val="center"/>
          </w:tcPr>
          <w:p w14:paraId="22FE940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Operational definition</w:t>
            </w:r>
          </w:p>
        </w:tc>
        <w:tc>
          <w:tcPr>
            <w:tcW w:w="3562" w:type="dxa"/>
            <w:vAlign w:val="center"/>
          </w:tcPr>
          <w:p w14:paraId="29B9562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Typical textual features</w:t>
            </w:r>
          </w:p>
        </w:tc>
      </w:tr>
      <w:tr w14:paraId="73CA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81" w:type="dxa"/>
            <w:vAlign w:val="center"/>
          </w:tcPr>
          <w:p w14:paraId="16D5A61E">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5518CD9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Mild</w:t>
            </w:r>
          </w:p>
        </w:tc>
        <w:tc>
          <w:tcPr>
            <w:tcW w:w="3492" w:type="dxa"/>
            <w:vAlign w:val="center"/>
          </w:tcPr>
          <w:p w14:paraId="0EC1E4F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Only expresses mild anticipation or impatience, with no persistent emotional distress or somatic symptoms</w:t>
            </w:r>
          </w:p>
        </w:tc>
        <w:tc>
          <w:tcPr>
            <w:tcW w:w="3562" w:type="dxa"/>
            <w:vAlign w:val="center"/>
          </w:tcPr>
          <w:p w14:paraId="264568EE">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 bit anxious", "hope to get pregnant soon", "eager to have a baby"</w:t>
            </w:r>
          </w:p>
        </w:tc>
      </w:tr>
      <w:tr w14:paraId="0937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81" w:type="dxa"/>
            <w:vAlign w:val="center"/>
          </w:tcPr>
          <w:p w14:paraId="0680D7FC">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0" w:type="auto"/>
            <w:vAlign w:val="center"/>
          </w:tcPr>
          <w:p w14:paraId="0457E884">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Moderate</w:t>
            </w:r>
          </w:p>
        </w:tc>
        <w:tc>
          <w:tcPr>
            <w:tcW w:w="3492" w:type="dxa"/>
            <w:vAlign w:val="center"/>
          </w:tcPr>
          <w:p w14:paraId="4BBA5A8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Clearly expresses persistent anxiety, or accompanied by mild somatic reactions</w:t>
            </w:r>
          </w:p>
        </w:tc>
        <w:tc>
          <w:tcPr>
            <w:tcW w:w="3562" w:type="dxa"/>
            <w:vAlign w:val="center"/>
          </w:tcPr>
          <w:p w14:paraId="5615A14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"think about this every day", "under a lot of pressure", "can’t sleep well", "easily irritable", "don’t want to socialise"</w:t>
            </w:r>
          </w:p>
        </w:tc>
      </w:tr>
      <w:tr w14:paraId="1488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81" w:type="dxa"/>
            <w:vAlign w:val="center"/>
          </w:tcPr>
          <w:p w14:paraId="3C2D8600">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3</w:t>
            </w:r>
          </w:p>
        </w:tc>
        <w:tc>
          <w:tcPr>
            <w:tcW w:w="0" w:type="auto"/>
            <w:vAlign w:val="center"/>
          </w:tcPr>
          <w:p w14:paraId="0BEF4704">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Severe</w:t>
            </w:r>
          </w:p>
        </w:tc>
        <w:tc>
          <w:tcPr>
            <w:tcW w:w="3492" w:type="dxa"/>
            <w:vAlign w:val="center"/>
          </w:tcPr>
          <w:p w14:paraId="472F1A4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Presents severe negative emotions or clear impaired social functioning</w:t>
            </w:r>
          </w:p>
        </w:tc>
        <w:tc>
          <w:tcPr>
            <w:tcW w:w="3562" w:type="dxa"/>
            <w:vAlign w:val="center"/>
          </w:tcPr>
          <w:p w14:paraId="4359F85F">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"breaking down", "depressed", "don’t want to live anymore", "dare not see family", "afraid to go home for Spring Festival"</w:t>
            </w:r>
          </w:p>
        </w:tc>
      </w:tr>
      <w:tr w14:paraId="4747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81" w:type="dxa"/>
            <w:vAlign w:val="center"/>
          </w:tcPr>
          <w:p w14:paraId="32F5F09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99</w:t>
            </w:r>
          </w:p>
        </w:tc>
        <w:tc>
          <w:tcPr>
            <w:tcW w:w="906" w:type="dxa"/>
            <w:vAlign w:val="center"/>
          </w:tcPr>
          <w:p w14:paraId="07E71D6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Missing</w:t>
            </w:r>
          </w:p>
        </w:tc>
        <w:tc>
          <w:tcPr>
            <w:tcW w:w="3492" w:type="dxa"/>
            <w:vAlign w:val="center"/>
          </w:tcPr>
          <w:p w14:paraId="1FE9E0F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emotion-related expressions in the full text</w:t>
            </w:r>
          </w:p>
        </w:tc>
        <w:tc>
          <w:tcPr>
            <w:tcW w:w="3562" w:type="dxa"/>
            <w:vAlign w:val="center"/>
          </w:tcPr>
          <w:p w14:paraId="65164F3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w:t>
            </w:r>
          </w:p>
        </w:tc>
      </w:tr>
    </w:tbl>
    <w:p w14:paraId="66652B61">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2.</w:t>
      </w:r>
      <w:r>
        <w:rPr>
          <w:rFonts w:hint="default" w:ascii="Times New Roman" w:hAnsi="Times New Roman" w:eastAsia="等线" w:cs="Times New Roman"/>
          <w:b/>
          <w:color w:val="auto"/>
          <w:sz w:val="18"/>
          <w:szCs w:val="18"/>
        </w:rPr>
        <w:t>10</w:t>
      </w:r>
      <w:r>
        <w:rPr>
          <w:rFonts w:hint="eastAsia" w:ascii="Times New Roman" w:hAnsi="Times New Roman" w:eastAsia="等线" w:cs="Times New Roman"/>
          <w:b/>
          <w:color w:val="auto"/>
          <w:sz w:val="18"/>
          <w:szCs w:val="18"/>
          <w:lang w:val="en-US" w:eastAsia="zh-CN"/>
        </w:rPr>
        <w:t xml:space="preserve"> </w:t>
      </w:r>
      <w:r>
        <w:rPr>
          <w:rFonts w:hint="default" w:ascii="Times New Roman" w:hAnsi="Times New Roman" w:eastAsia="等线" w:cs="Times New Roman"/>
          <w:b/>
          <w:color w:val="auto"/>
          <w:sz w:val="18"/>
          <w:szCs w:val="18"/>
        </w:rPr>
        <w:t>Reproductive Health Risk Awareness</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906"/>
        <w:gridCol w:w="3392"/>
        <w:gridCol w:w="3684"/>
      </w:tblGrid>
      <w:tr w14:paraId="715C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59" w:type="dxa"/>
            <w:vAlign w:val="center"/>
          </w:tcPr>
          <w:p w14:paraId="427BABBC">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Code value</w:t>
            </w:r>
          </w:p>
        </w:tc>
        <w:tc>
          <w:tcPr>
            <w:tcW w:w="0" w:type="auto"/>
            <w:vAlign w:val="center"/>
          </w:tcPr>
          <w:p w14:paraId="72F7F4F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Stratum</w:t>
            </w:r>
          </w:p>
        </w:tc>
        <w:tc>
          <w:tcPr>
            <w:tcW w:w="3392" w:type="dxa"/>
            <w:vAlign w:val="center"/>
          </w:tcPr>
          <w:p w14:paraId="3DB52B1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Operational definition</w:t>
            </w:r>
          </w:p>
        </w:tc>
        <w:tc>
          <w:tcPr>
            <w:tcW w:w="3684" w:type="dxa"/>
            <w:vAlign w:val="center"/>
          </w:tcPr>
          <w:p w14:paraId="38845C9E">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Typical textual features</w:t>
            </w:r>
          </w:p>
        </w:tc>
      </w:tr>
      <w:tr w14:paraId="650D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9" w:type="dxa"/>
            <w:vAlign w:val="center"/>
          </w:tcPr>
          <w:p w14:paraId="5F49F0C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6E1E2BE7">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Low</w:t>
            </w:r>
          </w:p>
        </w:tc>
        <w:tc>
          <w:tcPr>
            <w:tcW w:w="3392" w:type="dxa"/>
            <w:vAlign w:val="center"/>
          </w:tcPr>
          <w:p w14:paraId="1A3C76B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Denies that infertility is a medical condition requiring formal medical intervention</w:t>
            </w:r>
          </w:p>
        </w:tc>
        <w:tc>
          <w:tcPr>
            <w:tcW w:w="3684" w:type="dxa"/>
            <w:vAlign w:val="center"/>
          </w:tcPr>
          <w:p w14:paraId="5ABB78F0">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"just condition your body and it’ll be fine", "no need to go to hospital", "I don’t trust Western medicine", "you’ll get pregnant naturally"</w:t>
            </w:r>
          </w:p>
        </w:tc>
      </w:tr>
      <w:tr w14:paraId="4783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9" w:type="dxa"/>
            <w:vAlign w:val="center"/>
          </w:tcPr>
          <w:p w14:paraId="714F8ED7">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0" w:type="auto"/>
            <w:vAlign w:val="center"/>
          </w:tcPr>
          <w:p w14:paraId="68DF3BC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Moderate</w:t>
            </w:r>
          </w:p>
        </w:tc>
        <w:tc>
          <w:tcPr>
            <w:tcW w:w="3392" w:type="dxa"/>
            <w:vAlign w:val="center"/>
          </w:tcPr>
          <w:p w14:paraId="06A6A297">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Acknowledges infertility issues but has vague understanding of aetiology and diagnostic pathways</w:t>
            </w:r>
          </w:p>
        </w:tc>
        <w:tc>
          <w:tcPr>
            <w:tcW w:w="3684" w:type="dxa"/>
            <w:vAlign w:val="center"/>
          </w:tcPr>
          <w:p w14:paraId="78FE728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"don’t know the cause", "tests showed some issues", "didn’t really understand what the doctor said"</w:t>
            </w:r>
          </w:p>
        </w:tc>
      </w:tr>
      <w:tr w14:paraId="464A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9" w:type="dxa"/>
            <w:vAlign w:val="center"/>
          </w:tcPr>
          <w:p w14:paraId="30EFD19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3</w:t>
            </w:r>
          </w:p>
        </w:tc>
        <w:tc>
          <w:tcPr>
            <w:tcW w:w="0" w:type="auto"/>
            <w:vAlign w:val="center"/>
          </w:tcPr>
          <w:p w14:paraId="5CD4C4B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High</w:t>
            </w:r>
          </w:p>
        </w:tc>
        <w:tc>
          <w:tcPr>
            <w:tcW w:w="3392" w:type="dxa"/>
            <w:vAlign w:val="center"/>
          </w:tcPr>
          <w:p w14:paraId="7F5FB2FC">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Can accurately describe at least one cause of infertility, or demonstrates awareness of treatment time windows</w:t>
            </w:r>
          </w:p>
        </w:tc>
        <w:tc>
          <w:tcPr>
            <w:tcW w:w="3684" w:type="dxa"/>
            <w:vAlign w:val="center"/>
          </w:tcPr>
          <w:p w14:paraId="47A72B96">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"partial fallopian tube obstruction", "AMH of only 0.5", "diminished ovarian reserve", "must do this before age 35"</w:t>
            </w:r>
          </w:p>
        </w:tc>
      </w:tr>
      <w:tr w14:paraId="290C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9" w:type="dxa"/>
            <w:vAlign w:val="center"/>
          </w:tcPr>
          <w:p w14:paraId="5EEA32F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99</w:t>
            </w:r>
          </w:p>
        </w:tc>
        <w:tc>
          <w:tcPr>
            <w:tcW w:w="906" w:type="dxa"/>
            <w:vAlign w:val="center"/>
          </w:tcPr>
          <w:p w14:paraId="73172E0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Missing</w:t>
            </w:r>
          </w:p>
        </w:tc>
        <w:tc>
          <w:tcPr>
            <w:tcW w:w="3392" w:type="dxa"/>
            <w:vAlign w:val="center"/>
          </w:tcPr>
          <w:p w14:paraId="6C4C5EF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cognitive statements related to infertility causes or diagnosis and treatment</w:t>
            </w:r>
          </w:p>
        </w:tc>
        <w:tc>
          <w:tcPr>
            <w:tcW w:w="3684" w:type="dxa"/>
            <w:vAlign w:val="center"/>
          </w:tcPr>
          <w:p w14:paraId="513F289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w:t>
            </w:r>
          </w:p>
        </w:tc>
      </w:tr>
    </w:tbl>
    <w:p w14:paraId="593172BB">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2.</w:t>
      </w:r>
      <w:r>
        <w:rPr>
          <w:rFonts w:hint="default" w:ascii="Times New Roman" w:hAnsi="Times New Roman" w:eastAsia="等线" w:cs="Times New Roman"/>
          <w:b/>
          <w:color w:val="auto"/>
          <w:sz w:val="18"/>
          <w:szCs w:val="18"/>
        </w:rPr>
        <w:t>11</w:t>
      </w:r>
      <w:r>
        <w:rPr>
          <w:rFonts w:hint="eastAsia" w:ascii="Times New Roman" w:hAnsi="Times New Roman" w:eastAsia="等线" w:cs="Times New Roman"/>
          <w:b/>
          <w:color w:val="auto"/>
          <w:sz w:val="18"/>
          <w:szCs w:val="18"/>
          <w:lang w:val="en-US" w:eastAsia="zh-CN"/>
        </w:rPr>
        <w:t xml:space="preserve"> </w:t>
      </w:r>
      <w:r>
        <w:rPr>
          <w:rFonts w:hint="default" w:ascii="Times New Roman" w:hAnsi="Times New Roman" w:eastAsia="等线" w:cs="Times New Roman"/>
          <w:b/>
          <w:color w:val="auto"/>
          <w:sz w:val="18"/>
          <w:szCs w:val="18"/>
        </w:rPr>
        <w:t>Willingness to Critically Appraise Online Health Information</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1231"/>
        <w:gridCol w:w="3176"/>
        <w:gridCol w:w="3560"/>
      </w:tblGrid>
      <w:tr w14:paraId="45E4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74" w:type="dxa"/>
            <w:vAlign w:val="center"/>
          </w:tcPr>
          <w:p w14:paraId="3E7A4953">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Code value</w:t>
            </w:r>
          </w:p>
        </w:tc>
        <w:tc>
          <w:tcPr>
            <w:tcW w:w="0" w:type="auto"/>
            <w:vAlign w:val="center"/>
          </w:tcPr>
          <w:p w14:paraId="75A03E0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Stratum</w:t>
            </w:r>
          </w:p>
        </w:tc>
        <w:tc>
          <w:tcPr>
            <w:tcW w:w="3176" w:type="dxa"/>
            <w:vAlign w:val="center"/>
          </w:tcPr>
          <w:p w14:paraId="7D68E8A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Operational definition</w:t>
            </w:r>
          </w:p>
        </w:tc>
        <w:tc>
          <w:tcPr>
            <w:tcW w:w="3560" w:type="dxa"/>
            <w:vAlign w:val="center"/>
          </w:tcPr>
          <w:p w14:paraId="7F9F16F4">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Typical textual features</w:t>
            </w:r>
          </w:p>
        </w:tc>
      </w:tr>
      <w:tr w14:paraId="1360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4" w:type="dxa"/>
            <w:vAlign w:val="center"/>
          </w:tcPr>
          <w:p w14:paraId="2A8CE2CE">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163E24E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Passive conformity</w:t>
            </w:r>
          </w:p>
        </w:tc>
        <w:tc>
          <w:tcPr>
            <w:tcW w:w="3176" w:type="dxa"/>
            <w:vAlign w:val="center"/>
          </w:tcPr>
          <w:p w14:paraId="1C0ACF43">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Lacks active verification behaviour when receiving online information, and directly copies others’ experiences</w:t>
            </w:r>
          </w:p>
        </w:tc>
        <w:tc>
          <w:tcPr>
            <w:tcW w:w="3560" w:type="dxa"/>
            <w:vAlign w:val="center"/>
          </w:tcPr>
          <w:p w14:paraId="1623D22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"saw others do this so I’m trying it too", "everyone online says this works", "saved dozens of methods from posts"</w:t>
            </w:r>
          </w:p>
        </w:tc>
      </w:tr>
      <w:tr w14:paraId="66F1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4" w:type="dxa"/>
            <w:vAlign w:val="center"/>
          </w:tcPr>
          <w:p w14:paraId="3693EAA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0" w:type="auto"/>
            <w:vAlign w:val="center"/>
          </w:tcPr>
          <w:p w14:paraId="2F1DC96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Active verification</w:t>
            </w:r>
          </w:p>
        </w:tc>
        <w:tc>
          <w:tcPr>
            <w:tcW w:w="3176" w:type="dxa"/>
            <w:vAlign w:val="center"/>
          </w:tcPr>
          <w:p w14:paraId="63275B1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Actively seeks authoritative information sources, or conducts cross-comparison and validation</w:t>
            </w:r>
          </w:p>
        </w:tc>
        <w:tc>
          <w:tcPr>
            <w:tcW w:w="3560" w:type="dxa"/>
            <w:vAlign w:val="center"/>
          </w:tcPr>
          <w:p w14:paraId="6AF1C2C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"asked my doctor", "checked clinical guidelines", "looked it up on UpToDate", "only trust content from tertiary hospitals"</w:t>
            </w:r>
          </w:p>
        </w:tc>
      </w:tr>
      <w:tr w14:paraId="5CD9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4" w:type="dxa"/>
            <w:vAlign w:val="center"/>
          </w:tcPr>
          <w:p w14:paraId="2CC582E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99</w:t>
            </w:r>
          </w:p>
        </w:tc>
        <w:tc>
          <w:tcPr>
            <w:tcW w:w="1231" w:type="dxa"/>
            <w:vAlign w:val="center"/>
          </w:tcPr>
          <w:p w14:paraId="65658B2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Missing</w:t>
            </w:r>
          </w:p>
        </w:tc>
        <w:tc>
          <w:tcPr>
            <w:tcW w:w="3176" w:type="dxa"/>
            <w:vAlign w:val="center"/>
          </w:tcPr>
          <w:p w14:paraId="42FDAF1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description of information processing approaches</w:t>
            </w:r>
          </w:p>
        </w:tc>
        <w:tc>
          <w:tcPr>
            <w:tcW w:w="3560" w:type="dxa"/>
            <w:vAlign w:val="center"/>
          </w:tcPr>
          <w:p w14:paraId="3538272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w:t>
            </w:r>
          </w:p>
        </w:tc>
      </w:tr>
    </w:tbl>
    <w:p w14:paraId="72189AE6">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1"/>
        <w:rPr>
          <w:rFonts w:hint="default" w:ascii="Times New Roman" w:hAnsi="Times New Roman" w:eastAsia="等线" w:cs="Times New Roman"/>
          <w:b/>
          <w:color w:val="auto"/>
          <w:sz w:val="24"/>
          <w:szCs w:val="24"/>
        </w:rPr>
      </w:pPr>
      <w:r>
        <w:rPr>
          <w:rFonts w:hint="default" w:ascii="Times New Roman" w:hAnsi="Times New Roman" w:eastAsia="等线" w:cs="Times New Roman"/>
          <w:b/>
          <w:color w:val="auto"/>
          <w:sz w:val="24"/>
          <w:szCs w:val="24"/>
        </w:rPr>
        <w:t>3 Brief DISCERN Information Quality Assessment Specification</w:t>
      </w:r>
    </w:p>
    <w:p w14:paraId="66EAD4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Lines="50" w:beforeAutospacing="0" w:after="0" w:afterLines="50" w:afterAutospacing="0" w:line="240" w:lineRule="exact"/>
        <w:ind w:left="0" w:leftChars="0" w:right="0"/>
        <w:jc w:val="left"/>
        <w:rPr>
          <w:rFonts w:hint="default" w:ascii="Times New Roman" w:hAnsi="Times New Roman" w:cs="Times New Roman"/>
          <w:color w:val="auto"/>
          <w:sz w:val="18"/>
          <w:szCs w:val="18"/>
        </w:rPr>
      </w:pPr>
      <w:r>
        <w:rPr>
          <w:rStyle w:val="7"/>
          <w:rFonts w:hint="default" w:ascii="Times New Roman" w:hAnsi="Times New Roman" w:eastAsia="宋体" w:cs="Times New Roman"/>
          <w:b/>
          <w:color w:val="auto"/>
          <w:kern w:val="0"/>
          <w:sz w:val="18"/>
          <w:szCs w:val="18"/>
          <w:lang w:val="en-US" w:eastAsia="zh-CN" w:bidi="ar"/>
        </w:rPr>
        <w:t>Scoring method</w:t>
      </w:r>
      <w:r>
        <w:rPr>
          <w:rFonts w:hint="default" w:ascii="Times New Roman" w:hAnsi="Times New Roman" w:eastAsia="宋体" w:cs="Times New Roman"/>
          <w:color w:val="auto"/>
          <w:kern w:val="0"/>
          <w:sz w:val="18"/>
          <w:szCs w:val="18"/>
          <w:lang w:val="en-US" w:eastAsia="zh-CN" w:bidi="ar"/>
        </w:rPr>
        <w:t>: Each item is rated on a 5-point Likert scale, with a total score ranging from 6 to 30.</w:t>
      </w:r>
    </w:p>
    <w:p w14:paraId="2D039717">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3.</w:t>
      </w:r>
      <w:r>
        <w:rPr>
          <w:rFonts w:hint="default" w:ascii="Times New Roman" w:hAnsi="Times New Roman" w:eastAsia="等线" w:cs="Times New Roman"/>
          <w:b/>
          <w:color w:val="auto"/>
          <w:sz w:val="18"/>
          <w:szCs w:val="18"/>
        </w:rPr>
        <w:t>1</w:t>
      </w:r>
      <w:r>
        <w:rPr>
          <w:rFonts w:hint="default" w:ascii="Times New Roman" w:hAnsi="Times New Roman" w:eastAsia="等线" w:cs="Times New Roman"/>
          <w:b/>
          <w:color w:val="auto"/>
          <w:sz w:val="18"/>
          <w:szCs w:val="18"/>
          <w:lang w:val="en-US" w:eastAsia="zh-CN"/>
        </w:rPr>
        <w:t xml:space="preserve">. </w:t>
      </w:r>
      <w:r>
        <w:rPr>
          <w:rFonts w:hint="default" w:ascii="Times New Roman" w:hAnsi="Times New Roman" w:eastAsia="等线" w:cs="Times New Roman"/>
          <w:b/>
          <w:color w:val="auto"/>
          <w:sz w:val="18"/>
          <w:szCs w:val="18"/>
        </w:rPr>
        <w:t>Six items of the Brief DISCERN scale</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
        <w:gridCol w:w="2433"/>
        <w:gridCol w:w="3682"/>
        <w:gridCol w:w="2086"/>
      </w:tblGrid>
      <w:tr w14:paraId="7591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040" w:type="dxa"/>
            <w:vAlign w:val="center"/>
          </w:tcPr>
          <w:p w14:paraId="7EFEDEDE">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Item No.</w:t>
            </w:r>
          </w:p>
        </w:tc>
        <w:tc>
          <w:tcPr>
            <w:tcW w:w="0" w:type="auto"/>
            <w:vAlign w:val="center"/>
          </w:tcPr>
          <w:p w14:paraId="45EF2FE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Original item</w:t>
            </w:r>
          </w:p>
        </w:tc>
        <w:tc>
          <w:tcPr>
            <w:tcW w:w="3682" w:type="dxa"/>
            <w:vAlign w:val="center"/>
          </w:tcPr>
          <w:p w14:paraId="3EF82828">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Rating criteria (1–5 points per item)</w:t>
            </w:r>
          </w:p>
        </w:tc>
        <w:tc>
          <w:tcPr>
            <w:tcW w:w="2086" w:type="dxa"/>
            <w:vAlign w:val="center"/>
          </w:tcPr>
          <w:p w14:paraId="4DB17AB7">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Assessment dimension</w:t>
            </w:r>
          </w:p>
        </w:tc>
      </w:tr>
      <w:tr w14:paraId="4AF8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0" w:type="dxa"/>
            <w:vAlign w:val="center"/>
          </w:tcPr>
          <w:p w14:paraId="6C674582">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502D45FA">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Are the aims clear?</w:t>
            </w:r>
          </w:p>
        </w:tc>
        <w:tc>
          <w:tcPr>
            <w:tcW w:w="3682" w:type="dxa"/>
            <w:vAlign w:val="center"/>
          </w:tcPr>
          <w:p w14:paraId="19300684">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 = Not at all clear; 2 = Barely addressed; 3 = Partially clear; 4 = Mostly clear; 5 = Completely clear</w:t>
            </w:r>
          </w:p>
        </w:tc>
        <w:tc>
          <w:tcPr>
            <w:tcW w:w="2086" w:type="dxa"/>
            <w:vAlign w:val="center"/>
          </w:tcPr>
          <w:p w14:paraId="086C136A">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Clarity of information objectives</w:t>
            </w:r>
          </w:p>
        </w:tc>
      </w:tr>
      <w:tr w14:paraId="39CF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0" w:type="dxa"/>
            <w:vAlign w:val="center"/>
          </w:tcPr>
          <w:p w14:paraId="072230B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0" w:type="auto"/>
            <w:vAlign w:val="center"/>
          </w:tcPr>
          <w:p w14:paraId="627C9AC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Does it achieve its aims?</w:t>
            </w:r>
          </w:p>
        </w:tc>
        <w:tc>
          <w:tcPr>
            <w:tcW w:w="3682" w:type="dxa"/>
            <w:vAlign w:val="center"/>
          </w:tcPr>
          <w:p w14:paraId="5CA26D09">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 = Not achieved at all; 2 = Minimally aligned; 3 = Partially achieved; 4 = Largely achieved; 5 = Fully achieved</w:t>
            </w:r>
          </w:p>
        </w:tc>
        <w:tc>
          <w:tcPr>
            <w:tcW w:w="2086" w:type="dxa"/>
            <w:vAlign w:val="center"/>
          </w:tcPr>
          <w:p w14:paraId="3685204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Content alignment</w:t>
            </w:r>
          </w:p>
        </w:tc>
      </w:tr>
      <w:tr w14:paraId="1816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0" w:type="dxa"/>
            <w:vAlign w:val="center"/>
          </w:tcPr>
          <w:p w14:paraId="07500617">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3</w:t>
            </w:r>
          </w:p>
        </w:tc>
        <w:tc>
          <w:tcPr>
            <w:tcW w:w="0" w:type="auto"/>
            <w:vAlign w:val="center"/>
          </w:tcPr>
          <w:p w14:paraId="400364E9">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Is it relevant?</w:t>
            </w:r>
          </w:p>
        </w:tc>
        <w:tc>
          <w:tcPr>
            <w:tcW w:w="3682" w:type="dxa"/>
            <w:vAlign w:val="center"/>
          </w:tcPr>
          <w:p w14:paraId="7122DED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 = Entirely irrelevant; 2 = Minimally relevant; 3 = Partially relevant; 4 = Mostly relevant; 5 = Highly aligned</w:t>
            </w:r>
          </w:p>
        </w:tc>
        <w:tc>
          <w:tcPr>
            <w:tcW w:w="2086" w:type="dxa"/>
            <w:vAlign w:val="center"/>
          </w:tcPr>
          <w:p w14:paraId="6930BD09">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Content relevance</w:t>
            </w:r>
          </w:p>
        </w:tc>
      </w:tr>
      <w:tr w14:paraId="1B1E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0" w:type="dxa"/>
            <w:vAlign w:val="center"/>
          </w:tcPr>
          <w:p w14:paraId="76407718">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4</w:t>
            </w:r>
          </w:p>
        </w:tc>
        <w:tc>
          <w:tcPr>
            <w:tcW w:w="0" w:type="auto"/>
            <w:vAlign w:val="center"/>
          </w:tcPr>
          <w:p w14:paraId="261D46C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Is it clear what sources of information were used to compile the publication (other than the author or producer)?</w:t>
            </w:r>
          </w:p>
        </w:tc>
        <w:tc>
          <w:tcPr>
            <w:tcW w:w="3682" w:type="dxa"/>
            <w:vAlign w:val="center"/>
          </w:tcPr>
          <w:p w14:paraId="1D81ABF9">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 = No sources cited at all; 2 = Sporadic citations; 3 = Partial source disclosure; 4 = Most claims accompanied by sources; 5 = All claims supported by cited literature / expert evidence</w:t>
            </w:r>
          </w:p>
        </w:tc>
        <w:tc>
          <w:tcPr>
            <w:tcW w:w="2086" w:type="dxa"/>
            <w:vAlign w:val="center"/>
          </w:tcPr>
          <w:p w14:paraId="46C64920">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Evidence traceability</w:t>
            </w:r>
          </w:p>
        </w:tc>
      </w:tr>
      <w:tr w14:paraId="6B6B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0" w:type="dxa"/>
            <w:vAlign w:val="center"/>
          </w:tcPr>
          <w:p w14:paraId="011295DD">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5</w:t>
            </w:r>
          </w:p>
        </w:tc>
        <w:tc>
          <w:tcPr>
            <w:tcW w:w="0" w:type="auto"/>
            <w:vAlign w:val="center"/>
          </w:tcPr>
          <w:p w14:paraId="282BF781">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Is it clear when the information used or reported in the publication was produced?</w:t>
            </w:r>
          </w:p>
        </w:tc>
        <w:tc>
          <w:tcPr>
            <w:tcW w:w="3682" w:type="dxa"/>
            <w:vAlign w:val="center"/>
          </w:tcPr>
          <w:p w14:paraId="3ECE2665">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 = No temporal information; 2 = Vague reference to year only; 3 = Partial material dated; 4 = Core material dated; 5 = Original publication, revision and copyright dates fully listed</w:t>
            </w:r>
          </w:p>
        </w:tc>
        <w:tc>
          <w:tcPr>
            <w:tcW w:w="2086" w:type="dxa"/>
            <w:vAlign w:val="center"/>
          </w:tcPr>
          <w:p w14:paraId="2BCED1F0">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Information timeliness</w:t>
            </w:r>
          </w:p>
        </w:tc>
      </w:tr>
      <w:tr w14:paraId="043D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0" w:type="dxa"/>
            <w:vAlign w:val="center"/>
          </w:tcPr>
          <w:p w14:paraId="493FD53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6</w:t>
            </w:r>
          </w:p>
        </w:tc>
        <w:tc>
          <w:tcPr>
            <w:tcW w:w="2433" w:type="dxa"/>
            <w:vAlign w:val="center"/>
          </w:tcPr>
          <w:p w14:paraId="530C0E7B">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Is it balanced and unbiased?</w:t>
            </w:r>
          </w:p>
        </w:tc>
        <w:tc>
          <w:tcPr>
            <w:tcW w:w="3682" w:type="dxa"/>
            <w:vAlign w:val="center"/>
          </w:tcPr>
          <w:p w14:paraId="48A845B8">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 = Clearly one-sided promotion with strong commercial bias; 2 = Marked imbalance present; 3 = Acknowledges minor opposing views; 4 = Objectively presented from multiple perspectives; 5 = Full presentation of competing evidence with no vested interest inducement</w:t>
            </w:r>
          </w:p>
        </w:tc>
        <w:tc>
          <w:tcPr>
            <w:tcW w:w="2086" w:type="dxa"/>
            <w:vAlign w:val="center"/>
          </w:tcPr>
          <w:p w14:paraId="633DA7A2">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Content objectivity</w:t>
            </w:r>
          </w:p>
        </w:tc>
      </w:tr>
    </w:tbl>
    <w:p w14:paraId="38C9DA4A">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val="0"/>
          <w:bCs/>
          <w:color w:val="auto"/>
          <w:sz w:val="18"/>
          <w:szCs w:val="18"/>
          <w:lang w:val="en-US" w:eastAsia="zh-CN"/>
        </w:rPr>
      </w:pPr>
      <w:r>
        <w:rPr>
          <w:rFonts w:hint="default" w:ascii="Times New Roman" w:hAnsi="Times New Roman" w:eastAsia="等线" w:cs="Times New Roman"/>
          <w:b/>
          <w:color w:val="auto"/>
          <w:sz w:val="18"/>
          <w:szCs w:val="18"/>
          <w:lang w:val="en-US" w:eastAsia="zh-CN"/>
        </w:rPr>
        <w:t xml:space="preserve"> </w:t>
      </w:r>
      <w:r>
        <w:rPr>
          <w:rFonts w:hint="default" w:ascii="Times New Roman" w:hAnsi="Times New Roman" w:eastAsia="等线" w:cs="Times New Roman"/>
          <w:b w:val="0"/>
          <w:bCs/>
          <w:color w:val="auto"/>
          <w:sz w:val="18"/>
          <w:szCs w:val="18"/>
          <w:lang w:val="en-US" w:eastAsia="zh-CN"/>
        </w:rPr>
        <w:t>Scoring rules:E</w:t>
      </w:r>
      <w:r>
        <w:rPr>
          <w:rFonts w:hint="default" w:ascii="Times New Roman" w:hAnsi="Times New Roman" w:eastAsia="等线" w:cs="Times New Roman"/>
          <w:b w:val="0"/>
          <w:bCs/>
          <w:color w:val="auto"/>
          <w:sz w:val="18"/>
          <w:szCs w:val="18"/>
          <w:lang w:val="en-US" w:eastAsia="zh-CN"/>
        </w:rPr>
        <w:t>ach item is scored independently on a 1–5 scale, with no reverse scoring; Total score = sum of scores across all 6 items, with a possible range of 6 to 30;  ≥ 16 is classified as acceptable health information, with optimal discriminant validity.</w:t>
      </w:r>
    </w:p>
    <w:p w14:paraId="451673AF">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default" w:ascii="Times New Roman" w:hAnsi="Times New Roman" w:eastAsia="等线" w:cs="Times New Roman"/>
          <w:b/>
          <w:color w:val="auto"/>
          <w:sz w:val="18"/>
          <w:szCs w:val="18"/>
        </w:rPr>
        <w:t>Total score quality grading</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4"/>
        <w:gridCol w:w="2425"/>
        <w:gridCol w:w="5062"/>
      </w:tblGrid>
      <w:tr w14:paraId="1C23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754" w:type="dxa"/>
            <w:vAlign w:val="center"/>
          </w:tcPr>
          <w:p w14:paraId="4CD9D1D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Total score range</w:t>
            </w:r>
          </w:p>
        </w:tc>
        <w:tc>
          <w:tcPr>
            <w:tcW w:w="2425" w:type="dxa"/>
            <w:vAlign w:val="center"/>
          </w:tcPr>
          <w:p w14:paraId="7AF7E3F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Information quality grade</w:t>
            </w:r>
          </w:p>
        </w:tc>
        <w:tc>
          <w:tcPr>
            <w:tcW w:w="5062" w:type="dxa"/>
            <w:vAlign w:val="center"/>
          </w:tcPr>
          <w:p w14:paraId="027018E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Judgement notes</w:t>
            </w:r>
          </w:p>
        </w:tc>
      </w:tr>
      <w:tr w14:paraId="45D7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4" w:type="dxa"/>
            <w:vAlign w:val="center"/>
          </w:tcPr>
          <w:p w14:paraId="106BFF2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6–10</w:t>
            </w:r>
          </w:p>
        </w:tc>
        <w:tc>
          <w:tcPr>
            <w:tcW w:w="2425" w:type="dxa"/>
            <w:vAlign w:val="center"/>
          </w:tcPr>
          <w:p w14:paraId="31567EFF">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Very poor</w:t>
            </w:r>
          </w:p>
        </w:tc>
        <w:tc>
          <w:tcPr>
            <w:tcW w:w="5062" w:type="dxa"/>
            <w:vAlign w:val="center"/>
          </w:tcPr>
          <w:p w14:paraId="106B5FD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Substantial information gaps, no source attribution, one-sided viewpoints; not recommended for reference</w:t>
            </w:r>
          </w:p>
        </w:tc>
      </w:tr>
      <w:tr w14:paraId="0A03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4" w:type="dxa"/>
            <w:vAlign w:val="center"/>
          </w:tcPr>
          <w:p w14:paraId="5654AAE0">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11–15</w:t>
            </w:r>
          </w:p>
        </w:tc>
        <w:tc>
          <w:tcPr>
            <w:tcW w:w="2425" w:type="dxa"/>
            <w:vAlign w:val="center"/>
          </w:tcPr>
          <w:p w14:paraId="5B3B57F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Poor</w:t>
            </w:r>
          </w:p>
        </w:tc>
        <w:tc>
          <w:tcPr>
            <w:tcW w:w="5062" w:type="dxa"/>
            <w:vAlign w:val="center"/>
          </w:tcPr>
          <w:p w14:paraId="2B9F8A8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Clear deficiencies in core dimensions; low credibility</w:t>
            </w:r>
          </w:p>
        </w:tc>
      </w:tr>
      <w:tr w14:paraId="56F8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4" w:type="dxa"/>
            <w:vAlign w:val="center"/>
          </w:tcPr>
          <w:p w14:paraId="3138C11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16–22</w:t>
            </w:r>
          </w:p>
        </w:tc>
        <w:tc>
          <w:tcPr>
            <w:tcW w:w="2425" w:type="dxa"/>
            <w:vAlign w:val="center"/>
          </w:tcPr>
          <w:p w14:paraId="3C72BEC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Adequate</w:t>
            </w:r>
          </w:p>
        </w:tc>
        <w:tc>
          <w:tcPr>
            <w:tcW w:w="5062" w:type="dxa"/>
            <w:vAlign w:val="center"/>
          </w:tcPr>
          <w:p w14:paraId="52BC051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Basic dimensions meet standards; some gaps in information completeness</w:t>
            </w:r>
          </w:p>
        </w:tc>
      </w:tr>
      <w:tr w14:paraId="78F6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4" w:type="dxa"/>
            <w:vAlign w:val="center"/>
          </w:tcPr>
          <w:p w14:paraId="7AC08E56">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23–30</w:t>
            </w:r>
          </w:p>
        </w:tc>
        <w:tc>
          <w:tcPr>
            <w:tcW w:w="2425" w:type="dxa"/>
            <w:vAlign w:val="center"/>
          </w:tcPr>
          <w:p w14:paraId="305994C4">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Excellent</w:t>
            </w:r>
          </w:p>
        </w:tc>
        <w:tc>
          <w:tcPr>
            <w:tcW w:w="5062" w:type="dxa"/>
            <w:vAlign w:val="center"/>
          </w:tcPr>
          <w:p w14:paraId="3A7CA1B4">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Clear objectives, traceable evidence, balanced and unbiased; reliable for reference</w:t>
            </w:r>
          </w:p>
        </w:tc>
      </w:tr>
    </w:tbl>
    <w:p w14:paraId="67C6A2C4">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default" w:ascii="Times New Roman" w:hAnsi="Times New Roman" w:eastAsia="等线" w:cs="Times New Roman"/>
          <w:b/>
          <w:color w:val="auto"/>
          <w:sz w:val="18"/>
          <w:szCs w:val="18"/>
          <w:lang w:val="en-US" w:eastAsia="zh-CN"/>
        </w:rPr>
        <w:t xml:space="preserve">3. </w:t>
      </w:r>
      <w:r>
        <w:rPr>
          <w:rFonts w:hint="eastAsia" w:ascii="Times New Roman" w:hAnsi="Times New Roman" w:eastAsia="等线" w:cs="Times New Roman"/>
          <w:b/>
          <w:color w:val="auto"/>
          <w:sz w:val="18"/>
          <w:szCs w:val="18"/>
          <w:lang w:val="en-US" w:eastAsia="zh-CN"/>
        </w:rPr>
        <w:t xml:space="preserve">2 </w:t>
      </w:r>
      <w:r>
        <w:rPr>
          <w:rFonts w:hint="default" w:ascii="Times New Roman" w:hAnsi="Times New Roman" w:eastAsia="等线" w:cs="Times New Roman"/>
          <w:b/>
          <w:color w:val="auto"/>
          <w:sz w:val="18"/>
          <w:szCs w:val="18"/>
        </w:rPr>
        <w:t>Item-Specific Detailed Scoring Guidelines (with examples)</w:t>
      </w:r>
    </w:p>
    <w:p w14:paraId="7CC58F83">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3"/>
        <w:rPr>
          <w:rFonts w:hint="default" w:ascii="Times New Roman" w:hAnsi="Times New Roman" w:eastAsia="等线" w:cs="Times New Roman"/>
          <w:b/>
          <w:color w:val="auto"/>
          <w:sz w:val="18"/>
          <w:szCs w:val="18"/>
        </w:rPr>
      </w:pPr>
      <w:r>
        <w:rPr>
          <w:rFonts w:hint="default" w:ascii="Times New Roman" w:hAnsi="Times New Roman" w:eastAsia="等线" w:cs="Times New Roman"/>
          <w:b/>
          <w:color w:val="auto"/>
          <w:sz w:val="18"/>
          <w:szCs w:val="18"/>
        </w:rPr>
        <w:t>Item 1: Clarity of information sources</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3283"/>
        <w:gridCol w:w="5312"/>
      </w:tblGrid>
      <w:tr w14:paraId="5A2E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1EFF1C6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Score</w:t>
            </w:r>
          </w:p>
        </w:tc>
        <w:tc>
          <w:tcPr>
            <w:tcW w:w="0" w:type="auto"/>
            <w:vAlign w:val="center"/>
          </w:tcPr>
          <w:p w14:paraId="57AA97A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Judgement criterion</w:t>
            </w:r>
          </w:p>
        </w:tc>
        <w:tc>
          <w:tcPr>
            <w:tcW w:w="5312" w:type="dxa"/>
            <w:vAlign w:val="center"/>
          </w:tcPr>
          <w:p w14:paraId="20FABF0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Example</w:t>
            </w:r>
          </w:p>
        </w:tc>
      </w:tr>
      <w:tr w14:paraId="181F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7F8BA73">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2EAF22F3">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information sources mentioned whatsoever</w:t>
            </w:r>
          </w:p>
        </w:tc>
        <w:tc>
          <w:tcPr>
            <w:tcW w:w="5312" w:type="dxa"/>
            <w:vAlign w:val="center"/>
          </w:tcPr>
          <w:p w14:paraId="60A510D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Pure personal experience sharing, with no references to literature, guidelines or authoritative sources</w:t>
            </w:r>
          </w:p>
        </w:tc>
      </w:tr>
      <w:tr w14:paraId="2E56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60F0C4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0" w:type="auto"/>
            <w:vAlign w:val="center"/>
          </w:tcPr>
          <w:p w14:paraId="61C5910F">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Vague reference to "research shows" with no specific citation</w:t>
            </w:r>
          </w:p>
        </w:tc>
        <w:tc>
          <w:tcPr>
            <w:tcW w:w="5312" w:type="dxa"/>
            <w:vAlign w:val="center"/>
          </w:tcPr>
          <w:p w14:paraId="3788D81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"Studies have shown that..." with no study title or author specified</w:t>
            </w:r>
          </w:p>
        </w:tc>
      </w:tr>
      <w:tr w14:paraId="7D5B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8344B0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3</w:t>
            </w:r>
          </w:p>
        </w:tc>
        <w:tc>
          <w:tcPr>
            <w:tcW w:w="0" w:type="auto"/>
            <w:vAlign w:val="center"/>
          </w:tcPr>
          <w:p w14:paraId="06AF6647">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Partial information sources identifiable</w:t>
            </w:r>
          </w:p>
        </w:tc>
        <w:tc>
          <w:tcPr>
            <w:tcW w:w="5312" w:type="dxa"/>
            <w:vAlign w:val="center"/>
          </w:tcPr>
          <w:p w14:paraId="2FD74EDE">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Mentions "guidelines recommend" but does not specify which guideline</w:t>
            </w:r>
          </w:p>
        </w:tc>
      </w:tr>
      <w:tr w14:paraId="705D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30ABF4C">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4</w:t>
            </w:r>
          </w:p>
        </w:tc>
        <w:tc>
          <w:tcPr>
            <w:tcW w:w="0" w:type="auto"/>
            <w:vAlign w:val="center"/>
          </w:tcPr>
          <w:p w14:paraId="2D64251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Sources largely clear</w:t>
            </w:r>
          </w:p>
        </w:tc>
        <w:tc>
          <w:tcPr>
            <w:tcW w:w="5312" w:type="dxa"/>
            <w:vAlign w:val="center"/>
          </w:tcPr>
          <w:p w14:paraId="5B5CC08F">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References specific literature, guideline titles, or named clinicians</w:t>
            </w:r>
          </w:p>
        </w:tc>
      </w:tr>
      <w:tr w14:paraId="58F7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46" w:type="dxa"/>
            <w:vAlign w:val="center"/>
          </w:tcPr>
          <w:p w14:paraId="58F0714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5</w:t>
            </w:r>
          </w:p>
        </w:tc>
        <w:tc>
          <w:tcPr>
            <w:tcW w:w="3283" w:type="dxa"/>
            <w:vAlign w:val="center"/>
          </w:tcPr>
          <w:p w14:paraId="107B890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All key information has explicit, traceable sources</w:t>
            </w:r>
          </w:p>
        </w:tc>
        <w:tc>
          <w:tcPr>
            <w:tcW w:w="5312" w:type="dxa"/>
            <w:vAlign w:val="center"/>
          </w:tcPr>
          <w:p w14:paraId="4B74E15F">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Cites specific article titles and publishing journals, or explicitly references authoritative clinical guidelines</w:t>
            </w:r>
          </w:p>
        </w:tc>
      </w:tr>
    </w:tbl>
    <w:p w14:paraId="19924476">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3"/>
        <w:rPr>
          <w:rFonts w:hint="default" w:ascii="Times New Roman" w:hAnsi="Times New Roman" w:eastAsia="等线" w:cs="Times New Roman"/>
          <w:b/>
          <w:color w:val="auto"/>
          <w:sz w:val="18"/>
          <w:szCs w:val="18"/>
        </w:rPr>
      </w:pPr>
      <w:r>
        <w:rPr>
          <w:rFonts w:hint="default" w:ascii="Times New Roman" w:hAnsi="Times New Roman" w:eastAsia="等线" w:cs="Times New Roman"/>
          <w:b/>
          <w:color w:val="auto"/>
          <w:sz w:val="18"/>
          <w:szCs w:val="18"/>
        </w:rPr>
        <w:t>Item 2: Clarity of information timelines</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3754"/>
        <w:gridCol w:w="4841"/>
      </w:tblGrid>
      <w:tr w14:paraId="016D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5576806C">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Score</w:t>
            </w:r>
          </w:p>
        </w:tc>
        <w:tc>
          <w:tcPr>
            <w:tcW w:w="0" w:type="auto"/>
            <w:vAlign w:val="center"/>
          </w:tcPr>
          <w:p w14:paraId="14CEC12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Judgement criterion</w:t>
            </w:r>
          </w:p>
        </w:tc>
        <w:tc>
          <w:tcPr>
            <w:tcW w:w="4841" w:type="dxa"/>
            <w:vAlign w:val="center"/>
          </w:tcPr>
          <w:p w14:paraId="73903E5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Example</w:t>
            </w:r>
          </w:p>
        </w:tc>
      </w:tr>
      <w:tr w14:paraId="1321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5D54AC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4B09D09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temporal information included</w:t>
            </w:r>
          </w:p>
        </w:tc>
        <w:tc>
          <w:tcPr>
            <w:tcW w:w="4841" w:type="dxa"/>
            <w:vAlign w:val="center"/>
          </w:tcPr>
          <w:p w14:paraId="215FFEC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Experience-only sharing with no date markers</w:t>
            </w:r>
          </w:p>
        </w:tc>
      </w:tr>
      <w:tr w14:paraId="6FB4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9A2A0A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0" w:type="auto"/>
            <w:vAlign w:val="center"/>
          </w:tcPr>
          <w:p w14:paraId="56585DA7">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Vague phrasing such as "recently" with no specific date</w:t>
            </w:r>
          </w:p>
        </w:tc>
        <w:tc>
          <w:tcPr>
            <w:tcW w:w="4841" w:type="dxa"/>
            <w:vAlign w:val="center"/>
          </w:tcPr>
          <w:p w14:paraId="714A1B1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"I came across a method recently..."</w:t>
            </w:r>
          </w:p>
        </w:tc>
      </w:tr>
      <w:tr w14:paraId="6FB0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B2A290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3</w:t>
            </w:r>
          </w:p>
        </w:tc>
        <w:tc>
          <w:tcPr>
            <w:tcW w:w="0" w:type="auto"/>
            <w:vAlign w:val="center"/>
          </w:tcPr>
          <w:p w14:paraId="182A302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Relative timeframe provided but imprecise</w:t>
            </w:r>
          </w:p>
        </w:tc>
        <w:tc>
          <w:tcPr>
            <w:tcW w:w="4841" w:type="dxa"/>
            <w:vAlign w:val="center"/>
          </w:tcPr>
          <w:p w14:paraId="4DD81F93">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"Last year", "a few months ago"</w:t>
            </w:r>
          </w:p>
        </w:tc>
      </w:tr>
      <w:tr w14:paraId="32BA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2A40527">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4</w:t>
            </w:r>
          </w:p>
        </w:tc>
        <w:tc>
          <w:tcPr>
            <w:tcW w:w="0" w:type="auto"/>
            <w:vAlign w:val="center"/>
          </w:tcPr>
          <w:p w14:paraId="3CD7FD3E">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Specific year or month provided</w:t>
            </w:r>
          </w:p>
        </w:tc>
        <w:tc>
          <w:tcPr>
            <w:tcW w:w="4841" w:type="dxa"/>
            <w:vAlign w:val="center"/>
          </w:tcPr>
          <w:p w14:paraId="0696FF8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"2025 guidelines", "a study published late last year"</w:t>
            </w:r>
          </w:p>
        </w:tc>
      </w:tr>
      <w:tr w14:paraId="0DBD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46" w:type="dxa"/>
            <w:vAlign w:val="center"/>
          </w:tcPr>
          <w:p w14:paraId="268A2AF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5</w:t>
            </w:r>
          </w:p>
        </w:tc>
        <w:tc>
          <w:tcPr>
            <w:tcW w:w="3754" w:type="dxa"/>
            <w:vAlign w:val="center"/>
          </w:tcPr>
          <w:p w14:paraId="658DE4A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Exact year-month-day specified</w:t>
            </w:r>
          </w:p>
        </w:tc>
        <w:tc>
          <w:tcPr>
            <w:tcW w:w="4841" w:type="dxa"/>
            <w:vAlign w:val="center"/>
          </w:tcPr>
          <w:p w14:paraId="35CC6766">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Published on "2026-04-15", or explicit publication year of cited literature</w:t>
            </w:r>
          </w:p>
        </w:tc>
      </w:tr>
    </w:tbl>
    <w:p w14:paraId="4DA0171B">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3"/>
        <w:rPr>
          <w:rFonts w:hint="default" w:ascii="Times New Roman" w:hAnsi="Times New Roman" w:eastAsia="等线" w:cs="Times New Roman"/>
          <w:b/>
          <w:color w:val="auto"/>
          <w:sz w:val="18"/>
          <w:szCs w:val="18"/>
        </w:rPr>
      </w:pPr>
      <w:r>
        <w:rPr>
          <w:rFonts w:hint="default" w:ascii="Times New Roman" w:hAnsi="Times New Roman" w:eastAsia="等线" w:cs="Times New Roman"/>
          <w:b/>
          <w:color w:val="auto"/>
          <w:sz w:val="18"/>
          <w:szCs w:val="18"/>
        </w:rPr>
        <w:t>Item 3: Description of treatment / conditioning regimen mechanism</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3497"/>
        <w:gridCol w:w="5098"/>
      </w:tblGrid>
      <w:tr w14:paraId="5790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220728DC">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Score</w:t>
            </w:r>
          </w:p>
        </w:tc>
        <w:tc>
          <w:tcPr>
            <w:tcW w:w="0" w:type="auto"/>
            <w:vAlign w:val="center"/>
          </w:tcPr>
          <w:p w14:paraId="0F428590">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Judgement criterion</w:t>
            </w:r>
          </w:p>
        </w:tc>
        <w:tc>
          <w:tcPr>
            <w:tcW w:w="5098" w:type="dxa"/>
            <w:vAlign w:val="center"/>
          </w:tcPr>
          <w:p w14:paraId="3257188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Example</w:t>
            </w:r>
          </w:p>
        </w:tc>
      </w:tr>
      <w:tr w14:paraId="5D46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C2A445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503D178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mechanism described at all</w:t>
            </w:r>
          </w:p>
        </w:tc>
        <w:tc>
          <w:tcPr>
            <w:tcW w:w="5098" w:type="dxa"/>
            <w:vAlign w:val="center"/>
          </w:tcPr>
          <w:p w14:paraId="072E1DEF">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States only "taking this works" with no explanation</w:t>
            </w:r>
          </w:p>
        </w:tc>
      </w:tr>
      <w:tr w14:paraId="18DA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C1232B6">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0" w:type="auto"/>
            <w:vAlign w:val="center"/>
          </w:tcPr>
          <w:p w14:paraId="3735777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Very brief reference to mechanism</w:t>
            </w:r>
          </w:p>
        </w:tc>
        <w:tc>
          <w:tcPr>
            <w:tcW w:w="5098" w:type="dxa"/>
            <w:vAlign w:val="center"/>
          </w:tcPr>
          <w:p w14:paraId="112B787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"Because it warms the uterus"</w:t>
            </w:r>
          </w:p>
        </w:tc>
      </w:tr>
      <w:tr w14:paraId="2AE8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BD34114">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3</w:t>
            </w:r>
          </w:p>
        </w:tc>
        <w:tc>
          <w:tcPr>
            <w:tcW w:w="0" w:type="auto"/>
            <w:vAlign w:val="center"/>
          </w:tcPr>
          <w:p w14:paraId="03C52F1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Basic mechanistic explanation provided</w:t>
            </w:r>
          </w:p>
        </w:tc>
        <w:tc>
          <w:tcPr>
            <w:tcW w:w="5098" w:type="dxa"/>
            <w:vAlign w:val="center"/>
          </w:tcPr>
          <w:p w14:paraId="1F51D71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"Coenzyme Q10 can improve oocyte mitochondrial function"</w:t>
            </w:r>
          </w:p>
        </w:tc>
      </w:tr>
      <w:tr w14:paraId="2DE6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7665714">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4</w:t>
            </w:r>
          </w:p>
        </w:tc>
        <w:tc>
          <w:tcPr>
            <w:tcW w:w="0" w:type="auto"/>
            <w:vAlign w:val="center"/>
          </w:tcPr>
          <w:p w14:paraId="736A794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Relatively detailed mechanistic explanation</w:t>
            </w:r>
          </w:p>
        </w:tc>
        <w:tc>
          <w:tcPr>
            <w:tcW w:w="5098" w:type="dxa"/>
            <w:vAlign w:val="center"/>
          </w:tcPr>
          <w:p w14:paraId="623820B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Explains the specific pathway of action of a given nutrient</w:t>
            </w:r>
          </w:p>
        </w:tc>
      </w:tr>
      <w:tr w14:paraId="04AC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46" w:type="dxa"/>
            <w:vAlign w:val="center"/>
          </w:tcPr>
          <w:p w14:paraId="2D8D972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5</w:t>
            </w:r>
          </w:p>
        </w:tc>
        <w:tc>
          <w:tcPr>
            <w:tcW w:w="3497" w:type="dxa"/>
            <w:vAlign w:val="center"/>
          </w:tcPr>
          <w:p w14:paraId="00E8F053">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Clear, complete mechanism grounded in scientific evidence</w:t>
            </w:r>
          </w:p>
        </w:tc>
        <w:tc>
          <w:tcPr>
            <w:tcW w:w="5098" w:type="dxa"/>
            <w:vAlign w:val="center"/>
          </w:tcPr>
          <w:p w14:paraId="13F0DCD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Explains the mechanism of each therapy in detail, integrated with reproductive physiology</w:t>
            </w:r>
          </w:p>
        </w:tc>
      </w:tr>
    </w:tbl>
    <w:p w14:paraId="028EEAA9">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3"/>
        <w:rPr>
          <w:rFonts w:hint="default" w:ascii="Times New Roman" w:hAnsi="Times New Roman" w:eastAsia="等线" w:cs="Times New Roman"/>
          <w:b/>
          <w:color w:val="auto"/>
          <w:sz w:val="18"/>
          <w:szCs w:val="18"/>
        </w:rPr>
      </w:pPr>
      <w:r>
        <w:rPr>
          <w:rFonts w:hint="default" w:ascii="Times New Roman" w:hAnsi="Times New Roman" w:eastAsia="等线" w:cs="Times New Roman"/>
          <w:b/>
          <w:color w:val="auto"/>
          <w:sz w:val="18"/>
          <w:szCs w:val="18"/>
        </w:rPr>
        <w:t>Item 4: Description of treatment / conditioning regimen benefits</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3057"/>
        <w:gridCol w:w="5538"/>
      </w:tblGrid>
      <w:tr w14:paraId="5760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116FFBE0">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Score</w:t>
            </w:r>
          </w:p>
        </w:tc>
        <w:tc>
          <w:tcPr>
            <w:tcW w:w="0" w:type="auto"/>
            <w:vAlign w:val="center"/>
          </w:tcPr>
          <w:p w14:paraId="3ED18D0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Judgement criterion</w:t>
            </w:r>
          </w:p>
        </w:tc>
        <w:tc>
          <w:tcPr>
            <w:tcW w:w="5538" w:type="dxa"/>
            <w:vAlign w:val="center"/>
          </w:tcPr>
          <w:p w14:paraId="27E4DCCF">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Example</w:t>
            </w:r>
          </w:p>
        </w:tc>
      </w:tr>
      <w:tr w14:paraId="3AE2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BB15766">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5BA4A75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benefits mentioned</w:t>
            </w:r>
          </w:p>
        </w:tc>
        <w:tc>
          <w:tcPr>
            <w:tcW w:w="5538" w:type="dxa"/>
            <w:vAlign w:val="center"/>
          </w:tcPr>
          <w:p w14:paraId="3D5B311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Describes the regimen only, with no discussion of effects</w:t>
            </w:r>
          </w:p>
        </w:tc>
      </w:tr>
      <w:tr w14:paraId="6E4B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AFFB064">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0" w:type="auto"/>
            <w:vAlign w:val="center"/>
          </w:tcPr>
          <w:p w14:paraId="271D10AC">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Vague reference to "effectiveness" with no detail</w:t>
            </w:r>
          </w:p>
        </w:tc>
        <w:tc>
          <w:tcPr>
            <w:tcW w:w="5538" w:type="dxa"/>
            <w:vAlign w:val="center"/>
          </w:tcPr>
          <w:p w14:paraId="6E3B8604">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"Works very well", "worked for me personally"</w:t>
            </w:r>
          </w:p>
        </w:tc>
      </w:tr>
      <w:tr w14:paraId="4182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3F811A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3</w:t>
            </w:r>
          </w:p>
        </w:tc>
        <w:tc>
          <w:tcPr>
            <w:tcW w:w="0" w:type="auto"/>
            <w:vAlign w:val="center"/>
          </w:tcPr>
          <w:p w14:paraId="579D5737">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Basic description of benefits</w:t>
            </w:r>
          </w:p>
        </w:tc>
        <w:tc>
          <w:tcPr>
            <w:tcW w:w="5538" w:type="dxa"/>
            <w:vAlign w:val="center"/>
          </w:tcPr>
          <w:p w14:paraId="5D1BB99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"Can improve follicular quality", "can help condition the endometrium"</w:t>
            </w:r>
          </w:p>
        </w:tc>
      </w:tr>
      <w:tr w14:paraId="6CA8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675CDC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4</w:t>
            </w:r>
          </w:p>
        </w:tc>
        <w:tc>
          <w:tcPr>
            <w:tcW w:w="0" w:type="auto"/>
            <w:vAlign w:val="center"/>
          </w:tcPr>
          <w:p w14:paraId="6EAC3533">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Relatively specific benefit description</w:t>
            </w:r>
          </w:p>
        </w:tc>
        <w:tc>
          <w:tcPr>
            <w:tcW w:w="5538" w:type="dxa"/>
            <w:vAlign w:val="center"/>
          </w:tcPr>
          <w:p w14:paraId="2F5E6BC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"AMH increased from 0.8 to 2.5", "three more follicles were observed"</w:t>
            </w:r>
          </w:p>
        </w:tc>
      </w:tr>
      <w:tr w14:paraId="1289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46" w:type="dxa"/>
            <w:vAlign w:val="center"/>
          </w:tcPr>
          <w:p w14:paraId="268CD6A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5</w:t>
            </w:r>
          </w:p>
        </w:tc>
        <w:tc>
          <w:tcPr>
            <w:tcW w:w="3057" w:type="dxa"/>
            <w:vAlign w:val="center"/>
          </w:tcPr>
          <w:p w14:paraId="0B24E1E0">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Clear, quantifiable benefit description</w:t>
            </w:r>
          </w:p>
        </w:tc>
        <w:tc>
          <w:tcPr>
            <w:tcW w:w="5538" w:type="dxa"/>
            <w:vAlign w:val="center"/>
          </w:tcPr>
          <w:p w14:paraId="6F45623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Provides specific indicator change data, or explicit response rates and magnitude of improvement</w:t>
            </w:r>
          </w:p>
        </w:tc>
      </w:tr>
    </w:tbl>
    <w:p w14:paraId="18AD13EE">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3"/>
        <w:rPr>
          <w:rFonts w:hint="default" w:ascii="Times New Roman" w:hAnsi="Times New Roman" w:eastAsia="等线" w:cs="Times New Roman"/>
          <w:b/>
          <w:color w:val="auto"/>
          <w:sz w:val="18"/>
          <w:szCs w:val="18"/>
        </w:rPr>
      </w:pPr>
      <w:r>
        <w:rPr>
          <w:rFonts w:hint="default" w:ascii="Times New Roman" w:hAnsi="Times New Roman" w:eastAsia="等线" w:cs="Times New Roman"/>
          <w:b/>
          <w:color w:val="auto"/>
          <w:sz w:val="18"/>
          <w:szCs w:val="18"/>
        </w:rPr>
        <w:t>Item 5: Description of treatment / conditioning regimen risks</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2452"/>
        <w:gridCol w:w="6143"/>
      </w:tblGrid>
      <w:tr w14:paraId="087A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2C06F9D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Score</w:t>
            </w:r>
          </w:p>
        </w:tc>
        <w:tc>
          <w:tcPr>
            <w:tcW w:w="0" w:type="auto"/>
            <w:vAlign w:val="center"/>
          </w:tcPr>
          <w:p w14:paraId="36472F4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Judgement criterion</w:t>
            </w:r>
          </w:p>
        </w:tc>
        <w:tc>
          <w:tcPr>
            <w:tcW w:w="6143" w:type="dxa"/>
            <w:vAlign w:val="center"/>
          </w:tcPr>
          <w:p w14:paraId="66C32F2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Example</w:t>
            </w:r>
          </w:p>
        </w:tc>
      </w:tr>
      <w:tr w14:paraId="2531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24F0E43">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4F212F4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risks or side effects mentioned</w:t>
            </w:r>
          </w:p>
        </w:tc>
        <w:tc>
          <w:tcPr>
            <w:tcW w:w="6143" w:type="dxa"/>
            <w:vAlign w:val="center"/>
          </w:tcPr>
          <w:p w14:paraId="78009FC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Discusses benefits only, with no mention of potential issues</w:t>
            </w:r>
          </w:p>
        </w:tc>
      </w:tr>
      <w:tr w14:paraId="5EE28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BB6165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0" w:type="auto"/>
            <w:vAlign w:val="center"/>
          </w:tcPr>
          <w:p w14:paraId="6F74300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Very vague risk advisory</w:t>
            </w:r>
          </w:p>
        </w:tc>
        <w:tc>
          <w:tcPr>
            <w:tcW w:w="6143" w:type="dxa"/>
            <w:vAlign w:val="center"/>
          </w:tcPr>
          <w:p w14:paraId="714D4E80">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"May have side effects"</w:t>
            </w:r>
          </w:p>
        </w:tc>
      </w:tr>
      <w:tr w14:paraId="2B7B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74D63E6">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3</w:t>
            </w:r>
          </w:p>
        </w:tc>
        <w:tc>
          <w:tcPr>
            <w:tcW w:w="0" w:type="auto"/>
            <w:vAlign w:val="center"/>
          </w:tcPr>
          <w:p w14:paraId="0423996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Basic risk description</w:t>
            </w:r>
          </w:p>
        </w:tc>
        <w:tc>
          <w:tcPr>
            <w:tcW w:w="6143" w:type="dxa"/>
            <w:vAlign w:val="center"/>
          </w:tcPr>
          <w:p w14:paraId="34265FF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"May cause gastrointestinal discomfort"</w:t>
            </w:r>
          </w:p>
        </w:tc>
      </w:tr>
      <w:tr w14:paraId="2BB19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625FD0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4</w:t>
            </w:r>
          </w:p>
        </w:tc>
        <w:tc>
          <w:tcPr>
            <w:tcW w:w="0" w:type="auto"/>
            <w:vAlign w:val="center"/>
          </w:tcPr>
          <w:p w14:paraId="419EF306">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Relatively specific risk description</w:t>
            </w:r>
          </w:p>
        </w:tc>
        <w:tc>
          <w:tcPr>
            <w:tcW w:w="6143" w:type="dxa"/>
            <w:vAlign w:val="center"/>
          </w:tcPr>
          <w:p w14:paraId="44EB760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Specifies populations who should use caution and the corresponding rationale</w:t>
            </w:r>
          </w:p>
        </w:tc>
      </w:tr>
      <w:tr w14:paraId="40A0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46" w:type="dxa"/>
            <w:vAlign w:val="center"/>
          </w:tcPr>
          <w:p w14:paraId="3B841C1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5</w:t>
            </w:r>
          </w:p>
        </w:tc>
        <w:tc>
          <w:tcPr>
            <w:tcW w:w="2452" w:type="dxa"/>
            <w:vAlign w:val="center"/>
          </w:tcPr>
          <w:p w14:paraId="4FF3B9D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Complete, specific risk description</w:t>
            </w:r>
          </w:p>
        </w:tc>
        <w:tc>
          <w:tcPr>
            <w:tcW w:w="6143" w:type="dxa"/>
            <w:vAlign w:val="center"/>
          </w:tcPr>
          <w:p w14:paraId="7B433B87">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Lists multiple potential risks, alongside management strategies and contraindicated populations</w:t>
            </w:r>
          </w:p>
        </w:tc>
      </w:tr>
    </w:tbl>
    <w:p w14:paraId="0DD2697C">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3"/>
        <w:rPr>
          <w:rFonts w:hint="default" w:ascii="Times New Roman" w:hAnsi="Times New Roman" w:eastAsia="等线" w:cs="Times New Roman"/>
          <w:b/>
          <w:color w:val="auto"/>
          <w:sz w:val="18"/>
          <w:szCs w:val="18"/>
        </w:rPr>
      </w:pPr>
      <w:r>
        <w:rPr>
          <w:rFonts w:hint="default" w:ascii="Times New Roman" w:hAnsi="Times New Roman" w:eastAsia="等线" w:cs="Times New Roman"/>
          <w:b/>
          <w:color w:val="auto"/>
          <w:sz w:val="18"/>
          <w:szCs w:val="18"/>
        </w:rPr>
        <w:t>Item 6: Description of impact on quality of life</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3571"/>
        <w:gridCol w:w="5024"/>
      </w:tblGrid>
      <w:tr w14:paraId="627C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235CCCD3">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Score</w:t>
            </w:r>
          </w:p>
        </w:tc>
        <w:tc>
          <w:tcPr>
            <w:tcW w:w="0" w:type="auto"/>
            <w:vAlign w:val="center"/>
          </w:tcPr>
          <w:p w14:paraId="7436786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Judgement criterion</w:t>
            </w:r>
          </w:p>
        </w:tc>
        <w:tc>
          <w:tcPr>
            <w:tcW w:w="5024" w:type="dxa"/>
            <w:vAlign w:val="center"/>
          </w:tcPr>
          <w:p w14:paraId="2AB99265">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Example</w:t>
            </w:r>
          </w:p>
        </w:tc>
      </w:tr>
      <w:tr w14:paraId="737B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B37038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0C79A1A4">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mention of impact on daily life</w:t>
            </w:r>
          </w:p>
        </w:tc>
        <w:tc>
          <w:tcPr>
            <w:tcW w:w="5024" w:type="dxa"/>
            <w:vAlign w:val="center"/>
          </w:tcPr>
          <w:p w14:paraId="79EC2F1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Discusses clinical indicators only, with no reference to daily living</w:t>
            </w:r>
          </w:p>
        </w:tc>
      </w:tr>
      <w:tr w14:paraId="6AB6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B74C10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0" w:type="auto"/>
            <w:vAlign w:val="center"/>
          </w:tcPr>
          <w:p w14:paraId="6AB8FFC0">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Very brief reference</w:t>
            </w:r>
          </w:p>
        </w:tc>
        <w:tc>
          <w:tcPr>
            <w:tcW w:w="5024" w:type="dxa"/>
            <w:vAlign w:val="center"/>
          </w:tcPr>
          <w:p w14:paraId="641F52A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"Does not affect normal daily life"</w:t>
            </w:r>
          </w:p>
        </w:tc>
      </w:tr>
      <w:tr w14:paraId="63AD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98AC26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3</w:t>
            </w:r>
          </w:p>
        </w:tc>
        <w:tc>
          <w:tcPr>
            <w:tcW w:w="0" w:type="auto"/>
            <w:vAlign w:val="center"/>
          </w:tcPr>
          <w:p w14:paraId="2DD1CC9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Basic quality of life description</w:t>
            </w:r>
          </w:p>
        </w:tc>
        <w:tc>
          <w:tcPr>
            <w:tcW w:w="5024" w:type="dxa"/>
            <w:vAlign w:val="center"/>
          </w:tcPr>
          <w:p w14:paraId="5906C827">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"Sleep has improved", "does not interfere with work"</w:t>
            </w:r>
          </w:p>
        </w:tc>
      </w:tr>
      <w:tr w14:paraId="7005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1961F26">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4</w:t>
            </w:r>
          </w:p>
        </w:tc>
        <w:tc>
          <w:tcPr>
            <w:tcW w:w="0" w:type="auto"/>
            <w:vAlign w:val="center"/>
          </w:tcPr>
          <w:p w14:paraId="397BE724">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Relatively specific description</w:t>
            </w:r>
          </w:p>
        </w:tc>
        <w:tc>
          <w:tcPr>
            <w:tcW w:w="5024" w:type="dxa"/>
            <w:vAlign w:val="center"/>
          </w:tcPr>
          <w:p w14:paraId="2BF607D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Details specific impacts on mood, social life, work and family relationships</w:t>
            </w:r>
          </w:p>
        </w:tc>
      </w:tr>
      <w:tr w14:paraId="4CA2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46" w:type="dxa"/>
            <w:vAlign w:val="center"/>
          </w:tcPr>
          <w:p w14:paraId="36010F0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5</w:t>
            </w:r>
          </w:p>
        </w:tc>
        <w:tc>
          <w:tcPr>
            <w:tcW w:w="3571" w:type="dxa"/>
            <w:vAlign w:val="center"/>
          </w:tcPr>
          <w:p w14:paraId="7C6123B6">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Comprehensive, specific description of quality of life impact</w:t>
            </w:r>
          </w:p>
        </w:tc>
        <w:tc>
          <w:tcPr>
            <w:tcW w:w="5024" w:type="dxa"/>
            <w:vAlign w:val="center"/>
          </w:tcPr>
          <w:p w14:paraId="129801D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Covers multiple domains including daily living, psychological mood and social functioning</w:t>
            </w:r>
          </w:p>
        </w:tc>
      </w:tr>
    </w:tbl>
    <w:p w14:paraId="7FBE45CA">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3.3</w:t>
      </w:r>
      <w:r>
        <w:rPr>
          <w:rFonts w:hint="default" w:ascii="Times New Roman" w:hAnsi="Times New Roman" w:eastAsia="等线" w:cs="Times New Roman"/>
          <w:b/>
          <w:color w:val="auto"/>
          <w:sz w:val="18"/>
          <w:szCs w:val="18"/>
        </w:rPr>
        <w:t>Total Score Calculation and Quality Determination</w:t>
      </w:r>
    </w:p>
    <w:p w14:paraId="533AC7AB">
      <w:pPr>
        <w:keepLines w:val="0"/>
        <w:pageBreakBefore w:val="0"/>
        <w:numPr>
          <w:ilvl w:val="0"/>
          <w:numId w:val="0"/>
        </w:numPr>
        <w:kinsoku/>
        <w:wordWrap/>
        <w:overflowPunct/>
        <w:topLinePunct w:val="0"/>
        <w:autoSpaceDE/>
        <w:autoSpaceDN/>
        <w:bidi w:val="0"/>
        <w:adjustRightInd/>
        <w:spacing w:before="0" w:beforeLines="50" w:after="0" w:afterLines="50" w:line="240" w:lineRule="exact"/>
        <w:ind w:left="0" w:leftChars="0"/>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Total DISCERN score = Item 1 score + Item 2 score + Item 3 score + Item 4 score + Item 5 score + Item 6 score</w:t>
      </w:r>
    </w:p>
    <w:p w14:paraId="77457CC6">
      <w:pPr>
        <w:keepLines w:val="0"/>
        <w:pageBreakBefore w:val="0"/>
        <w:numPr>
          <w:ilvl w:val="0"/>
          <w:numId w:val="0"/>
        </w:numPr>
        <w:kinsoku/>
        <w:wordWrap/>
        <w:overflowPunct/>
        <w:topLinePunct w:val="0"/>
        <w:autoSpaceDE/>
        <w:autoSpaceDN/>
        <w:bidi w:val="0"/>
        <w:adjustRightInd/>
        <w:spacing w:before="0" w:beforeLines="50" w:after="0" w:afterLines="50" w:line="240" w:lineRule="exact"/>
        <w:ind w:left="0" w:leftChars="0"/>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Total score range: 6–30 points</w:t>
      </w:r>
    </w:p>
    <w:p w14:paraId="272C412D">
      <w:pPr>
        <w:keepLines w:val="0"/>
        <w:pageBreakBefore w:val="0"/>
        <w:numPr>
          <w:ilvl w:val="0"/>
          <w:numId w:val="0"/>
        </w:numPr>
        <w:kinsoku/>
        <w:wordWrap/>
        <w:overflowPunct/>
        <w:topLinePunct w:val="0"/>
        <w:autoSpaceDE/>
        <w:autoSpaceDN/>
        <w:bidi w:val="0"/>
        <w:adjustRightInd/>
        <w:spacing w:before="0" w:beforeLines="50" w:after="0" w:afterLines="50" w:line="240" w:lineRule="exact"/>
        <w:ind w:left="0" w:leftChars="0"/>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Quality determination: ≥ 16 points = satisfactory quality; ≤ 15 points = insufficient quality</w:t>
      </w:r>
    </w:p>
    <w:p w14:paraId="4182C873">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1"/>
        <w:rPr>
          <w:rFonts w:hint="default" w:ascii="Times New Roman" w:hAnsi="Times New Roman" w:eastAsia="等线" w:cs="Times New Roman"/>
          <w:b/>
          <w:color w:val="auto"/>
          <w:sz w:val="24"/>
          <w:szCs w:val="24"/>
        </w:rPr>
      </w:pPr>
      <w:bookmarkStart w:id="3" w:name="heading_29"/>
      <w:r>
        <w:rPr>
          <w:rFonts w:hint="default" w:ascii="Times New Roman" w:hAnsi="Times New Roman" w:eastAsia="等线" w:cs="Times New Roman"/>
          <w:b/>
          <w:color w:val="auto"/>
          <w:sz w:val="24"/>
          <w:szCs w:val="24"/>
        </w:rPr>
        <w:t xml:space="preserve"> 4 Sample Exclusion and Consensus Review Criteria</w:t>
      </w:r>
    </w:p>
    <w:bookmarkEnd w:id="3"/>
    <w:p w14:paraId="4FD334F9">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4.</w:t>
      </w:r>
      <w:r>
        <w:rPr>
          <w:rFonts w:hint="default" w:ascii="Times New Roman" w:hAnsi="Times New Roman" w:eastAsia="等线" w:cs="Times New Roman"/>
          <w:b/>
          <w:color w:val="auto"/>
          <w:sz w:val="18"/>
          <w:szCs w:val="18"/>
        </w:rPr>
        <w:t>1 General Rules for Sample Exclusion</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1946"/>
        <w:gridCol w:w="5995"/>
      </w:tblGrid>
      <w:tr w14:paraId="7EB8C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00" w:type="dxa"/>
            <w:vAlign w:val="center"/>
          </w:tcPr>
          <w:p w14:paraId="55E6B7FE">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Code value</w:t>
            </w:r>
          </w:p>
        </w:tc>
        <w:tc>
          <w:tcPr>
            <w:tcW w:w="1946" w:type="dxa"/>
            <w:vAlign w:val="center"/>
          </w:tcPr>
          <w:p w14:paraId="6BEB6DD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Definition</w:t>
            </w:r>
          </w:p>
        </w:tc>
        <w:tc>
          <w:tcPr>
            <w:tcW w:w="5994" w:type="dxa"/>
            <w:vAlign w:val="center"/>
          </w:tcPr>
          <w:p w14:paraId="5FC6CC83">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General judgement criterion</w:t>
            </w:r>
          </w:p>
        </w:tc>
      </w:tr>
      <w:tr w14:paraId="24E89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00" w:type="dxa"/>
            <w:vAlign w:val="center"/>
          </w:tcPr>
          <w:p w14:paraId="1D1E6DC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1946" w:type="dxa"/>
            <w:vAlign w:val="center"/>
          </w:tcPr>
          <w:p w14:paraId="3BAE8BA1">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Recommended for exclusion</w:t>
            </w:r>
          </w:p>
        </w:tc>
        <w:tc>
          <w:tcPr>
            <w:tcW w:w="5994" w:type="dxa"/>
            <w:vAlign w:val="center"/>
          </w:tcPr>
          <w:p w14:paraId="12A8827E">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Marked for exclusion if any of the exclusion criteria below is met; not included in subsequent statistical analysis</w:t>
            </w:r>
          </w:p>
        </w:tc>
      </w:tr>
      <w:tr w14:paraId="63E9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00" w:type="dxa"/>
            <w:vAlign w:val="center"/>
          </w:tcPr>
          <w:p w14:paraId="4B87244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w:t>
            </w:r>
          </w:p>
        </w:tc>
        <w:tc>
          <w:tcPr>
            <w:tcW w:w="1946" w:type="dxa"/>
            <w:vAlign w:val="center"/>
          </w:tcPr>
          <w:p w14:paraId="5289C26D">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Retained</w:t>
            </w:r>
          </w:p>
        </w:tc>
        <w:tc>
          <w:tcPr>
            <w:tcW w:w="5994" w:type="dxa"/>
            <w:vAlign w:val="center"/>
          </w:tcPr>
          <w:p w14:paraId="611CEFBA">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Content is relevant and sufficiently informative to allow coding of all or most core variables</w:t>
            </w:r>
          </w:p>
        </w:tc>
      </w:tr>
    </w:tbl>
    <w:p w14:paraId="79B84171">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4.</w:t>
      </w:r>
      <w:r>
        <w:rPr>
          <w:rFonts w:hint="default" w:ascii="Times New Roman" w:hAnsi="Times New Roman" w:eastAsia="等线" w:cs="Times New Roman"/>
          <w:b/>
          <w:color w:val="auto"/>
          <w:sz w:val="18"/>
          <w:szCs w:val="18"/>
        </w:rPr>
        <w:t>2 Detailed Exclusion Categories</w:t>
      </w:r>
    </w:p>
    <w:tbl>
      <w:tblPr>
        <w:tblStyle w:val="5"/>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1965"/>
        <w:gridCol w:w="2290"/>
        <w:gridCol w:w="2570"/>
        <w:gridCol w:w="2082"/>
      </w:tblGrid>
      <w:tr w14:paraId="12EF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6F436245">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bookmarkStart w:id="5" w:name="_GoBack"/>
            <w:bookmarkEnd w:id="5"/>
            <w:r>
              <w:rPr>
                <w:rFonts w:hint="default" w:ascii="Times New Roman" w:hAnsi="Times New Roman" w:eastAsia="宋体" w:cs="Times New Roman"/>
                <w:b/>
                <w:i w:val="0"/>
                <w:iCs w:val="0"/>
                <w:color w:val="auto"/>
                <w:kern w:val="0"/>
                <w:sz w:val="18"/>
                <w:szCs w:val="18"/>
                <w:u w:val="none"/>
                <w:lang w:val="en-US" w:eastAsia="zh-CN" w:bidi="ar"/>
              </w:rPr>
              <w:t>Exclusion type code</w:t>
            </w:r>
          </w:p>
        </w:tc>
        <w:tc>
          <w:tcPr>
            <w:tcW w:w="1965" w:type="dxa"/>
            <w:vAlign w:val="center"/>
          </w:tcPr>
          <w:p w14:paraId="7B8D633A">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Exclusion type name</w:t>
            </w:r>
          </w:p>
        </w:tc>
        <w:tc>
          <w:tcPr>
            <w:tcW w:w="2290" w:type="dxa"/>
            <w:vAlign w:val="center"/>
          </w:tcPr>
          <w:p w14:paraId="1D838AE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Operational definition</w:t>
            </w:r>
          </w:p>
        </w:tc>
        <w:tc>
          <w:tcPr>
            <w:tcW w:w="0" w:type="auto"/>
            <w:vAlign w:val="center"/>
          </w:tcPr>
          <w:p w14:paraId="19820885">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Core judgement points</w:t>
            </w:r>
          </w:p>
        </w:tc>
        <w:tc>
          <w:tcPr>
            <w:tcW w:w="2082" w:type="dxa"/>
            <w:vAlign w:val="center"/>
          </w:tcPr>
          <w:p w14:paraId="5C9BB7F1">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Typical example</w:t>
            </w:r>
          </w:p>
        </w:tc>
      </w:tr>
      <w:tr w14:paraId="3BB3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BCF9805">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01</w:t>
            </w:r>
          </w:p>
        </w:tc>
        <w:tc>
          <w:tcPr>
            <w:tcW w:w="1965" w:type="dxa"/>
            <w:vAlign w:val="center"/>
          </w:tcPr>
          <w:p w14:paraId="01447E0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Commercial promotional advertising</w:t>
            </w:r>
          </w:p>
        </w:tc>
        <w:tc>
          <w:tcPr>
            <w:tcW w:w="2290" w:type="dxa"/>
            <w:vAlign w:val="center"/>
          </w:tcPr>
          <w:p w14:paraId="453E4C42">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Commercial marketing content with the core purpose of product sales or service user acquisition</w:t>
            </w:r>
          </w:p>
        </w:tc>
        <w:tc>
          <w:tcPr>
            <w:tcW w:w="0" w:type="auto"/>
            <w:vAlign w:val="center"/>
          </w:tcPr>
          <w:p w14:paraId="7BA30310">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Post body contains explicit purchase links, store guidance, product promotion, or intermediary user diversion; or the account is a purely commercial marketing account with hard-sell or native advertising content</w:t>
            </w:r>
          </w:p>
        </w:tc>
        <w:tc>
          <w:tcPr>
            <w:tcW w:w="2082" w:type="dxa"/>
            <w:vAlign w:val="center"/>
          </w:tcPr>
          <w:p w14:paraId="352A5B97">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"Taking this coenzyme Q10 doubled my AMH, click the link to buy", "Message me for a free conditioning plan, guaranteed conception"</w:t>
            </w:r>
          </w:p>
        </w:tc>
      </w:tr>
      <w:tr w14:paraId="0428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16F7BB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02</w:t>
            </w:r>
          </w:p>
        </w:tc>
        <w:tc>
          <w:tcPr>
            <w:tcW w:w="1965" w:type="dxa"/>
            <w:vAlign w:val="center"/>
          </w:tcPr>
          <w:p w14:paraId="65DB3DB1">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Plagiarised / duplicate content</w:t>
            </w:r>
          </w:p>
        </w:tc>
        <w:tc>
          <w:tcPr>
            <w:tcW w:w="2290" w:type="dxa"/>
            <w:vAlign w:val="center"/>
          </w:tcPr>
          <w:p w14:paraId="5979735C">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Content that is fully plagiarised, reposted or reproduced from others, with no original viewpoints or personal narrative</w:t>
            </w:r>
          </w:p>
        </w:tc>
        <w:tc>
          <w:tcPr>
            <w:tcW w:w="0" w:type="auto"/>
            <w:vAlign w:val="center"/>
          </w:tcPr>
          <w:p w14:paraId="6EEC2F03">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Full text consists of copy-pasted popular science content with no personal viewpoints from the publisher; or content is identical to other posts in the sample pool</w:t>
            </w:r>
          </w:p>
        </w:tc>
        <w:tc>
          <w:tcPr>
            <w:tcW w:w="2082" w:type="dxa"/>
            <w:vAlign w:val="center"/>
          </w:tcPr>
          <w:p w14:paraId="25FD6CCE">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 post that purely reproduces the definition of infertility from an encyclopaedia, with no personal experience or viewpoints</w:t>
            </w:r>
          </w:p>
        </w:tc>
      </w:tr>
      <w:tr w14:paraId="3BB0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E8E2930">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03</w:t>
            </w:r>
          </w:p>
        </w:tc>
        <w:tc>
          <w:tcPr>
            <w:tcW w:w="1965" w:type="dxa"/>
            <w:vAlign w:val="center"/>
          </w:tcPr>
          <w:p w14:paraId="2189E730">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Pure emotional venting posts</w:t>
            </w:r>
          </w:p>
        </w:tc>
        <w:tc>
          <w:tcPr>
            <w:tcW w:w="2290" w:type="dxa"/>
            <w:vAlign w:val="center"/>
          </w:tcPr>
          <w:p w14:paraId="71D27402">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Content that only expresses negative emotions or anxious sentiments, with no description of health viewpoints, healthcare-seeking behaviours or conditioning regimens</w:t>
            </w:r>
          </w:p>
        </w:tc>
        <w:tc>
          <w:tcPr>
            <w:tcW w:w="0" w:type="auto"/>
            <w:vAlign w:val="center"/>
          </w:tcPr>
          <w:p w14:paraId="34D566F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Full text consists solely of emotional outpouring, with no substantive information related to preconception care, medical consultation or conditioning</w:t>
            </w:r>
          </w:p>
        </w:tc>
        <w:tc>
          <w:tcPr>
            <w:tcW w:w="2082" w:type="dxa"/>
            <w:vAlign w:val="center"/>
          </w:tcPr>
          <w:p w14:paraId="2B4446C2">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"Trying to conceive is so devastating", "When will I finally get pregnant?"</w:t>
            </w:r>
          </w:p>
        </w:tc>
      </w:tr>
      <w:tr w14:paraId="0919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3A973A0">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04</w:t>
            </w:r>
          </w:p>
        </w:tc>
        <w:tc>
          <w:tcPr>
            <w:tcW w:w="1965" w:type="dxa"/>
            <w:vAlign w:val="center"/>
          </w:tcPr>
          <w:p w14:paraId="7391F97A">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Image-only posts with no valid text</w:t>
            </w:r>
          </w:p>
        </w:tc>
        <w:tc>
          <w:tcPr>
            <w:tcW w:w="2290" w:type="dxa"/>
            <w:vAlign w:val="center"/>
          </w:tcPr>
          <w:p w14:paraId="6C609C1B">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Post body contains only test reports or medication images, with fewer than 30 characters of text and no substantive viewpoints</w:t>
            </w:r>
          </w:p>
        </w:tc>
        <w:tc>
          <w:tcPr>
            <w:tcW w:w="0" w:type="auto"/>
            <w:vAlign w:val="center"/>
          </w:tcPr>
          <w:p w14:paraId="1C9AB8B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Only test reports or medication images are uploaded, with extremely short accompanying text and no complete viewpoints or behavioural descriptions</w:t>
            </w:r>
          </w:p>
        </w:tc>
        <w:tc>
          <w:tcPr>
            <w:tcW w:w="2082" w:type="dxa"/>
            <w:vAlign w:val="center"/>
          </w:tcPr>
          <w:p w14:paraId="5D304C53">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 post sharing only an AMH test report with the caption "Can someone help take a look?"</w:t>
            </w:r>
          </w:p>
        </w:tc>
      </w:tr>
      <w:tr w14:paraId="64B9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7DD1379">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05</w:t>
            </w:r>
          </w:p>
        </w:tc>
        <w:tc>
          <w:tcPr>
            <w:tcW w:w="1965" w:type="dxa"/>
            <w:vAlign w:val="center"/>
          </w:tcPr>
          <w:p w14:paraId="3B87F26A">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Garbled / invalid text</w:t>
            </w:r>
          </w:p>
        </w:tc>
        <w:tc>
          <w:tcPr>
            <w:tcW w:w="2290" w:type="dxa"/>
            <w:vAlign w:val="center"/>
          </w:tcPr>
          <w:p w14:paraId="39B0EBD3">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Content consists of garbled characters, meaningless strings or test content that cannot be read normally</w:t>
            </w:r>
          </w:p>
        </w:tc>
        <w:tc>
          <w:tcPr>
            <w:tcW w:w="0" w:type="auto"/>
            <w:vAlign w:val="center"/>
          </w:tcPr>
          <w:p w14:paraId="5594D1A4">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Post body contains garbled text, piled symbols or irrelevant filler content with no readability</w:t>
            </w:r>
          </w:p>
        </w:tc>
        <w:tc>
          <w:tcPr>
            <w:tcW w:w="2082" w:type="dxa"/>
            <w:vAlign w:val="center"/>
          </w:tcPr>
          <w:p w14:paraId="3E4F9E47">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Posts piled with meaningless characters or pure emoji symbols</w:t>
            </w:r>
          </w:p>
        </w:tc>
      </w:tr>
      <w:tr w14:paraId="3A06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B627938">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06</w:t>
            </w:r>
          </w:p>
        </w:tc>
        <w:tc>
          <w:tcPr>
            <w:tcW w:w="1965" w:type="dxa"/>
            <w:vAlign w:val="center"/>
          </w:tcPr>
          <w:p w14:paraId="2C8AA32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Pure question posts</w:t>
            </w:r>
          </w:p>
        </w:tc>
        <w:tc>
          <w:tcPr>
            <w:tcW w:w="2290" w:type="dxa"/>
            <w:vAlign w:val="center"/>
          </w:tcPr>
          <w:p w14:paraId="0153DD05">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Content that only raises questions, with no description of personal experience, viewpoint orientation, or medical / conditioning behaviours</w:t>
            </w:r>
          </w:p>
        </w:tc>
        <w:tc>
          <w:tcPr>
            <w:tcW w:w="0" w:type="auto"/>
            <w:vAlign w:val="center"/>
          </w:tcPr>
          <w:p w14:paraId="265F9610">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Full text consists solely of questions, with no statement of the publisher’s own behaviours or viewpoints</w:t>
            </w:r>
          </w:p>
        </w:tc>
        <w:tc>
          <w:tcPr>
            <w:tcW w:w="2082" w:type="dxa"/>
            <w:vAlign w:val="center"/>
          </w:tcPr>
          <w:p w14:paraId="4C3D7BA0">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"What does everyone take when trying to conceive?", "What can be done about fallopian tube blockage?"</w:t>
            </w:r>
          </w:p>
        </w:tc>
      </w:tr>
      <w:tr w14:paraId="01AF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35" w:type="dxa"/>
            <w:vAlign w:val="center"/>
          </w:tcPr>
          <w:p w14:paraId="5CEDC6C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07</w:t>
            </w:r>
          </w:p>
        </w:tc>
        <w:tc>
          <w:tcPr>
            <w:tcW w:w="1965" w:type="dxa"/>
            <w:vAlign w:val="center"/>
          </w:tcPr>
          <w:p w14:paraId="25A06E1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Missing core variables</w:t>
            </w:r>
          </w:p>
        </w:tc>
        <w:tc>
          <w:tcPr>
            <w:tcW w:w="2290" w:type="dxa"/>
            <w:vAlign w:val="center"/>
          </w:tcPr>
          <w:p w14:paraId="527BD5C9">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Post contains preconception-related content, but the two core study variables — exposure group assignment and delayed care attendance — cannot be determined</w:t>
            </w:r>
          </w:p>
        </w:tc>
        <w:tc>
          <w:tcPr>
            <w:tcW w:w="2570" w:type="dxa"/>
            <w:vAlign w:val="center"/>
          </w:tcPr>
          <w:p w14:paraId="095B5826">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Contains preconception-related statements, but shows no preference for any regimen and no description of healthcare-seeking behaviour, so core study variables cannot be coded</w:t>
            </w:r>
          </w:p>
        </w:tc>
        <w:tc>
          <w:tcPr>
            <w:tcW w:w="2082" w:type="dxa"/>
            <w:vAlign w:val="center"/>
          </w:tcPr>
          <w:p w14:paraId="06FC043F">
            <w:pPr>
              <w:keepNext/>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left"/>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Only mentions "currently trying to conceive" with no statement of regimen preference or medical consultation plans</w:t>
            </w:r>
          </w:p>
        </w:tc>
      </w:tr>
    </w:tbl>
    <w:p w14:paraId="394D77B6">
      <w:pPr>
        <w:keepLines w:val="0"/>
        <w:pageBreakBefore w:val="0"/>
        <w:kinsoku/>
        <w:wordWrap/>
        <w:overflowPunct/>
        <w:topLinePunct w:val="0"/>
        <w:autoSpaceDE/>
        <w:autoSpaceDN/>
        <w:bidi w:val="0"/>
        <w:adjustRightInd/>
        <w:spacing w:before="0" w:beforeLines="50" w:after="0" w:afterLines="50" w:line="240" w:lineRule="exact"/>
        <w:ind w:left="0" w:leftChars="0"/>
        <w:jc w:val="left"/>
        <w:rPr>
          <w:rFonts w:hint="default" w:ascii="Times New Roman" w:hAnsi="Times New Roman" w:eastAsia="等线" w:cs="Times New Roman"/>
          <w:b/>
          <w:color w:val="auto"/>
          <w:sz w:val="18"/>
          <w:szCs w:val="18"/>
        </w:rPr>
      </w:pPr>
      <w:bookmarkStart w:id="4" w:name="heading_31"/>
      <w:r>
        <w:rPr>
          <w:rFonts w:hint="default" w:ascii="Times New Roman" w:hAnsi="Times New Roman" w:eastAsia="等线" w:cs="Times New Roman"/>
          <w:color w:val="auto"/>
          <w:sz w:val="18"/>
          <w:szCs w:val="18"/>
        </w:rPr>
        <w:t>Judgement rule: A post shall be marked for exclusion if it meets any one of the above categories. Where a single post meets multiple exclusion criteria, it shall be classified by the most predominant reason. Special or rare exclusion reasons may be supplemented with textual notes in the remarks column.</w:t>
      </w:r>
    </w:p>
    <w:bookmarkEnd w:id="4"/>
    <w:p w14:paraId="0FE9B6FA">
      <w:pPr>
        <w:keepLines w:val="0"/>
        <w:pageBreakBefore w:val="0"/>
        <w:kinsoku/>
        <w:wordWrap/>
        <w:overflowPunct/>
        <w:topLinePunct w:val="0"/>
        <w:autoSpaceDE/>
        <w:autoSpaceDN/>
        <w:bidi w:val="0"/>
        <w:adjustRightInd/>
        <w:spacing w:before="0" w:beforeLines="50" w:after="0" w:afterLines="50" w:line="240" w:lineRule="exact"/>
        <w:ind w:left="0" w:leftChars="0"/>
        <w:jc w:val="left"/>
        <w:outlineLvl w:val="2"/>
        <w:rPr>
          <w:rFonts w:hint="default" w:ascii="Times New Roman" w:hAnsi="Times New Roman" w:eastAsia="等线" w:cs="Times New Roman"/>
          <w:b/>
          <w:color w:val="auto"/>
          <w:sz w:val="18"/>
          <w:szCs w:val="18"/>
        </w:rPr>
      </w:pPr>
      <w:r>
        <w:rPr>
          <w:rFonts w:hint="eastAsia" w:ascii="Times New Roman" w:hAnsi="Times New Roman" w:eastAsia="等线" w:cs="Times New Roman"/>
          <w:b/>
          <w:color w:val="auto"/>
          <w:sz w:val="18"/>
          <w:szCs w:val="18"/>
          <w:lang w:val="en-US" w:eastAsia="zh-CN"/>
        </w:rPr>
        <w:t>4.</w:t>
      </w:r>
      <w:r>
        <w:rPr>
          <w:rFonts w:hint="default" w:ascii="Times New Roman" w:hAnsi="Times New Roman" w:eastAsia="等线" w:cs="Times New Roman"/>
          <w:b/>
          <w:color w:val="auto"/>
          <w:sz w:val="18"/>
          <w:szCs w:val="18"/>
        </w:rPr>
        <w:t>3 Consensus Review Criteria</w:t>
      </w:r>
    </w:p>
    <w:tbl>
      <w:tblPr>
        <w:tblStyle w:val="5"/>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592"/>
        <w:gridCol w:w="6355"/>
      </w:tblGrid>
      <w:tr w14:paraId="604D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94" w:type="dxa"/>
            <w:vAlign w:val="center"/>
          </w:tcPr>
          <w:p w14:paraId="7CAE8CB2">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Code value</w:t>
            </w:r>
          </w:p>
        </w:tc>
        <w:tc>
          <w:tcPr>
            <w:tcW w:w="0" w:type="auto"/>
            <w:vAlign w:val="center"/>
          </w:tcPr>
          <w:p w14:paraId="53A5D376">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Definition</w:t>
            </w:r>
          </w:p>
        </w:tc>
        <w:tc>
          <w:tcPr>
            <w:tcW w:w="6355" w:type="dxa"/>
            <w:vAlign w:val="center"/>
          </w:tcPr>
          <w:p w14:paraId="7DDB1D63">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b/>
                <w:i w:val="0"/>
                <w:iCs w:val="0"/>
                <w:color w:val="auto"/>
                <w:kern w:val="0"/>
                <w:sz w:val="18"/>
                <w:szCs w:val="18"/>
                <w:u w:val="none"/>
                <w:lang w:val="en-US" w:eastAsia="zh-CN" w:bidi="ar"/>
              </w:rPr>
              <w:t>Judgement criterion</w:t>
            </w:r>
          </w:p>
        </w:tc>
      </w:tr>
      <w:tr w14:paraId="436B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94" w:type="dxa"/>
            <w:vAlign w:val="center"/>
          </w:tcPr>
          <w:p w14:paraId="35BD45A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0" w:type="auto"/>
            <w:vAlign w:val="center"/>
          </w:tcPr>
          <w:p w14:paraId="7A7BF2B9">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Consensus review required</w:t>
            </w:r>
          </w:p>
        </w:tc>
        <w:tc>
          <w:tcPr>
            <w:tcW w:w="6355" w:type="dxa"/>
            <w:vAlign w:val="center"/>
          </w:tcPr>
          <w:p w14:paraId="4F22D7F8">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The coder is uncertain about the determination of any variable (particularly exposure group assignment and delayed care attendance), or anticipates potential disagreement between the two coders</w:t>
            </w:r>
          </w:p>
        </w:tc>
      </w:tr>
      <w:tr w14:paraId="3A17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94" w:type="dxa"/>
            <w:vAlign w:val="center"/>
          </w:tcPr>
          <w:p w14:paraId="6494DF4F">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0</w:t>
            </w:r>
          </w:p>
        </w:tc>
        <w:tc>
          <w:tcPr>
            <w:tcW w:w="1592" w:type="dxa"/>
            <w:vAlign w:val="center"/>
          </w:tcPr>
          <w:p w14:paraId="4246C150">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No consensus review required</w:t>
            </w:r>
          </w:p>
        </w:tc>
        <w:tc>
          <w:tcPr>
            <w:tcW w:w="6355" w:type="dxa"/>
            <w:vAlign w:val="center"/>
          </w:tcPr>
          <w:p w14:paraId="6CC087BB">
            <w:pPr>
              <w:keepNext w:val="0"/>
              <w:keepLines w:val="0"/>
              <w:pageBreakBefore w:val="0"/>
              <w:widowControl/>
              <w:suppressLineNumbers w:val="0"/>
              <w:kinsoku/>
              <w:wordWrap/>
              <w:overflowPunct/>
              <w:topLinePunct w:val="0"/>
              <w:autoSpaceDE/>
              <w:autoSpaceDN/>
              <w:bidi w:val="0"/>
              <w:adjustRightInd/>
              <w:snapToGrid w:val="0"/>
              <w:spacing w:before="0" w:beforeLines="50" w:after="0" w:afterLines="50" w:line="240" w:lineRule="auto"/>
              <w:ind w:left="0" w:leftChars="0" w:right="0" w:rightChars="0" w:firstLine="0" w:firstLineChars="0"/>
              <w:jc w:val="center"/>
              <w:textAlignment w:val="center"/>
              <w:rPr>
                <w:rFonts w:hint="default" w:ascii="Times New Roman" w:hAnsi="Times New Roman" w:eastAsia="宋体" w:cs="Times New Roman"/>
                <w:b/>
                <w:color w:val="auto"/>
                <w:sz w:val="18"/>
                <w:szCs w:val="18"/>
                <w:vertAlign w:val="baseline"/>
              </w:rPr>
            </w:pPr>
            <w:r>
              <w:rPr>
                <w:rFonts w:hint="default" w:ascii="Times New Roman" w:hAnsi="Times New Roman" w:eastAsia="宋体" w:cs="Times New Roman"/>
                <w:i w:val="0"/>
                <w:iCs w:val="0"/>
                <w:color w:val="auto"/>
                <w:kern w:val="0"/>
                <w:sz w:val="18"/>
                <w:szCs w:val="18"/>
                <w:u w:val="none"/>
                <w:lang w:val="en-US" w:eastAsia="zh-CN" w:bidi="ar"/>
              </w:rPr>
              <w:t>All variables are determined clearly with explicit criteria and no disputes</w:t>
            </w:r>
          </w:p>
        </w:tc>
      </w:tr>
    </w:tbl>
    <w:p w14:paraId="62989838">
      <w:pPr>
        <w:keepLines w:val="0"/>
        <w:pageBreakBefore w:val="0"/>
        <w:kinsoku/>
        <w:wordWrap/>
        <w:overflowPunct/>
        <w:topLinePunct w:val="0"/>
        <w:autoSpaceDE/>
        <w:autoSpaceDN/>
        <w:bidi w:val="0"/>
        <w:adjustRightInd/>
        <w:spacing w:before="0" w:beforeLines="50" w:after="0" w:afterLines="50" w:line="240" w:lineRule="exact"/>
        <w:ind w:left="0" w:leftChars="0" w:firstLine="0" w:firstLineChars="0"/>
        <w:jc w:val="center"/>
        <w:rPr>
          <w:rFonts w:hint="default" w:ascii="Times New Roman" w:hAnsi="Times New Roman" w:cs="Times New Roman"/>
          <w:b/>
          <w:i w:val="0"/>
          <w:color w:val="auto"/>
          <w:sz w:val="18"/>
          <w:szCs w:val="18"/>
          <w:u w:val="none"/>
          <w:lang w:eastAsia="zh-CN"/>
        </w:rPr>
      </w:pPr>
      <w:r>
        <w:rPr>
          <w:rFonts w:hint="default" w:ascii="Times New Roman" w:hAnsi="Times New Roman" w:cs="Times New Roman"/>
          <w:color w:val="auto"/>
          <w:sz w:val="18"/>
          <w:szCs w:val="18"/>
        </w:rPr>
        <w:fldChar w:fldCharType="begin"/>
      </w:r>
      <w:r>
        <w:rPr>
          <w:rFonts w:hint="default" w:ascii="Times New Roman" w:hAnsi="Times New Roman" w:cs="Times New Roman"/>
          <w:color w:val="auto"/>
          <w:sz w:val="18"/>
          <w:szCs w:val="18"/>
        </w:rPr>
        <w:instrText xml:space="preserve"> ADDIN KYMRDOC </w:instrText>
      </w:r>
      <w:r>
        <w:rPr>
          <w:rFonts w:hint="default" w:ascii="Times New Roman" w:hAnsi="Times New Roman" w:cs="Times New Roman"/>
          <w:color w:val="auto"/>
          <w:sz w:val="18"/>
          <w:szCs w:val="18"/>
        </w:rPr>
        <w:fldChar w:fldCharType="separate"/>
      </w:r>
      <w:r>
        <w:rPr>
          <w:rFonts w:hint="default" w:ascii="Times New Roman" w:hAnsi="Times New Roman" w:cs="Times New Roman"/>
          <w:b/>
          <w:i w:val="0"/>
          <w:color w:val="auto"/>
          <w:sz w:val="18"/>
          <w:szCs w:val="18"/>
          <w:u w:val="none"/>
          <w:lang w:eastAsia="zh-CN"/>
        </w:rPr>
        <w:t>References</w:t>
      </w:r>
    </w:p>
    <w:p w14:paraId="18B25747">
      <w:pPr>
        <w:keepLines w:val="0"/>
        <w:pageBreakBefore w:val="0"/>
        <w:kinsoku/>
        <w:wordWrap/>
        <w:overflowPunct/>
        <w:topLinePunct w:val="0"/>
        <w:autoSpaceDE/>
        <w:autoSpaceDN/>
        <w:bidi w:val="0"/>
        <w:adjustRightInd/>
        <w:spacing w:before="0" w:beforeLines="50" w:after="0" w:afterLines="50" w:line="240" w:lineRule="exact"/>
        <w:ind w:left="540" w:leftChars="0" w:hanging="540" w:hangingChars="300"/>
        <w:jc w:val="both"/>
        <w:rPr>
          <w:rFonts w:hint="default" w:ascii="Times New Roman" w:hAnsi="Times New Roman" w:cs="Times New Roman"/>
          <w:b w:val="0"/>
          <w:i w:val="0"/>
          <w:color w:val="auto"/>
          <w:sz w:val="18"/>
          <w:szCs w:val="18"/>
          <w:u w:val="none"/>
          <w:lang w:eastAsia="zh-CN"/>
        </w:rPr>
      </w:pPr>
      <w:r>
        <w:rPr>
          <w:rFonts w:hint="default" w:ascii="Times New Roman" w:hAnsi="Times New Roman" w:cs="Times New Roman"/>
          <w:b w:val="0"/>
          <w:i w:val="0"/>
          <w:color w:val="auto"/>
          <w:sz w:val="18"/>
          <w:szCs w:val="18"/>
          <w:u w:val="none"/>
          <w:lang w:eastAsia="zh-CN"/>
        </w:rPr>
        <w:t>[1]</w:t>
      </w:r>
      <w:r>
        <w:rPr>
          <w:rFonts w:hint="default" w:ascii="Times New Roman" w:hAnsi="Times New Roman" w:cs="Times New Roman"/>
          <w:b w:val="0"/>
          <w:i w:val="0"/>
          <w:color w:val="auto"/>
          <w:sz w:val="18"/>
          <w:szCs w:val="18"/>
          <w:u w:val="none"/>
          <w:lang w:eastAsia="zh-CN"/>
        </w:rPr>
        <w:tab/>
      </w:r>
      <w:r>
        <w:rPr>
          <w:rFonts w:hint="default" w:ascii="Times New Roman" w:hAnsi="Times New Roman" w:cs="Times New Roman"/>
          <w:b w:val="0"/>
          <w:i w:val="0"/>
          <w:color w:val="auto"/>
          <w:sz w:val="18"/>
          <w:szCs w:val="18"/>
          <w:u w:val="none"/>
          <w:lang w:eastAsia="zh-CN"/>
        </w:rPr>
        <w:t>Dhanoya T, O'Marcaigh K, Sambare T, Sarris I, Vigneswaran K. #misinformation: The perils of using social media for medical advice regarding infertility. Hum Fertil (Camb). 2025. 28(1): 2506787.</w:t>
      </w:r>
    </w:p>
    <w:p w14:paraId="599726B5">
      <w:pPr>
        <w:keepLines w:val="0"/>
        <w:pageBreakBefore w:val="0"/>
        <w:kinsoku/>
        <w:wordWrap/>
        <w:overflowPunct/>
        <w:topLinePunct w:val="0"/>
        <w:autoSpaceDE/>
        <w:autoSpaceDN/>
        <w:bidi w:val="0"/>
        <w:adjustRightInd/>
        <w:spacing w:before="0" w:beforeLines="50" w:after="0" w:afterLines="50" w:line="240" w:lineRule="exact"/>
        <w:ind w:left="540" w:leftChars="0" w:hanging="540" w:hangingChars="300"/>
        <w:jc w:val="both"/>
        <w:rPr>
          <w:rFonts w:hint="default" w:ascii="Times New Roman" w:hAnsi="Times New Roman" w:cs="Times New Roman"/>
          <w:b w:val="0"/>
          <w:i w:val="0"/>
          <w:color w:val="auto"/>
          <w:sz w:val="18"/>
          <w:szCs w:val="18"/>
          <w:u w:val="none"/>
          <w:lang w:eastAsia="zh-CN"/>
        </w:rPr>
      </w:pPr>
      <w:r>
        <w:rPr>
          <w:rFonts w:hint="default" w:ascii="Times New Roman" w:hAnsi="Times New Roman" w:cs="Times New Roman"/>
          <w:b w:val="0"/>
          <w:i w:val="0"/>
          <w:color w:val="auto"/>
          <w:sz w:val="18"/>
          <w:szCs w:val="18"/>
          <w:u w:val="none"/>
          <w:lang w:eastAsia="zh-CN"/>
        </w:rPr>
        <w:t>[2]</w:t>
      </w:r>
      <w:r>
        <w:rPr>
          <w:rFonts w:hint="default" w:ascii="Times New Roman" w:hAnsi="Times New Roman" w:cs="Times New Roman"/>
          <w:b w:val="0"/>
          <w:i w:val="0"/>
          <w:color w:val="auto"/>
          <w:sz w:val="18"/>
          <w:szCs w:val="18"/>
          <w:u w:val="none"/>
          <w:lang w:eastAsia="zh-CN"/>
        </w:rPr>
        <w:tab/>
      </w:r>
      <w:r>
        <w:rPr>
          <w:rFonts w:hint="default" w:ascii="Times New Roman" w:hAnsi="Times New Roman" w:cs="Times New Roman"/>
          <w:b w:val="0"/>
          <w:i w:val="0"/>
          <w:color w:val="auto"/>
          <w:sz w:val="18"/>
          <w:szCs w:val="18"/>
          <w:u w:val="none"/>
          <w:lang w:eastAsia="zh-CN"/>
        </w:rPr>
        <w:t>Khazaal Y, Chatton A, Cochand S, et al. Brief DISCERN, six questions for the evaluation of evidence-based content of health-related websites. Patient Educ Couns. 2009. 77(1): 33-7.</w:t>
      </w:r>
    </w:p>
    <w:p w14:paraId="7E750DC3">
      <w:pPr>
        <w:keepLines w:val="0"/>
        <w:pageBreakBefore w:val="0"/>
        <w:kinsoku/>
        <w:wordWrap/>
        <w:overflowPunct/>
        <w:topLinePunct w:val="0"/>
        <w:autoSpaceDE/>
        <w:autoSpaceDN/>
        <w:bidi w:val="0"/>
        <w:adjustRightInd/>
        <w:spacing w:before="0" w:beforeLines="50" w:after="0" w:afterLines="50" w:line="240" w:lineRule="exact"/>
        <w:ind w:left="540" w:leftChars="0" w:hanging="540" w:hangingChars="300"/>
        <w:jc w:val="both"/>
        <w:rPr>
          <w:rFonts w:hint="default" w:ascii="Times New Roman" w:hAnsi="Times New Roman" w:cs="Times New Roman"/>
          <w:b w:val="0"/>
          <w:i w:val="0"/>
          <w:color w:val="auto"/>
          <w:sz w:val="18"/>
          <w:szCs w:val="18"/>
          <w:u w:val="none"/>
          <w:lang w:eastAsia="zh-CN"/>
        </w:rPr>
      </w:pPr>
      <w:r>
        <w:rPr>
          <w:rFonts w:hint="default" w:ascii="Times New Roman" w:hAnsi="Times New Roman" w:cs="Times New Roman"/>
          <w:b w:val="0"/>
          <w:i w:val="0"/>
          <w:color w:val="auto"/>
          <w:sz w:val="18"/>
          <w:szCs w:val="18"/>
          <w:u w:val="none"/>
          <w:lang w:eastAsia="zh-CN"/>
        </w:rPr>
        <w:t>[3]</w:t>
      </w:r>
      <w:r>
        <w:rPr>
          <w:rFonts w:hint="default" w:ascii="Times New Roman" w:hAnsi="Times New Roman" w:cs="Times New Roman"/>
          <w:b w:val="0"/>
          <w:i w:val="0"/>
          <w:color w:val="auto"/>
          <w:sz w:val="18"/>
          <w:szCs w:val="18"/>
          <w:u w:val="none"/>
          <w:lang w:eastAsia="zh-CN"/>
        </w:rPr>
        <w:tab/>
      </w:r>
      <w:r>
        <w:rPr>
          <w:rFonts w:hint="default" w:ascii="Times New Roman" w:hAnsi="Times New Roman" w:cs="Times New Roman"/>
          <w:b w:val="0"/>
          <w:i w:val="0"/>
          <w:color w:val="auto"/>
          <w:sz w:val="18"/>
          <w:szCs w:val="18"/>
          <w:u w:val="none"/>
          <w:lang w:eastAsia="zh-CN"/>
        </w:rPr>
        <w:t>Charnock D, Shepperd S, Needham G, Gann R. DISCERN: an instrument for judging the quality of written consumer health information on treatment choices. J Epidemiol Community Health. 1999. 53(2): 105-11.</w:t>
      </w:r>
    </w:p>
    <w:p w14:paraId="2CE66F76">
      <w:pPr>
        <w:keepLines w:val="0"/>
        <w:pageBreakBefore w:val="0"/>
        <w:kinsoku/>
        <w:wordWrap/>
        <w:overflowPunct/>
        <w:topLinePunct w:val="0"/>
        <w:autoSpaceDE/>
        <w:autoSpaceDN/>
        <w:bidi w:val="0"/>
        <w:adjustRightInd/>
        <w:spacing w:before="0" w:beforeLines="50" w:after="0" w:afterLines="50" w:line="240" w:lineRule="exact"/>
        <w:ind w:left="540" w:leftChars="0" w:hanging="540" w:hangingChars="300"/>
        <w:jc w:val="both"/>
        <w:rPr>
          <w:rFonts w:hint="default" w:ascii="Times New Roman" w:hAnsi="Times New Roman" w:cs="Times New Roman"/>
          <w:b w:val="0"/>
          <w:i w:val="0"/>
          <w:color w:val="auto"/>
          <w:sz w:val="18"/>
          <w:szCs w:val="18"/>
          <w:u w:val="none"/>
          <w:lang w:eastAsia="zh-CN"/>
        </w:rPr>
      </w:pPr>
      <w:r>
        <w:rPr>
          <w:rFonts w:hint="default" w:ascii="Times New Roman" w:hAnsi="Times New Roman" w:cs="Times New Roman"/>
          <w:b w:val="0"/>
          <w:i w:val="0"/>
          <w:color w:val="auto"/>
          <w:sz w:val="18"/>
          <w:szCs w:val="18"/>
          <w:u w:val="none"/>
          <w:lang w:eastAsia="zh-CN"/>
        </w:rPr>
        <w:t>[4]</w:t>
      </w:r>
      <w:r>
        <w:rPr>
          <w:rFonts w:hint="default" w:ascii="Times New Roman" w:hAnsi="Times New Roman" w:cs="Times New Roman"/>
          <w:b w:val="0"/>
          <w:i w:val="0"/>
          <w:color w:val="auto"/>
          <w:sz w:val="18"/>
          <w:szCs w:val="18"/>
          <w:u w:val="none"/>
          <w:lang w:eastAsia="zh-CN"/>
        </w:rPr>
        <w:tab/>
      </w:r>
      <w:r>
        <w:rPr>
          <w:rFonts w:hint="default" w:ascii="Times New Roman" w:hAnsi="Times New Roman" w:cs="Times New Roman"/>
          <w:b w:val="0"/>
          <w:i w:val="0"/>
          <w:color w:val="auto"/>
          <w:sz w:val="18"/>
          <w:szCs w:val="18"/>
          <w:u w:val="none"/>
          <w:lang w:eastAsia="zh-CN"/>
        </w:rPr>
        <w:t>Banasiak NC, Meadows-Oliver M. Evaluating asthma websites using the Brief DISCERN instrument. J Asthma Allergy. 2017. 10: 191-196.</w:t>
      </w:r>
    </w:p>
    <w:p w14:paraId="17075FD7">
      <w:pPr>
        <w:keepLines w:val="0"/>
        <w:pageBreakBefore w:val="0"/>
        <w:kinsoku/>
        <w:wordWrap/>
        <w:overflowPunct/>
        <w:topLinePunct w:val="0"/>
        <w:autoSpaceDE/>
        <w:autoSpaceDN/>
        <w:bidi w:val="0"/>
        <w:adjustRightInd/>
        <w:spacing w:before="0" w:beforeLines="50" w:after="0" w:afterLines="50" w:line="240" w:lineRule="exact"/>
        <w:ind w:left="540" w:leftChars="0" w:hanging="540" w:hangingChars="300"/>
        <w:jc w:val="both"/>
        <w:rPr>
          <w:rFonts w:hint="default" w:ascii="Times New Roman" w:hAnsi="Times New Roman" w:cs="Times New Roman"/>
          <w:b w:val="0"/>
          <w:i w:val="0"/>
          <w:color w:val="auto"/>
          <w:sz w:val="18"/>
          <w:szCs w:val="18"/>
          <w:u w:val="none"/>
          <w:lang w:eastAsia="zh-CN"/>
        </w:rPr>
      </w:pPr>
      <w:r>
        <w:rPr>
          <w:rFonts w:hint="default" w:ascii="Times New Roman" w:hAnsi="Times New Roman" w:cs="Times New Roman"/>
          <w:b w:val="0"/>
          <w:i w:val="0"/>
          <w:color w:val="auto"/>
          <w:sz w:val="18"/>
          <w:szCs w:val="18"/>
          <w:u w:val="none"/>
          <w:lang w:eastAsia="zh-CN"/>
        </w:rPr>
        <w:t>[5]</w:t>
      </w:r>
      <w:r>
        <w:rPr>
          <w:rFonts w:hint="default" w:ascii="Times New Roman" w:hAnsi="Times New Roman" w:cs="Times New Roman"/>
          <w:b w:val="0"/>
          <w:i w:val="0"/>
          <w:color w:val="auto"/>
          <w:sz w:val="18"/>
          <w:szCs w:val="18"/>
          <w:u w:val="none"/>
          <w:lang w:eastAsia="zh-CN"/>
        </w:rPr>
        <w:tab/>
      </w:r>
      <w:r>
        <w:rPr>
          <w:rFonts w:hint="default" w:ascii="Times New Roman" w:hAnsi="Times New Roman" w:cs="Times New Roman"/>
          <w:b w:val="0"/>
          <w:i w:val="0"/>
          <w:color w:val="auto"/>
          <w:sz w:val="18"/>
          <w:szCs w:val="18"/>
          <w:u w:val="none"/>
          <w:lang w:eastAsia="zh-CN"/>
        </w:rPr>
        <w:t>Rees CE, Ford JE, Sheard CE. Evaluating the reliability of DISCERN: a tool for assessing the quality of written patient information on treatment choices. Patient Educ Couns. 2002. 47(3): 273-5.</w:t>
      </w:r>
    </w:p>
    <w:p w14:paraId="0E686FEE">
      <w:pPr>
        <w:keepLines w:val="0"/>
        <w:pageBreakBefore w:val="0"/>
        <w:kinsoku/>
        <w:wordWrap/>
        <w:overflowPunct/>
        <w:topLinePunct w:val="0"/>
        <w:autoSpaceDE/>
        <w:autoSpaceDN/>
        <w:bidi w:val="0"/>
        <w:adjustRightInd/>
        <w:spacing w:before="0" w:beforeLines="50" w:after="0" w:afterLines="50" w:line="240" w:lineRule="exact"/>
        <w:ind w:left="540" w:leftChars="0" w:hanging="540" w:hangingChars="300"/>
        <w:jc w:val="both"/>
        <w:rPr>
          <w:rFonts w:hint="default" w:ascii="Times New Roman" w:hAnsi="Times New Roman" w:cs="Times New Roman"/>
          <w:b w:val="0"/>
          <w:i w:val="0"/>
          <w:color w:val="auto"/>
          <w:sz w:val="18"/>
          <w:szCs w:val="18"/>
          <w:u w:val="none"/>
          <w:lang w:eastAsia="zh-CN"/>
        </w:rPr>
      </w:pPr>
      <w:r>
        <w:rPr>
          <w:rFonts w:hint="default" w:ascii="Times New Roman" w:hAnsi="Times New Roman" w:cs="Times New Roman"/>
          <w:b w:val="0"/>
          <w:i w:val="0"/>
          <w:color w:val="auto"/>
          <w:sz w:val="18"/>
          <w:szCs w:val="18"/>
          <w:u w:val="none"/>
          <w:lang w:eastAsia="zh-CN"/>
        </w:rPr>
        <w:t>[6]</w:t>
      </w:r>
      <w:r>
        <w:rPr>
          <w:rFonts w:hint="default" w:ascii="Times New Roman" w:hAnsi="Times New Roman" w:cs="Times New Roman"/>
          <w:b w:val="0"/>
          <w:i w:val="0"/>
          <w:color w:val="auto"/>
          <w:sz w:val="18"/>
          <w:szCs w:val="18"/>
          <w:u w:val="none"/>
          <w:lang w:eastAsia="zh-CN"/>
        </w:rPr>
        <w:tab/>
      </w:r>
      <w:r>
        <w:rPr>
          <w:rFonts w:hint="default" w:ascii="Times New Roman" w:hAnsi="Times New Roman" w:cs="Times New Roman"/>
          <w:b w:val="0"/>
          <w:i w:val="0"/>
          <w:color w:val="auto"/>
          <w:sz w:val="18"/>
          <w:szCs w:val="18"/>
          <w:u w:val="none"/>
          <w:lang w:eastAsia="zh-CN"/>
        </w:rPr>
        <w:t>Shan Y, Xing Z, Dong Z, Ji M, Wang D, Cao X. Translating and Adapting the DISCERN Instrument Into a Simplified Chinese Version and Validating Its Reliability: Development and Usability Study. JOURNAL OF MEDICAL INTERNET RESEARCH. 2023. 25: e40733.</w:t>
      </w:r>
    </w:p>
    <w:p w14:paraId="7B858E7C">
      <w:pPr>
        <w:keepLines w:val="0"/>
        <w:pageBreakBefore w:val="0"/>
        <w:kinsoku/>
        <w:wordWrap/>
        <w:overflowPunct/>
        <w:topLinePunct w:val="0"/>
        <w:autoSpaceDE/>
        <w:autoSpaceDN/>
        <w:bidi w:val="0"/>
        <w:adjustRightInd/>
        <w:spacing w:before="0" w:beforeLines="50" w:after="0" w:afterLines="50" w:line="240" w:lineRule="exact"/>
        <w:ind w:left="540" w:leftChars="0" w:hanging="540" w:hangingChars="300"/>
        <w:jc w:val="both"/>
        <w:rPr>
          <w:rFonts w:hint="default" w:ascii="Times New Roman" w:hAnsi="Times New Roman" w:cs="Times New Roman"/>
          <w:color w:val="auto"/>
          <w:sz w:val="18"/>
          <w:szCs w:val="18"/>
        </w:rPr>
      </w:pPr>
      <w:r>
        <w:rPr>
          <w:rFonts w:hint="default" w:ascii="Times New Roman" w:hAnsi="Times New Roman" w:cs="Times New Roman"/>
          <w:color w:val="auto"/>
          <w:sz w:val="18"/>
          <w:szCs w:val="18"/>
        </w:rPr>
        <w:fldChar w:fldCharType="end"/>
      </w:r>
    </w:p>
    <w:sectPr>
      <w:pgSz w:w="11905" w:h="16840"/>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MR.DATA{01DA6DAC-A727-46B9-85A0-ABE4EE83D2D0}478" w:val="&lt;KyMRNote dbid=&quot;{01DA6DAC-A727-46B9-85A0-ABE4EE83D2D0}&quot; recid=&quot;478&quot;&gt;&lt;Data&gt;&lt;Field id=&quot;AccessNum&quot;&gt;19372023&lt;/Field&gt;&lt;Field id=&quot;Author&quot; FirstData=&quot;1&quot; FirstStyle=&quot;655360&quot; OtherStyle=&quot;0&quot;&gt;Khazaal Y;Chatton A;Cochand S;Coquard O;Fernandez S;Khan R;Billieux J;Zullino D&lt;/Field&gt;&lt;Field id=&quot;AuthorTrans&quot;&gt;&lt;/Field&gt;&lt;Field id=&quot;DOI&quot;&gt;10.1016/j.pec.2009.02.016&lt;/Field&gt;&lt;Field id=&quot;Editor&quot;&gt;&lt;/Field&gt;&lt;Field id=&quot;FmtTitle&quot;&gt;&lt;/Field&gt;&lt;Field id=&quot;FullAuthor&quot;&gt;Yasser, Khazaal;Anne, Chatton;Sophie, Cochand;Olivier, Coquard;Sebastien, Fernandez;Riaz, Khan;Joel, Billieux;Daniele, Zullino&lt;/Field&gt;&lt;Field id=&quot;ISSN&quot;&gt;0738-3991&lt;/Field&gt;&lt;Field id=&quot;Issue&quot;&gt;1&lt;/Field&gt;&lt;Field id=&quot;LIID&quot;&gt;478&lt;/Field&gt;&lt;Field id=&quot;Magazine&quot;&gt;Patient education and counseling&lt;/Field&gt;&lt;Field id=&quot;MagazineAB&quot;&gt;Patient Educ Couns&lt;/Field&gt;&lt;Field id=&quot;MagazineTrans&quot;&gt;&lt;/Field&gt;&lt;Field id=&quot;PageNum&quot;&gt;33-7&lt;/Field&gt;&lt;Field id=&quot;PubDate&quot;&gt;2009 Oct&lt;/Field&gt;&lt;Field id=&quot;PubPlace&quot;&gt;Ireland&lt;/Field&gt;&lt;Field id=&quot;PubPlaceTrans&quot;&gt;&lt;/Field&gt;&lt;Field id=&quot;PubYear&quot;&gt;2009&lt;/Field&gt;&lt;Field id=&quot;Publisher&quot;&gt;Elsevier Ireland Ltd&lt;/Field&gt;&lt;Field id=&quot;PublisherTrans&quot;&gt;&lt;/Field&gt;&lt;Field id=&quot;TITrans&quot;&gt;&lt;/Field&gt;&lt;Field id=&quot;Title&quot;&gt;Brief DISCERN, six questions for the evaluation of evidence-based content of health-related websites.&lt;/Field&gt;&lt;Field id=&quot;Translator&quot;&gt;&lt;/Field&gt;&lt;Field id=&quot;Type&quot;&gt;{041D4F77-279E-4405-0002-4388361B9CFF}&lt;/Field&gt;&lt;Field id=&quot;Version&quot;&gt;&lt;/Field&gt;&lt;Field id=&quot;Vol&quot;&gt;77&lt;/Field&gt;&lt;Field id=&quot;Factor&quot;&gt;3.1&lt;/Field&gt;&lt;Field id=&quot;Author2&quot;&gt;Khazaal,Y;Chatton,A;Cochand,S;&lt;/Field&gt;&lt;/Data&gt;&lt;Ref&gt;&lt;Display&gt;&lt;Text StringText=&quot;「RefIndex」&quot; StringTextOri=&quot;「RefIndex」&quot; SuperScript=&quot;true&quot;/&gt;&lt;/Display&gt;&lt;/Ref&gt;&lt;Doc&gt;&lt;Display&gt;&lt;Text StringText=&quot;Khazaal Y, Chatton A, Cochand S, et al.&quot; StringGroup=&quot;Author&quot;/&gt;_x000d__x000a_   &lt;Text StringText=&quot; &quot; StringGroup=&quot;Author&quot;/&gt;_x000d__x000a_   &lt;Text StringText=&quot;Brief DISCERN, six questions for the evaluation of evidence-based content of health-related websites&quot; StringGroup=&quot;Title&quot;/&gt;_x000d__x000a_   &lt;Text StringText=&quot;. &quot; StringGroup=&quot;Title&quot;/&gt;_x000d__x000a_   &lt;Text StringText=&quot;Patient Educ Couns&quot; StringGroup=&quot;Magazine&quot;/&gt;_x000d__x000a_   &lt;Text StringText=&quot;. &quot; StringGroup=&quot;Magazine&quot;/&gt;_x000d__x000a_   &lt;Text StringText=&quot;2009&quot; StringGroup=&quot;PubYear&quot;/&gt;_x000d__x000a_   &lt;Text StringText=&quot;. &quot; StringGroup=&quot;PubYear&quot;/&gt;_x000d__x000a_   &lt;Text StringText=&quot;77&quot; StringGroup=&quot;Vol&quot;/&gt;_x000d__x000a_   &lt;Text StringText=&quot;(&quot; StringGroup=&quot;Issue&quot;/&gt;_x000d__x000a_   &lt;Text StringText=&quot;1&quot; StringGroup=&quot;Issue&quot;/&gt;_x000d__x000a_   &lt;Text StringText=&quot;)&quot; StringGroup=&quot;Issue&quot;/&gt;_x000d__x000a_   &lt;Text StringText=&quot;: &quot; StringGroup=&quot;PageNum&quot;/&gt;_x000d__x000a_   &lt;Text StringText=&quot;33-7&quot; StringGroup=&quot;PageNum&quot;/&gt;_x000d__x000a_   &lt;Text StringText=&quot;.&quot; StringGroup=&quot;none&quot;/&gt;_x000d__x000a_  &lt;/Display&gt;&lt;/Doc&gt;&lt;/KyMRNote&gt;"/>
    <w:docVar w:name="KY.MR.DATA{01DA6DAC-A727-46B9-85A0-ABE4EE83D2D0}482" w:val="&lt;KyMRNote dbid=&quot;{01DA6DAC-A727-46B9-85A0-ABE4EE83D2D0}&quot; recid=&quot;482&quot;&gt;&lt;Data&gt;&lt;Field id=&quot;AccessNum&quot;&gt;10396471&lt;/Field&gt;&lt;Field id=&quot;Author&quot; FirstData=&quot;1&quot; FirstStyle=&quot;720896&quot; OtherStyle=&quot;0&quot;&gt;Charnock D;Shepperd S;Needham G;Gann R&lt;/Field&gt;&lt;Field id=&quot;AuthorTrans&quot;&gt;&lt;/Field&gt;&lt;Field id=&quot;DOI&quot;&gt;10.1136/jech.53.2.105&lt;/Field&gt;&lt;Field id=&quot;Editor&quot;&gt;&lt;/Field&gt;&lt;Field id=&quot;FmtTitle&quot;&gt;&lt;/Field&gt;&lt;Field id=&quot;FullAuthor&quot;&gt;D, Charnock;S, Shepperd;G, Needham;R, Gann&lt;/Field&gt;&lt;Field id=&quot;ISSN&quot;&gt;0143-005X&lt;/Field&gt;&lt;Field id=&quot;Issue&quot;&gt;2&lt;/Field&gt;&lt;Field id=&quot;LIID&quot;&gt;482&lt;/Field&gt;&lt;Field id=&quot;Magazine&quot;&gt;Journal of epidemiology and community health&lt;/Field&gt;&lt;Field id=&quot;MagazineAB&quot;&gt;J Epidemiol Community Health&lt;/Field&gt;&lt;Field id=&quot;MagazineTrans&quot;&gt;&lt;/Field&gt;&lt;Field id=&quot;PageNum&quot;&gt;105-11&lt;/Field&gt;&lt;Field id=&quot;PubDate&quot;&gt;1999 Feb&lt;/Field&gt;&lt;Field id=&quot;PubPlace&quot;&gt;England&lt;/Field&gt;&lt;Field id=&quot;PubPlaceTrans&quot;&gt;&lt;/Field&gt;&lt;Field id=&quot;PubYear&quot;&gt;1999&lt;/Field&gt;&lt;Field id=&quot;Publisher&quot;&gt;BMJ Publishing Group&lt;/Field&gt;&lt;Field id=&quot;PublisherTrans&quot;&gt;&lt;/Field&gt;&lt;Field id=&quot;TITrans&quot;&gt;&lt;/Field&gt;&lt;Field id=&quot;Title&quot;&gt;DISCERN: an instrument for judging the quality of written consumer health information on treatment choices.&lt;/Field&gt;&lt;Field id=&quot;Translator&quot;&gt;&lt;/Field&gt;&lt;Field id=&quot;Type&quot;&gt;{041D4F77-279E-4405-0002-4388361B9CFF}&lt;/Field&gt;&lt;Field id=&quot;Version&quot;&gt;&lt;/Field&gt;&lt;Field id=&quot;Vol&quot;&gt;53&lt;/Field&gt;&lt;Field id=&quot;Factor&quot;&gt;3.7&lt;/Field&gt;&lt;Field id=&quot;Author2&quot;&gt;Charnock,D;Shepperd,S;Needham,G;Gann,R;&lt;/Field&gt;&lt;/Data&gt;&lt;Ref&gt;&lt;Display&gt;&lt;Text StringText=&quot;「RefIndex」&quot; StringTextOri=&quot;「RefIndex」&quot; SuperScript=&quot;true&quot;/&gt;&lt;/Display&gt;&lt;/Ref&gt;&lt;Doc&gt;&lt;Display&gt;&lt;Text StringText=&quot;Charnock D, Shepperd S, Needham G, Gann R&quot; StringGroup=&quot;Author&quot;/&gt;_x000d__x000a_   &lt;Text StringText=&quot;. &quot; StringGroup=&quot;Author&quot;/&gt;_x000d__x000a_   &lt;Text StringText=&quot;DISCERN: an instrument for judging the quality of written consumer health information on treatment choices&quot; StringGroup=&quot;Title&quot;/&gt;_x000d__x000a_   &lt;Text StringText=&quot;. &quot; StringGroup=&quot;Title&quot;/&gt;_x000d__x000a_   &lt;Text StringText=&quot;J Epidemiol Community Health&quot; StringGroup=&quot;Magazine&quot;/&gt;_x000d__x000a_   &lt;Text StringText=&quot;. &quot; StringGroup=&quot;Magazine&quot;/&gt;_x000d__x000a_   &lt;Text StringText=&quot;1999&quot; StringGroup=&quot;PubYear&quot;/&gt;_x000d__x000a_   &lt;Text StringText=&quot;. &quot; StringGroup=&quot;PubYear&quot;/&gt;_x000d__x000a_   &lt;Text StringText=&quot;53&quot; StringGroup=&quot;Vol&quot;/&gt;_x000d__x000a_   &lt;Text StringText=&quot;(&quot; StringGroup=&quot;Issue&quot;/&gt;_x000d__x000a_   &lt;Text StringText=&quot;2&quot; StringGroup=&quot;Issue&quot;/&gt;_x000d__x000a_   &lt;Text StringText=&quot;)&quot; StringGroup=&quot;Issue&quot;/&gt;_x000d__x000a_   &lt;Text StringText=&quot;: &quot; StringGroup=&quot;PageNum&quot;/&gt;_x000d__x000a_   &lt;Text StringText=&quot;105-11&quot; StringGroup=&quot;PageNum&quot;/&gt;_x000d__x000a_   &lt;Text StringText=&quot;.&quot; StringGroup=&quot;none&quot;/&gt;_x000d__x000a_  &lt;/Display&gt;&lt;/Doc&gt;&lt;/KyMRNote&gt;"/>
    <w:docVar w:name="KY.MR.DATA{01DA6DAC-A727-46B9-85A0-ABE4EE83D2D0}485" w:val="&lt;KyMRNote dbid=&quot;{01DA6DAC-A727-46B9-85A0-ABE4EE83D2D0}&quot; recid=&quot;485&quot;&gt;&lt;Data&gt;&lt;Field id=&quot;AccessNum&quot;&gt;28670135&lt;/Field&gt;&lt;Field id=&quot;Author&quot; FirstData=&quot;1&quot; FirstStyle=&quot;786432&quot; OtherStyle=&quot;0&quot;&gt;Banasiak NC;Meadows-Oliver M&lt;/Field&gt;&lt;Field id=&quot;AuthorTrans&quot;&gt;&lt;/Field&gt;&lt;Field id=&quot;DOI&quot;&gt;10.2147/JAA.S133536&lt;/Field&gt;&lt;Field id=&quot;Editor&quot;&gt;&lt;/Field&gt;&lt;Field id=&quot;FmtTitle&quot;&gt;&lt;/Field&gt;&lt;Field id=&quot;FullAuthor&quot;&gt;Nancy Cantey, Banasiak;Mikki, Meadows-Oliver&lt;/Field&gt;&lt;Field id=&quot;ISSN&quot;&gt;1178-6965&lt;/Field&gt;&lt;Field id=&quot;Issue&quot;&gt;&lt;/Field&gt;&lt;Field id=&quot;LIID&quot;&gt;485&lt;/Field&gt;&lt;Field id=&quot;Magazine&quot;&gt;Journal of asthma and allergy&lt;/Field&gt;&lt;Field id=&quot;MagazineAB&quot;&gt;J Asthma Allergy&lt;/Field&gt;&lt;Field id=&quot;MagazineTrans&quot;&gt;&lt;/Field&gt;&lt;Field id=&quot;PageNum&quot;&gt;191-196&lt;/Field&gt;&lt;Field id=&quot;PubDate&quot;&gt;2017&lt;/Field&gt;&lt;Field id=&quot;PubPlace&quot;&gt;New Zealand&lt;/Field&gt;&lt;Field id=&quot;PubPlaceTrans&quot;&gt;&lt;/Field&gt;&lt;Field id=&quot;PubYear&quot;&gt;2017&lt;/Field&gt;&lt;Field id=&quot;Publisher&quot;&gt;Dove Medical Press&lt;/Field&gt;&lt;Field id=&quot;PublisherTrans&quot;&gt;&lt;/Field&gt;&lt;Field id=&quot;TITrans&quot;&gt;&lt;/Field&gt;&lt;Field id=&quot;Title&quot;&gt;Evaluating asthma websites using the Brief DISCERN instrument.&lt;/Field&gt;&lt;Field id=&quot;Translator&quot;&gt;&lt;/Field&gt;&lt;Field id=&quot;Type&quot;&gt;{041D4F77-279E-4405-0002-4388361B9CFF}&lt;/Field&gt;&lt;Field id=&quot;Version&quot;&gt;&lt;/Field&gt;&lt;Field id=&quot;Vol&quot;&gt;10&lt;/Field&gt;&lt;Field id=&quot;Factor&quot;&gt;3.0&lt;/Field&gt;&lt;Field id=&quot;Author2&quot;&gt;Banasiak,NC;Meadows-Oliver,M;&lt;/Field&gt;&lt;/Data&gt;&lt;Ref&gt;&lt;Display&gt;&lt;Text StringText=&quot;「RefIndex」&quot; StringTextOri=&quot;「RefIndex」&quot; SuperScript=&quot;true&quot;/&gt;&lt;/Display&gt;&lt;/Ref&gt;&lt;Doc&gt;&lt;Display&gt;&lt;Text StringText=&quot;Banasiak NC, Meadows-Oliver M&quot; StringGroup=&quot;Author&quot;/&gt;_x000d__x000a_   &lt;Text StringText=&quot;. &quot; StringGroup=&quot;Author&quot;/&gt;_x000d__x000a_   &lt;Text StringText=&quot;Evaluating asthma websites using the Brief DISCERN instrument&quot; StringGroup=&quot;Title&quot;/&gt;_x000d__x000a_   &lt;Text StringText=&quot;. &quot; StringGroup=&quot;Title&quot;/&gt;_x000d__x000a_   &lt;Text StringText=&quot;J Asthma Allergy&quot; StringGroup=&quot;Magazine&quot;/&gt;_x000d__x000a_   &lt;Text StringText=&quot;. &quot; StringGroup=&quot;Magazine&quot;/&gt;_x000d__x000a_   &lt;Text StringText=&quot;2017&quot; StringGroup=&quot;PubYear&quot;/&gt;_x000d__x000a_   &lt;Text StringText=&quot;. &quot; StringGroup=&quot;PubYear&quot;/&gt;_x000d__x000a_   &lt;Text StringText=&quot;10&quot; StringGroup=&quot;Vol&quot;/&gt;_x000d__x000a_   &lt;Text StringText=&quot;: &quot; StringGroup=&quot;PageNum&quot;/&gt;_x000d__x000a_   &lt;Text StringText=&quot;191-196&quot; StringGroup=&quot;PageNum&quot;/&gt;_x000d__x000a_   &lt;Text StringText=&quot;.&quot; StringGroup=&quot;none&quot;/&gt;_x000d__x000a_  &lt;/Display&gt;&lt;/Doc&gt;&lt;/KyMRNote&gt;"/>
    <w:docVar w:name="KY.MR.DATA{01DA6DAC-A727-46B9-85A0-ABE4EE83D2D0}486" w:val="&lt;KyMRNote dbid=&quot;{01DA6DAC-A727-46B9-85A0-ABE4EE83D2D0}&quot; recid=&quot;486&quot;&gt;&lt;Data&gt;&lt;Field id=&quot;AccessNum&quot;&gt;12088606&lt;/Field&gt;&lt;Field id=&quot;Author&quot; FirstData=&quot;1&quot; FirstStyle=&quot;524288&quot; OtherStyle=&quot;0&quot;&gt;Rees CE;Ford JE;Sheard CE&lt;/Field&gt;&lt;Field id=&quot;AuthorTrans&quot;&gt;&lt;/Field&gt;&lt;Field id=&quot;DOI&quot;&gt;10.1016/s0738-3991(01)00225-7&lt;/Field&gt;&lt;Field id=&quot;Editor&quot;&gt;&lt;/Field&gt;&lt;Field id=&quot;FmtTitle&quot;&gt;&lt;/Field&gt;&lt;Field id=&quot;FullAuthor&quot;&gt;Charlotte E, Rees;Jillyan E, Ford;Charlotte E, Sheard&lt;/Field&gt;&lt;Field id=&quot;ISSN&quot;&gt;0738-3991&lt;/Field&gt;&lt;Field id=&quot;Issue&quot;&gt;3&lt;/Field&gt;&lt;Field id=&quot;LIID&quot;&gt;486&lt;/Field&gt;&lt;Field id=&quot;Magazine&quot;&gt;Patient education and counseling&lt;/Field&gt;&lt;Field id=&quot;MagazineAB&quot;&gt;Patient Educ Couns&lt;/Field&gt;&lt;Field id=&quot;MagazineTrans&quot;&gt;&lt;/Field&gt;&lt;Field id=&quot;PageNum&quot;&gt;273-5&lt;/Field&gt;&lt;Field id=&quot;PubDate&quot;&gt;2002 Jul&lt;/Field&gt;&lt;Field id=&quot;PubPlace&quot;&gt;Ireland&lt;/Field&gt;&lt;Field id=&quot;PubPlaceTrans&quot;&gt;&lt;/Field&gt;&lt;Field id=&quot;PubYear&quot;&gt;2002&lt;/Field&gt;&lt;Field id=&quot;Publisher&quot;&gt;Elsevier Ireland Ltd&lt;/Field&gt;&lt;Field id=&quot;PublisherTrans&quot;&gt;&lt;/Field&gt;&lt;Field id=&quot;TITrans&quot;&gt;&lt;/Field&gt;&lt;Field id=&quot;Title&quot;&gt;Evaluating the reliability of DISCERN: a tool for assessing the quality of written patient information on treatment choices.&lt;/Field&gt;&lt;Field id=&quot;Translator&quot;&gt;&lt;/Field&gt;&lt;Field id=&quot;Type&quot;&gt;{041D4F77-279E-4405-0002-4388361B9CFF}&lt;/Field&gt;&lt;Field id=&quot;Version&quot;&gt;&lt;/Field&gt;&lt;Field id=&quot;Vol&quot;&gt;47&lt;/Field&gt;&lt;Field id=&quot;Factor&quot;&gt;3.1&lt;/Field&gt;&lt;Field id=&quot;Author2&quot;&gt;Rees,CE;Ford,JE;Sheard,CE;&lt;/Field&gt;&lt;/Data&gt;&lt;Ref&gt;&lt;Display&gt;&lt;Text StringText=&quot;「RefIndex」&quot; StringTextOri=&quot;「RefIndex」&quot; SuperScript=&quot;true&quot;/&gt;&lt;/Display&gt;&lt;/Ref&gt;&lt;Doc&gt;&lt;Display&gt;&lt;Text StringText=&quot;Rees CE, Ford JE, Sheard CE&quot; StringGroup=&quot;Author&quot;/&gt;_x000d__x000a_   &lt;Text StringText=&quot;. &quot; StringGroup=&quot;Author&quot;/&gt;_x000d__x000a_   &lt;Text StringText=&quot;Evaluating the reliability of DISCERN: a tool for assessing the quality of written patient information on treatment choices&quot; StringGroup=&quot;Title&quot;/&gt;_x000d__x000a_   &lt;Text StringText=&quot;. &quot; StringGroup=&quot;Title&quot;/&gt;_x000d__x000a_   &lt;Text StringText=&quot;Patient Educ Couns&quot; StringGroup=&quot;Magazine&quot;/&gt;_x000d__x000a_   &lt;Text StringText=&quot;. &quot; StringGroup=&quot;Magazine&quot;/&gt;_x000d__x000a_   &lt;Text StringText=&quot;2002&quot; StringGroup=&quot;PubYear&quot;/&gt;_x000d__x000a_   &lt;Text StringText=&quot;. &quot; StringGroup=&quot;PubYear&quot;/&gt;_x000d__x000a_   &lt;Text StringText=&quot;47&quot; StringGroup=&quot;Vol&quot;/&gt;_x000d__x000a_   &lt;Text StringText=&quot;(&quot; StringGroup=&quot;Issue&quot;/&gt;_x000d__x000a_   &lt;Text StringText=&quot;3&quot; StringGroup=&quot;Issue&quot;/&gt;_x000d__x000a_   &lt;Text StringText=&quot;)&quot; StringGroup=&quot;Issue&quot;/&gt;_x000d__x000a_   &lt;Text StringText=&quot;: &quot; StringGroup=&quot;PageNum&quot;/&gt;_x000d__x000a_   &lt;Text StringText=&quot;273-5&quot; StringGroup=&quot;PageNum&quot;/&gt;_x000d__x000a_   &lt;Text StringText=&quot;.&quot; StringGroup=&quot;none&quot;/&gt;_x000d__x000a_  &lt;/Display&gt;&lt;/Doc&gt;&lt;/KyMRNote&gt;"/>
    <w:docVar w:name="KY.MR.DATA{01DA6DAC-A727-46B9-85A0-ABE4EE83D2D0}495" w:val="&lt;KyMRNote dbid=&quot;{01DA6DAC-A727-46B9-85A0-ABE4EE83D2D0}&quot; recid=&quot;495&quot;&gt;&lt;Data&gt;&lt;Field id=&quot;AccessNum&quot;&gt;40396592&lt;/Field&gt;&lt;Field id=&quot;Author&quot; FirstData=&quot;1&quot; FirstStyle=&quot;655360&quot; OtherStyle=&quot;0&quot;&gt;Dhanoya T;O'Marcaigh K;Sambare T;Sarris I;Vigneswaran K&lt;/Field&gt;&lt;Field id=&quot;AuthorTrans&quot;&gt;&lt;/Field&gt;&lt;Field id=&quot;DOI&quot;&gt;10.1080/14647273.2025.2506787&lt;/Field&gt;&lt;Field id=&quot;Editor&quot;&gt;&lt;/Field&gt;&lt;Field id=&quot;FmtTitle&quot;&gt;&lt;/Field&gt;&lt;Field id=&quot;FullAuthor&quot;&gt;Tanveer, Dhanoya;Kathleen, O'Marcaigh;Tanvi, Sambare;Ippokratis, Sarris;Kugajeevan, Vigneswaran&lt;/Field&gt;&lt;Field id=&quot;ISSN&quot;&gt;1464-7273&lt;/Field&gt;&lt;Field id=&quot;Issue&quot;&gt;1&lt;/Field&gt;&lt;Field id=&quot;LIID&quot;&gt;495&lt;/Field&gt;&lt;Field id=&quot;Magazine&quot;&gt;Human fertility (Cambridge, England)&lt;/Field&gt;&lt;Field id=&quot;MagazineAB&quot;&gt;Hum Fertil (Camb)&lt;/Field&gt;&lt;Field id=&quot;MagazineTrans&quot;&gt;&lt;/Field&gt;&lt;Field id=&quot;PageNum&quot;&gt;2506787&lt;/Field&gt;&lt;Field id=&quot;PubDate&quot;&gt;2025 Dec&lt;/Field&gt;&lt;Field id=&quot;PubPlace&quot;&gt;England&lt;/Field&gt;&lt;Field id=&quot;PubPlaceTrans&quot;&gt;&lt;/Field&gt;&lt;Field id=&quot;PubYear&quot;&gt;2025&lt;/Field&gt;&lt;Field id=&quot;Publisher&quot;&gt;other&lt;/Field&gt;&lt;Field id=&quot;PublisherTrans&quot;&gt;&lt;/Field&gt;&lt;Field id=&quot;TITrans&quot;&gt;&lt;/Field&gt;&lt;Field id=&quot;Title&quot;&gt;#misinformation: The perils of using social media for medical advice regarding infertility.&lt;/Field&gt;&lt;Field id=&quot;Translator&quot;&gt;&lt;/Field&gt;&lt;Field id=&quot;Type&quot;&gt;{041D4F77-279E-4405-0002-4388361B9CFF}&lt;/Field&gt;&lt;Field id=&quot;Version&quot;&gt;&lt;/Field&gt;&lt;Field id=&quot;Vol&quot;&gt;28&lt;/Field&gt;&lt;Field id=&quot;Factor&quot;&gt;1.5&lt;/Field&gt;&lt;Field id=&quot;Author2&quot;&gt;Dhanoya,T;O'Marcaigh,K;Sambare,T;Sarris,I;Vigneswaran,K;&lt;/Field&gt;&lt;/Data&gt;&lt;Ref&gt;&lt;Display&gt;&lt;Text StringText=&quot;「RefIndex」&quot; StringTextOri=&quot;「RefIndex」&quot; SuperScript=&quot;true&quot;/&gt;&lt;/Display&gt;&lt;/Ref&gt;&lt;Doc&gt;&lt;Display&gt;&lt;Text StringText=&quot;Dhanoya T, O'Marcaigh K, Sambare T, Sarris I, Vigneswaran K&quot; StringGroup=&quot;Author&quot;/&gt;_x000d__x000a_   &lt;Text StringText=&quot;. &quot; StringGroup=&quot;Author&quot;/&gt;_x000d__x000a_   &lt;Text StringText=&quot;#misinformation: The perils of using social media for medical advice regarding infertility&quot; StringGroup=&quot;Title&quot;/&gt;_x000d__x000a_   &lt;Text StringText=&quot;. &quot; StringGroup=&quot;Title&quot;/&gt;_x000d__x000a_   &lt;Text StringText=&quot;Hum Fertil (Camb)&quot; StringGroup=&quot;Magazine&quot;/&gt;_x000d__x000a_   &lt;Text StringText=&quot;. &quot; StringGroup=&quot;Magazine&quot;/&gt;_x000d__x000a_   &lt;Text StringText=&quot;2025&quot; StringGroup=&quot;PubYear&quot;/&gt;_x000d__x000a_   &lt;Text StringText=&quot;. &quot; StringGroup=&quot;PubYear&quot;/&gt;_x000d__x000a_   &lt;Text StringText=&quot;28&quot; StringGroup=&quot;Vol&quot;/&gt;_x000d__x000a_   &lt;Text StringText=&quot;(&quot; StringGroup=&quot;Issue&quot;/&gt;_x000d__x000a_   &lt;Text StringText=&quot;1&quot; StringGroup=&quot;Issue&quot;/&gt;_x000d__x000a_   &lt;Text StringText=&quot;)&quot; StringGroup=&quot;Issue&quot;/&gt;_x000d__x000a_   &lt;Text StringText=&quot;: &quot; StringGroup=&quot;PageNum&quot;/&gt;_x000d__x000a_   &lt;Text StringText=&quot;2506787&quot; StringGroup=&quot;PageNum&quot;/&gt;_x000d__x000a_   &lt;Text StringText=&quot;.&quot; StringGroup=&quot;none&quot;/&gt;_x000d__x000a_  &lt;/Display&gt;&lt;/Doc&gt;&lt;/KyMRNote&gt;"/>
    <w:docVar w:name="KY.MR.DATA{01DA6DAC-A727-46B9-85A0-ABE4EE83D2D0}535" w:val="&lt;KyMRNote dbid=&quot;{01DA6DAC-A727-46B9-85A0-ABE4EE83D2D0}&quot; recid=&quot;535&quot;&gt;&lt;Data&gt;&lt;Field id=&quot;AccessNum&quot;&gt;&lt;/Field&gt;&lt;Field id=&quot;Author&quot; FirstData=&quot;1&quot; FirstStyle=&quot;458752&quot; OtherStyle=&quot;0&quot;&gt;Shan Y;Xing Z;Dong Z;Ji M;Wang D;Cao X;&lt;/Field&gt;&lt;Field id=&quot;AuthorTrans&quot;&gt;&lt;/Field&gt;&lt;Field id=&quot;DOI&quot;&gt;10.2196/40733&lt;/Field&gt;&lt;Field id=&quot;Editor&quot;&gt;&lt;/Field&gt;&lt;Field id=&quot;FmtTitle&quot;&gt;&lt;/Field&gt;&lt;Field id=&quot;FullAuthor&quot;&gt;Shan Yi;Xing Zhaoquan;Dong Zhaogang;Ji Meng;Wang Ding;Cao Xiangting;&lt;/Field&gt;&lt;Field id=&quot;ISSN&quot;&gt;&lt;/Field&gt;&lt;Field id=&quot;Issue&quot;&gt;&lt;/Field&gt;&lt;Field id=&quot;LIID&quot;&gt;535&lt;/Field&gt;&lt;Field id=&quot;Magazine&quot;&gt;Journal of Medical Internet Research&lt;/Field&gt;&lt;Field id=&quot;MagazineAB&quot;&gt;&lt;/Field&gt;&lt;Field id=&quot;MagazineTrans&quot;&gt;&lt;/Field&gt;&lt;Field id=&quot;PageNum&quot;&gt;e40733&lt;/Field&gt;&lt;Field id=&quot;PubDate&quot;&gt;Feb 2&lt;/Field&gt;&lt;Field id=&quot;PubPlace&quot;&gt;&lt;/Field&gt;&lt;Field id=&quot;PubPlaceTrans&quot;&gt;&lt;/Field&gt;&lt;Field id=&quot;PubYear&quot;&gt;2023&lt;/Field&gt;&lt;Field id=&quot;Publisher&quot;&gt;JMIR Publications Inc.&lt;/Field&gt;&lt;Field id=&quot;PublisherTrans&quot;&gt;&lt;/Field&gt;&lt;Field id=&quot;TITrans&quot;&gt;&lt;/Field&gt;&lt;Field id=&quot;Title&quot;&gt;Translating and Adapting the DISCERN Instrument Into a Simplified Chinese Version and Validating Its Reliability: Development and Usability Study&lt;/Field&gt;&lt;Field id=&quot;Translator&quot;&gt;&lt;/Field&gt;&lt;Field id=&quot;Type&quot;&gt;{041D4F77-279E-4405-0002-4388361B9CFF}&lt;/Field&gt;&lt;Field id=&quot;Version&quot;&gt;&lt;/Field&gt;&lt;Field id=&quot;Vol&quot;&gt;25&lt;/Field&gt;&lt;Field id=&quot;Factor&quot;&gt;6.0&lt;/Field&gt;&lt;Field id=&quot;Author2&quot;&gt;Shan,Y;Xing,Z;Dong,Z;Ji,M;Wang,D;Cao,X;&lt;/Field&gt;&lt;/Data&gt;&lt;Ref&gt;&lt;Display&gt;&lt;Text StringText=&quot;「RefIndex」&quot; StringTextOri=&quot;「RefIndex」&quot; SuperScript=&quot;true&quot;/&gt;&lt;/Display&gt;&lt;/Ref&gt;&lt;Doc&gt;&lt;Display&gt;&lt;Text StringText=&quot;Shan Y, Xing Z, Dong Z, Ji M, Wang D, Cao X&quot; StringGroup=&quot;Author&quot;/&gt;_x000d__x000a_   &lt;Text StringText=&quot;. &quot; StringGroup=&quot;Author&quot;/&gt;_x000d__x000a_   &lt;Text StringText=&quot;Translating and Adapting the DISCERN Instrument Into a Simplified Chinese Version and Validating Its Reliability: Development and Usability Study&quot; StringGroup=&quot;Title&quot;/&gt;_x000d__x000a_   &lt;Text StringText=&quot;. &quot; StringGroup=&quot;Title&quot;/&gt;_x000d__x000a_   &lt;Text StringText=&quot;JOURNAL OF MEDICAL INTERNET RESEARCH&quot; StringGroup=&quot;Magazine&quot;/&gt;_x000d__x000a_   &lt;Text StringText=&quot;. &quot; StringGroup=&quot;Magazine&quot;/&gt;_x000d__x000a_   &lt;Text StringText=&quot;2023&quot; StringGroup=&quot;PubYear&quot;/&gt;_x000d__x000a_   &lt;Text StringText=&quot;. &quot; StringGroup=&quot;PubYear&quot;/&gt;_x000d__x000a_   &lt;Text StringText=&quot;25&quot; StringGroup=&quot;Vol&quot;/&gt;_x000d__x000a_   &lt;Text StringText=&quot;: &quot; StringGroup=&quot;PageNum&quot;/&gt;_x000d__x000a_   &lt;Text StringText=&quot;e40733&quot; StringGroup=&quot;PageNum&quot;/&gt;_x000d__x000a_   &lt;Text StringText=&quot;.&quot; StringGroup=&quot;none&quot;/&gt;_x000d__x000a_  &lt;/Display&gt;&lt;/Doc&gt;&lt;/KyMRNote&gt;"/>
    <w:docVar w:name="KY_MEDREF_DOCUID" w:val="{D0674D9E-5AAB-4452-9B13-53CE5556519D}"/>
    <w:docVar w:name="KY_MEDREF_VERSION" w:val="3"/>
  </w:docVars>
  <w:rsids>
    <w:rsidRoot w:val="00000000"/>
    <w:rsid w:val="0CF62067"/>
    <w:rsid w:val="169F4829"/>
    <w:rsid w:val="2DEC0BF0"/>
    <w:rsid w:val="319C46DB"/>
    <w:rsid w:val="3C6C1669"/>
    <w:rsid w:val="3E1E66A1"/>
    <w:rsid w:val="55054CF5"/>
    <w:rsid w:val="5632548A"/>
    <w:rsid w:val="68E66AB2"/>
    <w:rsid w:val="69FE37F8"/>
    <w:rsid w:val="6FCB2765"/>
    <w:rsid w:val="7B2014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2305</Words>
  <Characters>7424</Characters>
  <TotalTime>5</TotalTime>
  <ScaleCrop>false</ScaleCrop>
  <LinksUpToDate>false</LinksUpToDate>
  <CharactersWithSpaces>8319</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2026-07-21T02:14:00Z</dcterms:created>
  <dc:creator>Apache POI</dc:creator>
  <cp:lastModifiedBy>蒋蒋</cp:lastModifiedBy>
  <dcterms:modified xsi:type="dcterms:W3CDTF">2026-07-22T08:40:26Z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{"Label":"1","ContentProducer":"001191110102MACQD9K64010000","ProduceID":"7664799003993525473","ReservedCode1":"","ContentPropagator":"","PropagateID":"","ReservedCode2":""}</vt:lpwstr>
  </property>
  <property fmtid="{D5CDD505-2E9C-101B-9397-08002B2CF9AE}" pid="3" name="KSOProductBuildVer">
    <vt:lpwstr>2052-12.1.0.26375</vt:lpwstr>
  </property>
  <property fmtid="{D5CDD505-2E9C-101B-9397-08002B2CF9AE}" pid="4" name="ICV">
    <vt:lpwstr>F177887D06B248719BD430B905E678F1_13</vt:lpwstr>
  </property>
  <property fmtid="{D5CDD505-2E9C-101B-9397-08002B2CF9AE}" pid="5" name="KSOTemplateDocerSaveRecord">
    <vt:lpwstr>eyJoZGlkIjoiMmQ5NDFhMTI4ZjEzMGE0NGI1YTZlYmU3ZjU2OTI3OTEiLCJ1c2VySWQiOiIzMzk2ODcyNDgifQ==</vt:lpwstr>
  </property>
</Properties>
</file>