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jc w:val="center"/>
        <w:rPr>
          <w:rFonts w:ascii="Cambria" w:cs="Cambria" w:eastAsia="Cambria" w:hAnsi="Cambria"/>
          <w:b w:val="1"/>
        </w:rPr>
      </w:pPr>
      <w:r w:rsidDel="00000000" w:rsidR="00000000" w:rsidRPr="00000000">
        <w:rPr>
          <w:rFonts w:ascii="Cambria" w:cs="Cambria" w:eastAsia="Cambria" w:hAnsi="Cambria"/>
          <w:b w:val="1"/>
          <w:rtl w:val="0"/>
        </w:rPr>
        <w:t xml:space="preserve">Genomes from Verteba cave reveal diversity within the Trypillian individuals</w:t>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Pere Gelabert , Ryan W. Schmidt , Daniel M. Fernandes, Jordan K. Karsten, Thomas Harper, Gwyn D. Madden , Sarah Heins Ledogar,  Mykhailo Sokhatsky, Hiroki Oota, Douglas J. Kennett, and Ron Pinhasi</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005">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06">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07">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08">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09">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0A">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0B">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0C">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0D">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0E">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0F">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10">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11">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12">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13">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14">
      <w:pPr>
        <w:pageBreakBefore w:val="0"/>
        <w:spacing w:line="480" w:lineRule="auto"/>
        <w:rPr>
          <w:rFonts w:ascii="Cambria" w:cs="Cambria" w:eastAsia="Cambria" w:hAnsi="Cambria"/>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15">
      <w:pPr>
        <w:pageBreakBefore w:val="0"/>
        <w:spacing w:line="48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Contents</w:t>
      </w:r>
    </w:p>
    <w:p w:rsidR="00000000" w:rsidDel="00000000" w:rsidP="00000000" w:rsidRDefault="00000000" w:rsidRPr="00000000" w14:paraId="00000016">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17">
      <w:pPr>
        <w:pageBreakBefore w:val="0"/>
        <w:spacing w:line="480" w:lineRule="auto"/>
        <w:rPr>
          <w:rFonts w:ascii="Cambria" w:cs="Cambria" w:eastAsia="Cambria" w:hAnsi="Cambria"/>
        </w:rPr>
      </w:pPr>
      <w:r w:rsidDel="00000000" w:rsidR="00000000" w:rsidRPr="00000000">
        <w:rPr>
          <w:rFonts w:ascii="Cambria" w:cs="Cambria" w:eastAsia="Cambria" w:hAnsi="Cambria"/>
          <w:rtl w:val="0"/>
        </w:rPr>
        <w:t xml:space="preserve">S1: Archaeological Context of Verteba Cave and Sample </w:t>
      </w:r>
    </w:p>
    <w:p w:rsidR="00000000" w:rsidDel="00000000" w:rsidP="00000000" w:rsidRDefault="00000000" w:rsidRPr="00000000" w14:paraId="00000018">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19">
      <w:pPr>
        <w:pageBreakBefore w:val="0"/>
        <w:spacing w:line="480" w:lineRule="auto"/>
        <w:rPr>
          <w:rFonts w:ascii="Cambria" w:cs="Cambria" w:eastAsia="Cambria" w:hAnsi="Cambria"/>
        </w:rPr>
      </w:pPr>
      <w:r w:rsidDel="00000000" w:rsidR="00000000" w:rsidRPr="00000000">
        <w:rPr>
          <w:rFonts w:ascii="Cambria" w:cs="Cambria" w:eastAsia="Cambria" w:hAnsi="Cambria"/>
          <w:rtl w:val="0"/>
        </w:rPr>
        <w:t xml:space="preserve">S2: Supplementary methods</w:t>
      </w:r>
    </w:p>
    <w:p w:rsidR="00000000" w:rsidDel="00000000" w:rsidP="00000000" w:rsidRDefault="00000000" w:rsidRPr="00000000" w14:paraId="0000001A">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1B">
      <w:pPr>
        <w:pageBreakBefore w:val="0"/>
        <w:spacing w:line="480" w:lineRule="auto"/>
        <w:rPr>
          <w:rFonts w:ascii="Cambria" w:cs="Cambria" w:eastAsia="Cambria" w:hAnsi="Cambria"/>
        </w:rPr>
      </w:pPr>
      <w:r w:rsidDel="00000000" w:rsidR="00000000" w:rsidRPr="00000000">
        <w:rPr>
          <w:rFonts w:ascii="Cambria" w:cs="Cambria" w:eastAsia="Cambria" w:hAnsi="Cambria"/>
          <w:rtl w:val="0"/>
        </w:rPr>
        <w:t xml:space="preserve">S3: Supplementary Figures</w:t>
      </w:r>
    </w:p>
    <w:p w:rsidR="00000000" w:rsidDel="00000000" w:rsidP="00000000" w:rsidRDefault="00000000" w:rsidRPr="00000000" w14:paraId="0000001C">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1D">
      <w:pPr>
        <w:pageBreakBefore w:val="0"/>
        <w:spacing w:line="480" w:lineRule="auto"/>
        <w:rPr>
          <w:rFonts w:ascii="Cambria" w:cs="Cambria" w:eastAsia="Cambria" w:hAnsi="Cambria"/>
        </w:rPr>
      </w:pPr>
      <w:r w:rsidDel="00000000" w:rsidR="00000000" w:rsidRPr="00000000">
        <w:rPr>
          <w:rFonts w:ascii="Cambria" w:cs="Cambria" w:eastAsia="Cambria" w:hAnsi="Cambria"/>
          <w:rtl w:val="0"/>
        </w:rPr>
        <w:t xml:space="preserve">S4: References</w:t>
      </w:r>
    </w:p>
    <w:p w:rsidR="00000000" w:rsidDel="00000000" w:rsidP="00000000" w:rsidRDefault="00000000" w:rsidRPr="00000000" w14:paraId="0000001E">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1F">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20">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21">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22">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23">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24">
      <w:pPr>
        <w:pageBreakBefore w:val="0"/>
        <w:spacing w:line="480" w:lineRule="auto"/>
        <w:rPr>
          <w:rFonts w:ascii="Cambria" w:cs="Cambria" w:eastAsia="Cambria" w:hAnsi="Cambria"/>
        </w:rPr>
      </w:pPr>
      <w:r w:rsidDel="00000000" w:rsidR="00000000" w:rsidRPr="00000000">
        <w:rPr>
          <w:rtl w:val="0"/>
        </w:rPr>
      </w:r>
    </w:p>
    <w:p w:rsidR="00000000" w:rsidDel="00000000" w:rsidP="00000000" w:rsidRDefault="00000000" w:rsidRPr="00000000" w14:paraId="00000025">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26">
      <w:pPr>
        <w:pageBreakBefore w:val="0"/>
        <w:spacing w:line="480" w:lineRule="auto"/>
        <w:jc w:val="both"/>
        <w:rPr>
          <w:rFonts w:ascii="Cambria" w:cs="Cambria" w:eastAsia="Cambria" w:hAnsi="Cambria"/>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27">
      <w:pPr>
        <w:pageBreakBefore w:val="0"/>
        <w:spacing w:line="480" w:lineRule="auto"/>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S1: Archaeological Context of Verteba Cave and Sample Information</w:t>
      </w:r>
    </w:p>
    <w:p w:rsidR="00000000" w:rsidDel="00000000" w:rsidP="00000000" w:rsidRDefault="00000000" w:rsidRPr="00000000" w14:paraId="00000028">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29">
      <w:pPr>
        <w:pageBreakBefore w:val="0"/>
        <w:spacing w:line="480" w:lineRule="auto"/>
        <w:jc w:val="both"/>
        <w:rPr>
          <w:rFonts w:ascii="Cambria" w:cs="Cambria" w:eastAsia="Cambria" w:hAnsi="Cambria"/>
        </w:rPr>
      </w:pPr>
      <w:r w:rsidDel="00000000" w:rsidR="00000000" w:rsidRPr="00000000">
        <w:rPr>
          <w:rFonts w:ascii="Cambria" w:cs="Cambria" w:eastAsia="Cambria" w:hAnsi="Cambria"/>
          <w:rtl w:val="0"/>
        </w:rPr>
        <w:t xml:space="preserve">Despite the fact that the Tripolye settled western Ukraine to a remarkably high population density, very few of their burials have been located, limiting our knowledge of their mortuary behavior and precluding previous bioanthropological study of this group. Burials and cemeteries are rare in and around Tripolye sites and from all phases (Supplementary table 8). A few isolated and poorly preserved burials have been found under house floors from early Tripolye periods </w:t>
      </w:r>
      <w:hyperlink r:id="rId6">
        <w:r w:rsidDel="00000000" w:rsidR="00000000" w:rsidRPr="00000000">
          <w:rPr>
            <w:rFonts w:ascii="Cambria" w:cs="Cambria" w:eastAsia="Cambria" w:hAnsi="Cambria"/>
            <w:b w:val="0"/>
            <w:color w:val="000000"/>
            <w:u w:val="none"/>
            <w:vertAlign w:val="superscript"/>
            <w:rtl w:val="0"/>
          </w:rPr>
          <w:t xml:space="preserve">1</w:t>
        </w:r>
      </w:hyperlink>
      <w:r w:rsidDel="00000000" w:rsidR="00000000" w:rsidRPr="00000000">
        <w:rPr>
          <w:rFonts w:ascii="Cambria" w:cs="Cambria" w:eastAsia="Cambria" w:hAnsi="Cambria"/>
          <w:rtl w:val="0"/>
        </w:rPr>
        <w:t xml:space="preserve">. This practice is a characteristic of Early and Middle Neolithic mortuary behavior observed across southeastern Europe </w:t>
      </w:r>
      <w:hyperlink r:id="rId7">
        <w:r w:rsidDel="00000000" w:rsidR="00000000" w:rsidRPr="00000000">
          <w:rPr>
            <w:rFonts w:ascii="Cambria" w:cs="Cambria" w:eastAsia="Cambria" w:hAnsi="Cambria"/>
            <w:b w:val="0"/>
            <w:color w:val="000000"/>
            <w:u w:val="none"/>
            <w:vertAlign w:val="superscript"/>
            <w:rtl w:val="0"/>
          </w:rPr>
          <w:t xml:space="preserve">2</w:t>
        </w:r>
      </w:hyperlink>
      <w:r w:rsidDel="00000000" w:rsidR="00000000" w:rsidRPr="00000000">
        <w:rPr>
          <w:rFonts w:ascii="Cambria" w:cs="Cambria" w:eastAsia="Cambria" w:hAnsi="Cambria"/>
          <w:rtl w:val="0"/>
        </w:rPr>
        <w:t xml:space="preserve">. Although the Tripolye house burials are the most commonly observed in the early periods, they are still rare. Several explanations for the general absence of Tripolye burials have been proposed, including cremation, or leaving bodies exposed above ground</w:t>
      </w:r>
      <w:hyperlink r:id="rId8">
        <w:r w:rsidDel="00000000" w:rsidR="00000000" w:rsidRPr="00000000">
          <w:rPr>
            <w:rFonts w:ascii="Cambria" w:cs="Cambria" w:eastAsia="Cambria" w:hAnsi="Cambria"/>
            <w:b w:val="0"/>
            <w:color w:val="000000"/>
            <w:u w:val="none"/>
            <w:vertAlign w:val="superscript"/>
            <w:rtl w:val="0"/>
          </w:rPr>
          <w:t xml:space="preserve">3</w:t>
        </w:r>
      </w:hyperlink>
      <w:r w:rsidDel="00000000" w:rsidR="00000000" w:rsidRPr="00000000">
        <w:rPr>
          <w:rFonts w:ascii="Cambria" w:cs="Cambria" w:eastAsia="Cambria" w:hAnsi="Cambria"/>
          <w:rtl w:val="0"/>
        </w:rPr>
        <w:t xml:space="preserve">. Alternatively, they may have buried their dead in locations far from settlement sites </w:t>
      </w:r>
      <w:hyperlink r:id="rId9">
        <w:r w:rsidDel="00000000" w:rsidR="00000000" w:rsidRPr="00000000">
          <w:rPr>
            <w:rFonts w:ascii="Cambria" w:cs="Cambria" w:eastAsia="Cambria" w:hAnsi="Cambria"/>
            <w:b w:val="0"/>
            <w:color w:val="000000"/>
            <w:u w:val="none"/>
            <w:vertAlign w:val="superscript"/>
            <w:rtl w:val="0"/>
          </w:rPr>
          <w:t xml:space="preserve">4</w:t>
        </w:r>
      </w:hyperlink>
      <w:r w:rsidDel="00000000" w:rsidR="00000000" w:rsidRPr="00000000">
        <w:rPr>
          <w:rFonts w:ascii="Cambria" w:cs="Cambria" w:eastAsia="Cambria" w:hAnsi="Cambria"/>
          <w:rtl w:val="0"/>
        </w:rPr>
        <w:t xml:space="preserve">.</w:t>
      </w:r>
    </w:p>
    <w:p w:rsidR="00000000" w:rsidDel="00000000" w:rsidP="00000000" w:rsidRDefault="00000000" w:rsidRPr="00000000" w14:paraId="0000002A">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2B">
      <w:pPr>
        <w:pageBreakBefore w:val="0"/>
        <w:spacing w:line="480" w:lineRule="auto"/>
        <w:jc w:val="both"/>
        <w:rPr>
          <w:rFonts w:ascii="Cambria" w:cs="Cambria" w:eastAsia="Cambria" w:hAnsi="Cambria"/>
        </w:rPr>
      </w:pPr>
      <w:r w:rsidDel="00000000" w:rsidR="00000000" w:rsidRPr="00000000">
        <w:rPr>
          <w:rFonts w:ascii="Cambria" w:cs="Cambria" w:eastAsia="Cambria" w:hAnsi="Cambria"/>
          <w:rtl w:val="0"/>
        </w:rPr>
        <w:t xml:space="preserve">The use of cemeteries, a practice typical of Mesolithic and Neolithic Ukrainian sites, has only been found in the later phase at Eneolithic Tripolye sites. Chapaivka (3700-3400 BCE), the earliest Tripolye cemetery, is located next to a settlement just south of Kyiv</w:t>
      </w:r>
      <w:hyperlink r:id="rId10">
        <w:r w:rsidDel="00000000" w:rsidR="00000000" w:rsidRPr="00000000">
          <w:rPr>
            <w:rFonts w:ascii="Cambria" w:cs="Cambria" w:eastAsia="Cambria" w:hAnsi="Cambria"/>
            <w:b w:val="0"/>
            <w:color w:val="000000"/>
            <w:u w:val="none"/>
            <w:vertAlign w:val="superscript"/>
            <w:rtl w:val="0"/>
          </w:rPr>
          <w:t xml:space="preserve">3</w:t>
        </w:r>
      </w:hyperlink>
      <w:r w:rsidDel="00000000" w:rsidR="00000000" w:rsidRPr="00000000">
        <w:rPr>
          <w:rFonts w:ascii="Cambria" w:cs="Cambria" w:eastAsia="Cambria" w:hAnsi="Cambria"/>
          <w:rtl w:val="0"/>
        </w:rPr>
        <w:t xml:space="preserve">. It is situated close to the steppe frontier, and kitchenware at Chapaivka is very similar to the neighboring Sredni Stog (pre-Yamnaya) ceramics indicating a close relationship between this steppe culture and the eastern Tripolye </w:t>
      </w:r>
      <w:hyperlink r:id="rId11">
        <w:r w:rsidDel="00000000" w:rsidR="00000000" w:rsidRPr="00000000">
          <w:rPr>
            <w:rFonts w:ascii="Cambria" w:cs="Cambria" w:eastAsia="Cambria" w:hAnsi="Cambria"/>
            <w:b w:val="0"/>
            <w:color w:val="000000"/>
            <w:u w:val="none"/>
            <w:vertAlign w:val="superscript"/>
            <w:rtl w:val="0"/>
          </w:rPr>
          <w:t xml:space="preserve">4</w:t>
        </w:r>
      </w:hyperlink>
      <w:r w:rsidDel="00000000" w:rsidR="00000000" w:rsidRPr="00000000">
        <w:rPr>
          <w:rFonts w:ascii="Cambria" w:cs="Cambria" w:eastAsia="Cambria" w:hAnsi="Cambria"/>
          <w:rtl w:val="0"/>
        </w:rPr>
        <w:t xml:space="preserve">. This cemetery contains 31 extended burials of men, women, and one child oriented to the west and associated grave goods including ceramics, lithic tools, and a female figurine </w:t>
      </w:r>
      <w:hyperlink r:id="rId12">
        <w:r w:rsidDel="00000000" w:rsidR="00000000" w:rsidRPr="00000000">
          <w:rPr>
            <w:rFonts w:ascii="Cambria" w:cs="Cambria" w:eastAsia="Cambria" w:hAnsi="Cambria"/>
            <w:b w:val="0"/>
            <w:color w:val="000000"/>
            <w:u w:val="none"/>
            <w:vertAlign w:val="superscript"/>
            <w:rtl w:val="0"/>
          </w:rPr>
          <w:t xml:space="preserve">4</w:t>
        </w:r>
      </w:hyperlink>
      <w:r w:rsidDel="00000000" w:rsidR="00000000" w:rsidRPr="00000000">
        <w:rPr>
          <w:rFonts w:ascii="Cambria" w:cs="Cambria" w:eastAsia="Cambria" w:hAnsi="Cambria"/>
          <w:rtl w:val="0"/>
        </w:rPr>
        <w:t xml:space="preserve">. A larger cemetery, Vykhvitnitsi, has yielded more than 70 burials </w:t>
      </w:r>
      <w:hyperlink r:id="rId13">
        <w:r w:rsidDel="00000000" w:rsidR="00000000" w:rsidRPr="00000000">
          <w:rPr>
            <w:rFonts w:ascii="Cambria" w:cs="Cambria" w:eastAsia="Cambria" w:hAnsi="Cambria"/>
            <w:b w:val="0"/>
            <w:color w:val="000000"/>
            <w:u w:val="none"/>
            <w:vertAlign w:val="superscript"/>
            <w:rtl w:val="0"/>
          </w:rPr>
          <w:t xml:space="preserve">5</w:t>
        </w:r>
      </w:hyperlink>
      <w:r w:rsidDel="00000000" w:rsidR="00000000" w:rsidRPr="00000000">
        <w:rPr>
          <w:rFonts w:ascii="Cambria" w:cs="Cambria" w:eastAsia="Cambria" w:hAnsi="Cambria"/>
          <w:rtl w:val="0"/>
        </w:rPr>
        <w:t xml:space="preserve">. Individuals were buried in flexed positions in burial pits encased with stones </w:t>
      </w:r>
      <w:hyperlink r:id="rId14">
        <w:r w:rsidDel="00000000" w:rsidR="00000000" w:rsidRPr="00000000">
          <w:rPr>
            <w:rFonts w:ascii="Cambria" w:cs="Cambria" w:eastAsia="Cambria" w:hAnsi="Cambria"/>
            <w:b w:val="0"/>
            <w:color w:val="000000"/>
            <w:u w:val="none"/>
            <w:vertAlign w:val="superscript"/>
            <w:rtl w:val="0"/>
          </w:rPr>
          <w:t xml:space="preserve">4</w:t>
        </w:r>
      </w:hyperlink>
      <w:r w:rsidDel="00000000" w:rsidR="00000000" w:rsidRPr="00000000">
        <w:rPr>
          <w:rFonts w:ascii="Cambria" w:cs="Cambria" w:eastAsia="Cambria" w:hAnsi="Cambria"/>
          <w:rtl w:val="0"/>
        </w:rPr>
        <w:t xml:space="preserve">. Like Chapaivka, Vykhvitnitsi was also located near the steppe frontier, and it is possible that in both cases Tripolye populations were gradually integrating the steppe custom of cemetery burial into their own mortuary practices. </w:t>
      </w:r>
    </w:p>
    <w:p w:rsidR="00000000" w:rsidDel="00000000" w:rsidP="00000000" w:rsidRDefault="00000000" w:rsidRPr="00000000" w14:paraId="0000002C">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2D">
      <w:pPr>
        <w:pageBreakBefore w:val="0"/>
        <w:spacing w:line="480" w:lineRule="auto"/>
        <w:jc w:val="both"/>
        <w:rPr>
          <w:rFonts w:ascii="Cambria" w:cs="Cambria" w:eastAsia="Cambria" w:hAnsi="Cambria"/>
        </w:rPr>
      </w:pPr>
      <w:r w:rsidDel="00000000" w:rsidR="00000000" w:rsidRPr="00000000">
        <w:rPr>
          <w:rFonts w:ascii="Cambria" w:cs="Cambria" w:eastAsia="Cambria" w:hAnsi="Cambria"/>
          <w:rtl w:val="0"/>
        </w:rPr>
        <w:t xml:space="preserve">Verteba Cave is the only known large accumulation of human skeletal remains from a cave or rock shelter from any phase of Tripolye occupation. The cave is located on a terrace approximately 100m from the Seret River and 1.5 km from the village of Bilche Zołote in a geographic region known as the Podilian Plateau. It is one of many caves in western Ukraine and is part of an expansive Miocene gypsum karst that spreads over 20,000 km</w:t>
      </w:r>
      <w:r w:rsidDel="00000000" w:rsidR="00000000" w:rsidRPr="00000000">
        <w:rPr>
          <w:rFonts w:ascii="Cambria" w:cs="Cambria" w:eastAsia="Cambria" w:hAnsi="Cambria"/>
          <w:vertAlign w:val="superscript"/>
          <w:rtl w:val="0"/>
        </w:rPr>
        <w:t xml:space="preserve">2</w:t>
      </w:r>
      <w:r w:rsidDel="00000000" w:rsidR="00000000" w:rsidRPr="00000000">
        <w:rPr>
          <w:rFonts w:ascii="Cambria" w:cs="Cambria" w:eastAsia="Cambria" w:hAnsi="Cambria"/>
          <w:rtl w:val="0"/>
        </w:rPr>
        <w:t xml:space="preserve"> in the region  </w:t>
      </w:r>
      <w:hyperlink r:id="rId15">
        <w:r w:rsidDel="00000000" w:rsidR="00000000" w:rsidRPr="00000000">
          <w:rPr>
            <w:rFonts w:ascii="Cambria" w:cs="Cambria" w:eastAsia="Cambria" w:hAnsi="Cambria"/>
            <w:b w:val="0"/>
            <w:color w:val="000000"/>
            <w:u w:val="none"/>
            <w:vertAlign w:val="superscript"/>
            <w:rtl w:val="0"/>
          </w:rPr>
          <w:t xml:space="preserve">6</w:t>
        </w:r>
      </w:hyperlink>
      <w:r w:rsidDel="00000000" w:rsidR="00000000" w:rsidRPr="00000000">
        <w:rPr>
          <w:rFonts w:ascii="Cambria" w:cs="Cambria" w:eastAsia="Cambria" w:hAnsi="Cambria"/>
          <w:rtl w:val="0"/>
        </w:rPr>
        <w:t xml:space="preserve">. The Verteba Cave karst system entails an extensive network of corridors and caverns totaling around 8 km in length . There are no known freshwater sources in the cave. The modern entrance to the subterranean cave is a depression in the ground allowing people and animals to enter the cave easily on foot. </w:t>
      </w:r>
    </w:p>
    <w:p w:rsidR="00000000" w:rsidDel="00000000" w:rsidP="00000000" w:rsidRDefault="00000000" w:rsidRPr="00000000" w14:paraId="0000002E">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2F">
      <w:pPr>
        <w:pageBreakBefore w:val="0"/>
        <w:spacing w:line="480" w:lineRule="auto"/>
        <w:jc w:val="both"/>
        <w:rPr>
          <w:rFonts w:ascii="Cambria" w:cs="Cambria" w:eastAsia="Cambria" w:hAnsi="Cambria"/>
        </w:rPr>
      </w:pPr>
      <w:r w:rsidDel="00000000" w:rsidR="00000000" w:rsidRPr="00000000">
        <w:rPr>
          <w:rFonts w:ascii="Cambria" w:cs="Cambria" w:eastAsia="Cambria" w:hAnsi="Cambria"/>
          <w:rtl w:val="0"/>
        </w:rPr>
        <w:t xml:space="preserve">Verteba Cave was uncovered as an archaeological site in the 1820s </w:t>
      </w:r>
      <w:hyperlink r:id="rId16">
        <w:r w:rsidDel="00000000" w:rsidR="00000000" w:rsidRPr="00000000">
          <w:rPr>
            <w:rFonts w:ascii="Cambria" w:cs="Cambria" w:eastAsia="Cambria" w:hAnsi="Cambria"/>
            <w:b w:val="0"/>
            <w:color w:val="000000"/>
            <w:u w:val="none"/>
            <w:vertAlign w:val="superscript"/>
            <w:rtl w:val="0"/>
          </w:rPr>
          <w:t xml:space="preserve">7</w:t>
        </w:r>
      </w:hyperlink>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rtl w:val="0"/>
        </w:rPr>
        <w:t xml:space="preserve">Surveys of the cave have identified multiple areas of human activity based on findings of ceramics, lithic tools, bones, and charcoal. Initial excavations were carried out in the 1870s, 1890s, and early 1900s (Kadrow and Pokutta 2016; Kirkor 1879; Ossowski 1891; 1892; 1895). Modern excavations at Verteba Cave started in 1996 and continue to the present day under the direction of co-author M. Sokohatskyi (Borshchiv Regional Museum of the Ukrainian Ministry of Culture and Arts). This work has demonstrated that surface strata have been disturbed by prior excavation and intrusions throughout history; however, deposits against cave walls and in sites that are difficult to access, as well as lower strata, have remained mostly untouched by human activity. Bioturbation appears to have affected most sites to a small degree. Water dripping in from the surface, and animals dwelling in the cave (e.g., rodents, bats, and badgers) have all had minor effects on the spatial organization of artifacts and bones in the cave. </w:t>
      </w:r>
    </w:p>
    <w:p w:rsidR="00000000" w:rsidDel="00000000" w:rsidP="00000000" w:rsidRDefault="00000000" w:rsidRPr="00000000" w14:paraId="00000030">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31">
      <w:pPr>
        <w:pageBreakBefore w:val="0"/>
        <w:spacing w:line="480" w:lineRule="auto"/>
        <w:jc w:val="both"/>
        <w:rPr>
          <w:rFonts w:ascii="Cambria" w:cs="Cambria" w:eastAsia="Cambria" w:hAnsi="Cambria"/>
        </w:rPr>
      </w:pPr>
      <w:r w:rsidDel="00000000" w:rsidR="00000000" w:rsidRPr="00000000">
        <w:rPr>
          <w:rFonts w:ascii="Cambria" w:cs="Cambria" w:eastAsia="Cambria" w:hAnsi="Cambria"/>
          <w:rtl w:val="0"/>
        </w:rPr>
        <w:t xml:space="preserve">Excursions into the cave by archaeologists and speleologists have uncovered over 20 archaeological sites associated with Tripolye culture. These sites have been identified through surveys, and confirmed through test pits. All sites have Tripolye ceramics, indicating their connection with the Tripolye occupation of Verteba Cave. Most ceramic evidence is consistent with utilization of the cave during later phases of the Eneolithic, although there are two human bones that have been previously dated to the Bronze Age </w:t>
      </w:r>
      <w:hyperlink r:id="rId17">
        <w:r w:rsidDel="00000000" w:rsidR="00000000" w:rsidRPr="00000000">
          <w:rPr>
            <w:rFonts w:ascii="Cambria" w:cs="Cambria" w:eastAsia="Cambria" w:hAnsi="Cambria"/>
            <w:b w:val="0"/>
            <w:color w:val="000000"/>
            <w:u w:val="none"/>
            <w:vertAlign w:val="superscript"/>
            <w:rtl w:val="0"/>
          </w:rPr>
          <w:t xml:space="preserve">8</w:t>
        </w:r>
      </w:hyperlink>
      <w:r w:rsidDel="00000000" w:rsidR="00000000" w:rsidRPr="00000000">
        <w:rPr>
          <w:rFonts w:ascii="Cambria" w:cs="Cambria" w:eastAsia="Cambria" w:hAnsi="Cambria"/>
          <w:rtl w:val="0"/>
        </w:rPr>
        <w:t xml:space="preserve">. Analysis of the human burials in the context of associated faunal remains suggests the cave was used for ritual functions that combined mortuary ceremonies and feasting </w:t>
      </w:r>
      <w:hyperlink r:id="rId18">
        <w:r w:rsidDel="00000000" w:rsidR="00000000" w:rsidRPr="00000000">
          <w:rPr>
            <w:rFonts w:ascii="Cambria" w:cs="Cambria" w:eastAsia="Cambria" w:hAnsi="Cambria"/>
            <w:b w:val="0"/>
            <w:color w:val="000000"/>
            <w:u w:val="none"/>
            <w:vertAlign w:val="superscript"/>
            <w:rtl w:val="0"/>
          </w:rPr>
          <w:t xml:space="preserve">9</w:t>
        </w:r>
      </w:hyperlink>
      <w:r w:rsidDel="00000000" w:rsidR="00000000" w:rsidRPr="00000000">
        <w:rPr>
          <w:rFonts w:ascii="Cambria" w:cs="Cambria" w:eastAsia="Cambria" w:hAnsi="Cambria"/>
          <w:rtl w:val="0"/>
        </w:rPr>
        <w:t xml:space="preserve">. Furthermore, bioarchaeological analyses of human skeletal remains from Verteba Cave has allowed for a reconstruction of the Tripolye diet as being dominated by cereals and a determination that the Tripolye population of Verteba Cave experienced considerable amounts of violent trauma </w:t>
      </w:r>
      <w:hyperlink r:id="rId19">
        <w:r w:rsidDel="00000000" w:rsidR="00000000" w:rsidRPr="00000000">
          <w:rPr>
            <w:rFonts w:ascii="Cambria" w:cs="Cambria" w:eastAsia="Cambria" w:hAnsi="Cambria"/>
            <w:b w:val="0"/>
            <w:color w:val="000000"/>
            <w:u w:val="none"/>
            <w:vertAlign w:val="superscript"/>
            <w:rtl w:val="0"/>
          </w:rPr>
          <w:t xml:space="preserve">10–12</w:t>
        </w:r>
      </w:hyperlink>
      <w:r w:rsidDel="00000000" w:rsidR="00000000" w:rsidRPr="00000000">
        <w:rPr>
          <w:rFonts w:ascii="Cambria" w:cs="Cambria" w:eastAsia="Cambria" w:hAnsi="Cambria"/>
          <w:rtl w:val="0"/>
        </w:rPr>
        <w:t xml:space="preserve">.</w:t>
      </w:r>
      <w:r w:rsidDel="00000000" w:rsidR="00000000" w:rsidRPr="00000000">
        <w:rPr>
          <w:rtl w:val="0"/>
        </w:rPr>
      </w:r>
    </w:p>
    <w:p w:rsidR="00000000" w:rsidDel="00000000" w:rsidP="00000000" w:rsidRDefault="00000000" w:rsidRPr="00000000" w14:paraId="00000032">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33">
      <w:pPr>
        <w:pageBreakBefore w:val="0"/>
        <w:spacing w:line="480" w:lineRule="auto"/>
        <w:jc w:val="both"/>
        <w:rPr>
          <w:rFonts w:ascii="Cambria" w:cs="Cambria" w:eastAsia="Cambria" w:hAnsi="Cambria"/>
        </w:rPr>
      </w:pPr>
      <w:r w:rsidDel="00000000" w:rsidR="00000000" w:rsidRPr="00000000">
        <w:rPr>
          <w:rFonts w:ascii="Cambria" w:cs="Cambria" w:eastAsia="Cambria" w:hAnsi="Cambria"/>
          <w:rtl w:val="0"/>
        </w:rPr>
        <w:t xml:space="preserve">Table S10:</w:t>
      </w:r>
      <w:r w:rsidDel="00000000" w:rsidR="00000000" w:rsidRPr="00000000">
        <w:rPr>
          <w:rFonts w:ascii="Cambria" w:cs="Cambria" w:eastAsia="Cambria" w:hAnsi="Cambria"/>
          <w:b w:val="1"/>
          <w:rtl w:val="0"/>
        </w:rPr>
        <w:t xml:space="preserve"> </w:t>
      </w:r>
      <w:r w:rsidDel="00000000" w:rsidR="00000000" w:rsidRPr="00000000">
        <w:rPr>
          <w:rFonts w:ascii="Cambria" w:cs="Cambria" w:eastAsia="Cambria" w:hAnsi="Cambria"/>
          <w:rtl w:val="0"/>
        </w:rPr>
        <w:t xml:space="preserve">Chronology of the Tripolye culture in Ukraine, from Rassamakin and Menotti (2011).</w:t>
      </w:r>
    </w:p>
    <w:p w:rsidR="00000000" w:rsidDel="00000000" w:rsidP="00000000" w:rsidRDefault="00000000" w:rsidRPr="00000000" w14:paraId="00000034">
      <w:pPr>
        <w:pageBreakBefore w:val="0"/>
        <w:spacing w:line="480" w:lineRule="auto"/>
        <w:jc w:val="both"/>
        <w:rPr>
          <w:rFonts w:ascii="Cambria" w:cs="Cambria" w:eastAsia="Cambria" w:hAnsi="Cambria"/>
          <w:sz w:val="22"/>
          <w:szCs w:val="22"/>
        </w:rPr>
      </w:pPr>
      <w:r w:rsidDel="00000000" w:rsidR="00000000" w:rsidRPr="00000000">
        <w:rPr>
          <w:rtl w:val="0"/>
        </w:rPr>
      </w:r>
    </w:p>
    <w:tbl>
      <w:tblPr>
        <w:tblStyle w:val="Table1"/>
        <w:tblW w:w="4820.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134"/>
        <w:gridCol w:w="3686"/>
        <w:tblGridChange w:id="0">
          <w:tblGrid>
            <w:gridCol w:w="1134"/>
            <w:gridCol w:w="3686"/>
          </w:tblGrid>
        </w:tblGridChange>
      </w:tblGrid>
      <w:tr>
        <w:trPr>
          <w:cantSplit w:val="0"/>
          <w:tblHeader w:val="0"/>
        </w:trPr>
        <w:tc>
          <w:tcPr>
            <w:tcBorders>
              <w:top w:color="000000" w:space="0" w:sz="4" w:val="single"/>
              <w:bottom w:color="000000" w:space="0" w:sz="4" w:val="single"/>
            </w:tcBorders>
          </w:tcPr>
          <w:p w:rsidR="00000000" w:rsidDel="00000000" w:rsidP="00000000" w:rsidRDefault="00000000" w:rsidRPr="00000000" w14:paraId="00000035">
            <w:pPr>
              <w:pageBreakBefore w:val="0"/>
              <w:spacing w:line="480" w:lineRule="auto"/>
              <w:jc w:val="center"/>
              <w:rPr>
                <w:sz w:val="24"/>
                <w:szCs w:val="24"/>
              </w:rPr>
            </w:pPr>
            <w:r w:rsidDel="00000000" w:rsidR="00000000" w:rsidRPr="00000000">
              <w:rPr>
                <w:sz w:val="24"/>
                <w:szCs w:val="24"/>
                <w:rtl w:val="0"/>
              </w:rPr>
              <w:t xml:space="preserve">Phase</w:t>
            </w:r>
          </w:p>
        </w:tc>
        <w:tc>
          <w:tcPr>
            <w:tcBorders>
              <w:top w:color="000000" w:space="0" w:sz="4" w:val="single"/>
              <w:bottom w:color="000000" w:space="0" w:sz="4" w:val="single"/>
            </w:tcBorders>
          </w:tcPr>
          <w:p w:rsidR="00000000" w:rsidDel="00000000" w:rsidP="00000000" w:rsidRDefault="00000000" w:rsidRPr="00000000" w14:paraId="00000036">
            <w:pPr>
              <w:pageBreakBefore w:val="0"/>
              <w:spacing w:line="480" w:lineRule="auto"/>
              <w:jc w:val="center"/>
              <w:rPr>
                <w:sz w:val="24"/>
                <w:szCs w:val="24"/>
              </w:rPr>
            </w:pPr>
            <w:r w:rsidDel="00000000" w:rsidR="00000000" w:rsidRPr="00000000">
              <w:rPr>
                <w:sz w:val="24"/>
                <w:szCs w:val="24"/>
                <w:rtl w:val="0"/>
              </w:rPr>
              <w:t xml:space="preserve">Date</w:t>
            </w:r>
          </w:p>
        </w:tc>
      </w:tr>
      <w:tr>
        <w:trPr>
          <w:cantSplit w:val="0"/>
          <w:tblHeader w:val="0"/>
        </w:trPr>
        <w:tc>
          <w:tcPr>
            <w:tcBorders>
              <w:top w:color="000000" w:space="0" w:sz="4" w:val="single"/>
            </w:tcBorders>
          </w:tcPr>
          <w:p w:rsidR="00000000" w:rsidDel="00000000" w:rsidP="00000000" w:rsidRDefault="00000000" w:rsidRPr="00000000" w14:paraId="00000037">
            <w:pPr>
              <w:pageBreakBefore w:val="0"/>
              <w:spacing w:line="480" w:lineRule="auto"/>
              <w:jc w:val="center"/>
              <w:rPr>
                <w:sz w:val="24"/>
                <w:szCs w:val="24"/>
              </w:rPr>
            </w:pPr>
            <w:r w:rsidDel="00000000" w:rsidR="00000000" w:rsidRPr="00000000">
              <w:rPr>
                <w:sz w:val="24"/>
                <w:szCs w:val="24"/>
                <w:rtl w:val="0"/>
              </w:rPr>
              <w:t xml:space="preserve">A</w:t>
            </w:r>
          </w:p>
        </w:tc>
        <w:tc>
          <w:tcPr>
            <w:tcBorders>
              <w:top w:color="000000" w:space="0" w:sz="4" w:val="single"/>
            </w:tcBorders>
          </w:tcPr>
          <w:p w:rsidR="00000000" w:rsidDel="00000000" w:rsidP="00000000" w:rsidRDefault="00000000" w:rsidRPr="00000000" w14:paraId="00000038">
            <w:pPr>
              <w:pageBreakBefore w:val="0"/>
              <w:spacing w:line="480" w:lineRule="auto"/>
              <w:jc w:val="center"/>
              <w:rPr>
                <w:sz w:val="24"/>
                <w:szCs w:val="24"/>
              </w:rPr>
            </w:pPr>
            <w:r w:rsidDel="00000000" w:rsidR="00000000" w:rsidRPr="00000000">
              <w:rPr>
                <w:sz w:val="24"/>
                <w:szCs w:val="24"/>
                <w:rtl w:val="0"/>
              </w:rPr>
              <w:t xml:space="preserve">5100/5000 – 4700/4600 cal BC</w:t>
            </w:r>
          </w:p>
        </w:tc>
      </w:tr>
      <w:tr>
        <w:trPr>
          <w:cantSplit w:val="0"/>
          <w:tblHeader w:val="0"/>
        </w:trPr>
        <w:tc>
          <w:tcPr/>
          <w:p w:rsidR="00000000" w:rsidDel="00000000" w:rsidP="00000000" w:rsidRDefault="00000000" w:rsidRPr="00000000" w14:paraId="00000039">
            <w:pPr>
              <w:pageBreakBefore w:val="0"/>
              <w:spacing w:line="480" w:lineRule="auto"/>
              <w:jc w:val="center"/>
              <w:rPr>
                <w:sz w:val="24"/>
                <w:szCs w:val="24"/>
              </w:rPr>
            </w:pPr>
            <w:r w:rsidDel="00000000" w:rsidR="00000000" w:rsidRPr="00000000">
              <w:rPr>
                <w:sz w:val="24"/>
                <w:szCs w:val="24"/>
                <w:rtl w:val="0"/>
              </w:rPr>
              <w:t xml:space="preserve">BI</w:t>
            </w:r>
          </w:p>
        </w:tc>
        <w:tc>
          <w:tcPr/>
          <w:p w:rsidR="00000000" w:rsidDel="00000000" w:rsidP="00000000" w:rsidRDefault="00000000" w:rsidRPr="00000000" w14:paraId="0000003A">
            <w:pPr>
              <w:pageBreakBefore w:val="0"/>
              <w:spacing w:line="480" w:lineRule="auto"/>
              <w:jc w:val="center"/>
              <w:rPr>
                <w:sz w:val="24"/>
                <w:szCs w:val="24"/>
              </w:rPr>
            </w:pPr>
            <w:r w:rsidDel="00000000" w:rsidR="00000000" w:rsidRPr="00000000">
              <w:rPr>
                <w:sz w:val="24"/>
                <w:szCs w:val="24"/>
                <w:rtl w:val="0"/>
              </w:rPr>
              <w:t xml:space="preserve">4700/4600 – 4400/4300 cal BC</w:t>
            </w:r>
          </w:p>
        </w:tc>
      </w:tr>
      <w:tr>
        <w:trPr>
          <w:cantSplit w:val="0"/>
          <w:tblHeader w:val="0"/>
        </w:trPr>
        <w:tc>
          <w:tcPr/>
          <w:p w:rsidR="00000000" w:rsidDel="00000000" w:rsidP="00000000" w:rsidRDefault="00000000" w:rsidRPr="00000000" w14:paraId="0000003B">
            <w:pPr>
              <w:pageBreakBefore w:val="0"/>
              <w:spacing w:line="480" w:lineRule="auto"/>
              <w:jc w:val="center"/>
              <w:rPr>
                <w:sz w:val="24"/>
                <w:szCs w:val="24"/>
              </w:rPr>
            </w:pPr>
            <w:r w:rsidDel="00000000" w:rsidR="00000000" w:rsidRPr="00000000">
              <w:rPr>
                <w:sz w:val="24"/>
                <w:szCs w:val="24"/>
                <w:rtl w:val="0"/>
              </w:rPr>
              <w:t xml:space="preserve">BI/II</w:t>
            </w:r>
          </w:p>
        </w:tc>
        <w:tc>
          <w:tcPr/>
          <w:p w:rsidR="00000000" w:rsidDel="00000000" w:rsidP="00000000" w:rsidRDefault="00000000" w:rsidRPr="00000000" w14:paraId="0000003C">
            <w:pPr>
              <w:pageBreakBefore w:val="0"/>
              <w:spacing w:line="480" w:lineRule="auto"/>
              <w:jc w:val="center"/>
              <w:rPr>
                <w:sz w:val="24"/>
                <w:szCs w:val="24"/>
              </w:rPr>
            </w:pPr>
            <w:r w:rsidDel="00000000" w:rsidR="00000000" w:rsidRPr="00000000">
              <w:rPr>
                <w:sz w:val="24"/>
                <w:szCs w:val="24"/>
                <w:rtl w:val="0"/>
              </w:rPr>
              <w:t xml:space="preserve">4400/4300 – 4200/4100 cal BC</w:t>
            </w:r>
          </w:p>
        </w:tc>
      </w:tr>
      <w:tr>
        <w:trPr>
          <w:cantSplit w:val="0"/>
          <w:tblHeader w:val="0"/>
        </w:trPr>
        <w:tc>
          <w:tcPr/>
          <w:p w:rsidR="00000000" w:rsidDel="00000000" w:rsidP="00000000" w:rsidRDefault="00000000" w:rsidRPr="00000000" w14:paraId="0000003D">
            <w:pPr>
              <w:pageBreakBefore w:val="0"/>
              <w:spacing w:line="480" w:lineRule="auto"/>
              <w:jc w:val="center"/>
              <w:rPr>
                <w:sz w:val="24"/>
                <w:szCs w:val="24"/>
              </w:rPr>
            </w:pPr>
            <w:r w:rsidDel="00000000" w:rsidR="00000000" w:rsidRPr="00000000">
              <w:rPr>
                <w:sz w:val="24"/>
                <w:szCs w:val="24"/>
                <w:rtl w:val="0"/>
              </w:rPr>
              <w:t xml:space="preserve">BII</w:t>
            </w:r>
          </w:p>
        </w:tc>
        <w:tc>
          <w:tcPr/>
          <w:p w:rsidR="00000000" w:rsidDel="00000000" w:rsidP="00000000" w:rsidRDefault="00000000" w:rsidRPr="00000000" w14:paraId="0000003E">
            <w:pPr>
              <w:pageBreakBefore w:val="0"/>
              <w:spacing w:line="480" w:lineRule="auto"/>
              <w:jc w:val="center"/>
              <w:rPr>
                <w:sz w:val="24"/>
                <w:szCs w:val="24"/>
              </w:rPr>
            </w:pPr>
            <w:r w:rsidDel="00000000" w:rsidR="00000000" w:rsidRPr="00000000">
              <w:rPr>
                <w:sz w:val="24"/>
                <w:szCs w:val="24"/>
                <w:rtl w:val="0"/>
              </w:rPr>
              <w:t xml:space="preserve">4200/4100 – 3900 cal BC</w:t>
            </w:r>
          </w:p>
        </w:tc>
      </w:tr>
      <w:tr>
        <w:trPr>
          <w:cantSplit w:val="0"/>
          <w:tblHeader w:val="0"/>
        </w:trPr>
        <w:tc>
          <w:tcPr/>
          <w:p w:rsidR="00000000" w:rsidDel="00000000" w:rsidP="00000000" w:rsidRDefault="00000000" w:rsidRPr="00000000" w14:paraId="0000003F">
            <w:pPr>
              <w:pageBreakBefore w:val="0"/>
              <w:spacing w:line="480" w:lineRule="auto"/>
              <w:jc w:val="center"/>
              <w:rPr>
                <w:sz w:val="24"/>
                <w:szCs w:val="24"/>
              </w:rPr>
            </w:pPr>
            <w:r w:rsidDel="00000000" w:rsidR="00000000" w:rsidRPr="00000000">
              <w:rPr>
                <w:sz w:val="24"/>
                <w:szCs w:val="24"/>
                <w:rtl w:val="0"/>
              </w:rPr>
              <w:t xml:space="preserve">CI</w:t>
            </w:r>
          </w:p>
        </w:tc>
        <w:tc>
          <w:tcPr/>
          <w:p w:rsidR="00000000" w:rsidDel="00000000" w:rsidP="00000000" w:rsidRDefault="00000000" w:rsidRPr="00000000" w14:paraId="00000040">
            <w:pPr>
              <w:pageBreakBefore w:val="0"/>
              <w:spacing w:line="480" w:lineRule="auto"/>
              <w:jc w:val="center"/>
              <w:rPr>
                <w:sz w:val="24"/>
                <w:szCs w:val="24"/>
              </w:rPr>
            </w:pPr>
            <w:r w:rsidDel="00000000" w:rsidR="00000000" w:rsidRPr="00000000">
              <w:rPr>
                <w:sz w:val="24"/>
                <w:szCs w:val="24"/>
                <w:rtl w:val="0"/>
              </w:rPr>
              <w:t xml:space="preserve">3900 – 3450/3350 cal BC</w:t>
            </w:r>
          </w:p>
        </w:tc>
      </w:tr>
      <w:tr>
        <w:trPr>
          <w:cantSplit w:val="0"/>
          <w:tblHeader w:val="0"/>
        </w:trPr>
        <w:tc>
          <w:tcPr>
            <w:tcBorders>
              <w:bottom w:color="000000" w:space="0" w:sz="4" w:val="single"/>
            </w:tcBorders>
          </w:tcPr>
          <w:p w:rsidR="00000000" w:rsidDel="00000000" w:rsidP="00000000" w:rsidRDefault="00000000" w:rsidRPr="00000000" w14:paraId="00000041">
            <w:pPr>
              <w:pageBreakBefore w:val="0"/>
              <w:spacing w:line="480" w:lineRule="auto"/>
              <w:jc w:val="center"/>
              <w:rPr>
                <w:sz w:val="24"/>
                <w:szCs w:val="24"/>
              </w:rPr>
            </w:pPr>
            <w:r w:rsidDel="00000000" w:rsidR="00000000" w:rsidRPr="00000000">
              <w:rPr>
                <w:sz w:val="24"/>
                <w:szCs w:val="24"/>
                <w:rtl w:val="0"/>
              </w:rPr>
              <w:t xml:space="preserve">CII</w:t>
            </w:r>
          </w:p>
        </w:tc>
        <w:tc>
          <w:tcPr>
            <w:tcBorders>
              <w:bottom w:color="000000" w:space="0" w:sz="4" w:val="single"/>
            </w:tcBorders>
          </w:tcPr>
          <w:p w:rsidR="00000000" w:rsidDel="00000000" w:rsidP="00000000" w:rsidRDefault="00000000" w:rsidRPr="00000000" w14:paraId="00000042">
            <w:pPr>
              <w:pageBreakBefore w:val="0"/>
              <w:spacing w:line="480" w:lineRule="auto"/>
              <w:jc w:val="center"/>
              <w:rPr>
                <w:sz w:val="24"/>
                <w:szCs w:val="24"/>
              </w:rPr>
            </w:pPr>
            <w:r w:rsidDel="00000000" w:rsidR="00000000" w:rsidRPr="00000000">
              <w:rPr>
                <w:sz w:val="24"/>
                <w:szCs w:val="24"/>
                <w:rtl w:val="0"/>
              </w:rPr>
              <w:t xml:space="preserve">3450/3300 – 3000/2900 cal BC</w:t>
            </w:r>
          </w:p>
        </w:tc>
      </w:tr>
    </w:tbl>
    <w:p w:rsidR="00000000" w:rsidDel="00000000" w:rsidP="00000000" w:rsidRDefault="00000000" w:rsidRPr="00000000" w14:paraId="00000043">
      <w:pPr>
        <w:pageBreakBefore w:val="0"/>
        <w:spacing w:line="480" w:lineRule="auto"/>
        <w:ind w:firstLine="720"/>
        <w:jc w:val="both"/>
        <w:rPr>
          <w:rFonts w:ascii="Cambria" w:cs="Cambria" w:eastAsia="Cambria" w:hAnsi="Cambria"/>
        </w:rPr>
      </w:pPr>
      <w:r w:rsidDel="00000000" w:rsidR="00000000" w:rsidRPr="00000000">
        <w:rPr>
          <w:rtl w:val="0"/>
        </w:rPr>
      </w:r>
    </w:p>
    <w:p w:rsidR="00000000" w:rsidDel="00000000" w:rsidP="00000000" w:rsidRDefault="00000000" w:rsidRPr="00000000" w14:paraId="00000044">
      <w:pPr>
        <w:pageBreakBefore w:val="0"/>
        <w:spacing w:before="240" w:line="480" w:lineRule="auto"/>
        <w:ind w:firstLine="720"/>
        <w:jc w:val="both"/>
        <w:rPr>
          <w:rFonts w:ascii="Cambria" w:cs="Cambria" w:eastAsia="Cambria" w:hAnsi="Cambria"/>
        </w:rPr>
      </w:pPr>
      <w:r w:rsidDel="00000000" w:rsidR="00000000" w:rsidRPr="00000000">
        <w:rPr>
          <w:rtl w:val="0"/>
        </w:rPr>
      </w:r>
    </w:p>
    <w:p w:rsidR="00000000" w:rsidDel="00000000" w:rsidP="00000000" w:rsidRDefault="00000000" w:rsidRPr="00000000" w14:paraId="00000045">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46">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47">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48">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49">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4A">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4B">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4C">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4D">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4E">
      <w:pPr>
        <w:pageBreakBefore w:val="0"/>
        <w:spacing w:line="480" w:lineRule="auto"/>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S2: Supplementary methods</w:t>
      </w:r>
    </w:p>
    <w:p w:rsidR="00000000" w:rsidDel="00000000" w:rsidP="00000000" w:rsidRDefault="00000000" w:rsidRPr="00000000" w14:paraId="0000004F">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50">
      <w:pPr>
        <w:pageBreakBefore w:val="0"/>
        <w:spacing w:line="480" w:lineRule="auto"/>
        <w:jc w:val="both"/>
        <w:rPr>
          <w:rFonts w:ascii="Cambria" w:cs="Cambria" w:eastAsia="Cambria" w:hAnsi="Cambria"/>
          <w:b w:val="1"/>
        </w:rPr>
      </w:pPr>
      <w:r w:rsidDel="00000000" w:rsidR="00000000" w:rsidRPr="00000000">
        <w:rPr>
          <w:rFonts w:ascii="Cambria" w:cs="Cambria" w:eastAsia="Cambria" w:hAnsi="Cambria"/>
          <w:b w:val="1"/>
          <w:rtl w:val="0"/>
        </w:rPr>
        <w:t xml:space="preserve">Sampling and DNA Extraction</w:t>
      </w:r>
    </w:p>
    <w:p w:rsidR="00000000" w:rsidDel="00000000" w:rsidP="00000000" w:rsidRDefault="00000000" w:rsidRPr="00000000" w14:paraId="00000051">
      <w:pPr>
        <w:pageBreakBefore w:val="0"/>
        <w:spacing w:line="480" w:lineRule="auto"/>
        <w:jc w:val="both"/>
        <w:rPr>
          <w:rFonts w:ascii="Cambria" w:cs="Cambria" w:eastAsia="Cambria" w:hAnsi="Cambria"/>
        </w:rPr>
      </w:pPr>
      <w:r w:rsidDel="00000000" w:rsidR="00000000" w:rsidRPr="00000000">
        <w:rPr>
          <w:rFonts w:ascii="Cambria" w:cs="Cambria" w:eastAsia="Cambria" w:hAnsi="Cambria"/>
          <w:rtl w:val="0"/>
        </w:rPr>
        <w:t xml:space="preserve">We sampled the petrous portion of the human temporal bone. Specifically, we targeted the osseous inner canal region. Previous studies have shown that this region contains higher amounts of endogenous DNA compared to other regions within the petrous. Samples were collected in two ways. Lab IDs VERT008, VERT015, and VERT035 were collected on site at Verteba Cave. Sterile collection conditions were utilized, which consisted of wearing coveralls, double gloves, and masks to limit modern sources of contamination. All other bones used in this study were sampled from the collection at the University of Wisconsin-Oshkosh by cutting out the petrous portion using a dremel tool. In both cases, samples were placed into sterile bags and brought to the lab at University College, Dublin for further processing. </w:t>
      </w:r>
    </w:p>
    <w:p w:rsidR="00000000" w:rsidDel="00000000" w:rsidP="00000000" w:rsidRDefault="00000000" w:rsidRPr="00000000" w14:paraId="00000052">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53">
      <w:pPr>
        <w:pageBreakBefore w:val="0"/>
        <w:spacing w:line="480" w:lineRule="auto"/>
        <w:jc w:val="both"/>
        <w:rPr>
          <w:rFonts w:ascii="Cambria" w:cs="Cambria" w:eastAsia="Cambria" w:hAnsi="Cambria"/>
        </w:rPr>
      </w:pPr>
      <w:r w:rsidDel="00000000" w:rsidR="00000000" w:rsidRPr="00000000">
        <w:rPr>
          <w:rFonts w:ascii="Cambria" w:cs="Cambria" w:eastAsia="Cambria" w:hAnsi="Cambria"/>
          <w:rtl w:val="0"/>
        </w:rPr>
        <w:t xml:space="preserve">All bone samples were UV irradiated in a cross-linker for 15 minutes on each side. A sandblaster (Renfert) was then used to isolate the cochlea from the petrous pyramid. A MixerMill (Rensch) was then used to powder the sample, resulting in 50-75 mg of bone powder for extraction. All samples were then extracted according to the silica-based protocol of Dabney et al. with the modification of the binding apparatus using Qiagen MinElute columns being replaced with the Roche Large Volume Viral Extender tubes. For each sample, 50-75 mg of powder was digested in 1mL of extraction buffer containing 0.45 M EDTA (pH 8.0) and 0.25 mg/mL of proteinase K. After around 18h incubation, samples were centrifuged at 13,000 rpm for 2 m. The supernatant was then added to 13 mL of binding buffer consisting of 5M Guanidine hydrochloride (MW 95.53), 40% Isopropanol, 0.05% Tween-20, and 9 mM Sodium Acetate in the Roche Extender columns. The 50-mL columns were centrifuged for 4 m at 1,500 x g. The columns were then washed twice in 650 mL of PE buffer (Qiagen), centrifuging at 6,000 rpm between washes. After the second wash, samples were centrifuged at 13,000 rpm. Samples were eluted two times in 25 µL of EBT after 10 m incubation at 37°C and centrifuged at 13,000 rpm for 30 sec, for a total of 50 µL extract. Extraction batches included negative controls (no DNA template). </w:t>
      </w:r>
    </w:p>
    <w:p w:rsidR="00000000" w:rsidDel="00000000" w:rsidP="00000000" w:rsidRDefault="00000000" w:rsidRPr="00000000" w14:paraId="00000054">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55">
      <w:pPr>
        <w:pageBreakBefore w:val="0"/>
        <w:spacing w:line="480" w:lineRule="auto"/>
        <w:jc w:val="both"/>
        <w:rPr>
          <w:rFonts w:ascii="Cambria" w:cs="Cambria" w:eastAsia="Cambria" w:hAnsi="Cambria"/>
          <w:b w:val="1"/>
        </w:rPr>
      </w:pPr>
      <w:r w:rsidDel="00000000" w:rsidR="00000000" w:rsidRPr="00000000">
        <w:rPr>
          <w:rFonts w:ascii="Cambria" w:cs="Cambria" w:eastAsia="Cambria" w:hAnsi="Cambria"/>
          <w:b w:val="1"/>
          <w:rtl w:val="0"/>
        </w:rPr>
        <w:t xml:space="preserve">Library construction and sequencing </w:t>
      </w:r>
    </w:p>
    <w:p w:rsidR="00000000" w:rsidDel="00000000" w:rsidP="00000000" w:rsidRDefault="00000000" w:rsidRPr="00000000" w14:paraId="00000056">
      <w:pPr>
        <w:pageBreakBefore w:val="0"/>
        <w:spacing w:line="480" w:lineRule="auto"/>
        <w:jc w:val="both"/>
        <w:rPr>
          <w:rFonts w:ascii="Cambria" w:cs="Cambria" w:eastAsia="Cambria" w:hAnsi="Cambria"/>
        </w:rPr>
      </w:pPr>
      <w:r w:rsidDel="00000000" w:rsidR="00000000" w:rsidRPr="00000000">
        <w:rPr>
          <w:rFonts w:ascii="Cambria" w:cs="Cambria" w:eastAsia="Cambria" w:hAnsi="Cambria"/>
          <w:rtl w:val="0"/>
        </w:rPr>
        <w:t xml:space="preserve">Illumina blunt-end libraries were built following the protocol of Meyer and Kircher, with modifications by Gamba et al. Libraries were prepared using 12.5-25 µL of DNA extract in a 70µL reaction volume for the blunt end repair step and 40µL reaction volumes for the adapter ligation and adapter fill-in steps. Blunt end repair was performed using NEB End Repair module. Samples were incubated for 15 m at 25°C followed by 5 m at 12°C. Ligation was performed using T4 DNA ligase buffer (10X), PEG-4000 (50%), adapter mix following Meyer and Kircher, and T4 DNA ligase (5U/µL). Samples were incubated for 30 m at 22°C. Adapter fill-in was performed using Thermopol Reaction Buffer (10X) dNTPs (10mM each), and Bst large fragment (8U/µL). Samples were incubated for 30 m at 37°C and enzyme inactivation was completed by incubating for 20 m at 80°C. Sample cleanup between blunt end repair and ligation, and between ligation an adapter fill-in using the MinElute PCR Purification kit (Qiagen) according to manufacturer’s instructions. Every batch of libraries contained a negative control using water. </w:t>
      </w:r>
    </w:p>
    <w:p w:rsidR="00000000" w:rsidDel="00000000" w:rsidP="00000000" w:rsidRDefault="00000000" w:rsidRPr="00000000" w14:paraId="00000057">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58">
      <w:pPr>
        <w:pageBreakBefore w:val="0"/>
        <w:spacing w:line="480" w:lineRule="auto"/>
        <w:jc w:val="both"/>
        <w:rPr>
          <w:rFonts w:ascii="Cambria" w:cs="Cambria" w:eastAsia="Cambria" w:hAnsi="Cambria"/>
        </w:rPr>
      </w:pPr>
      <w:r w:rsidDel="00000000" w:rsidR="00000000" w:rsidRPr="00000000">
        <w:rPr>
          <w:rFonts w:ascii="Cambria" w:cs="Cambria" w:eastAsia="Cambria" w:hAnsi="Cambria"/>
          <w:rtl w:val="0"/>
        </w:rPr>
        <w:t xml:space="preserve">The library amplification step was set up using Accuprime pfx Supermix, primer IS4 (10µM), a specific indexing primer (0.2µM), and 3µL of library template, for a total of 25µL reaction mixture. Amplification took place under the following thermal cycling conditions: 5 min at 95°C; 12 cycles of 15 sec at 95°C, 30 sec at 60°C and 30 sec at 68°C; and a final extension step of 5 min at 68°C. The resulting PCR product was purified using the MinElute PCR Purification kit (Qiagen) as described previously. Quantification and quality assessment of the amplified libraries was performed on an Agilent 2100 Bioanalyzer, using a DNA-1000 chip, and a Qubit 2.0 Fluorometer, following manufacturer's protocols.</w:t>
      </w:r>
    </w:p>
    <w:p w:rsidR="00000000" w:rsidDel="00000000" w:rsidP="00000000" w:rsidRDefault="00000000" w:rsidRPr="00000000" w14:paraId="00000059">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5A">
      <w:pPr>
        <w:pageBreakBefore w:val="0"/>
        <w:spacing w:line="480" w:lineRule="auto"/>
        <w:jc w:val="both"/>
        <w:rPr>
          <w:rFonts w:ascii="Cambria" w:cs="Cambria" w:eastAsia="Cambria" w:hAnsi="Cambria"/>
        </w:rPr>
      </w:pPr>
      <w:r w:rsidDel="00000000" w:rsidR="00000000" w:rsidRPr="00000000">
        <w:rPr>
          <w:rFonts w:ascii="Cambria" w:cs="Cambria" w:eastAsia="Cambria" w:hAnsi="Cambria"/>
          <w:rtl w:val="0"/>
        </w:rPr>
        <w:t xml:space="preserve">One amplified library from each sample was first screened on an Illumina MiSeq platform (Core Genomics Center, University College, Dublin) using 70 bp single-end sequencing and following the manufacturer’s instructions for multiplex sequencing. The results of this sequencing were used to estimate  endogenous DNA contents. After screening, an additional 19 libraries were single-end sequenced on an Illumina NextSeq using the High Output 550/500 kit, following manufacturer’s instructions for multiplex sequencing. </w:t>
      </w:r>
    </w:p>
    <w:p w:rsidR="00000000" w:rsidDel="00000000" w:rsidP="00000000" w:rsidRDefault="00000000" w:rsidRPr="00000000" w14:paraId="0000005B">
      <w:pPr>
        <w:pageBreakBefore w:val="0"/>
        <w:spacing w:line="48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5C">
      <w:pPr>
        <w:pageBreakBefore w:val="0"/>
        <w:spacing w:line="480" w:lineRule="auto"/>
        <w:jc w:val="both"/>
        <w:rPr>
          <w:rFonts w:ascii="Cambria" w:cs="Cambria" w:eastAsia="Cambria" w:hAnsi="Cambria"/>
          <w:b w:val="1"/>
        </w:rPr>
      </w:pPr>
      <w:bookmarkStart w:colFirst="0" w:colLast="0" w:name="_5ng1rlnuqmd7" w:id="0"/>
      <w:bookmarkEnd w:id="0"/>
      <w:r w:rsidDel="00000000" w:rsidR="00000000" w:rsidRPr="00000000">
        <w:rPr>
          <w:rFonts w:ascii="Cambria" w:cs="Cambria" w:eastAsia="Cambria" w:hAnsi="Cambria"/>
          <w:b w:val="1"/>
          <w:rtl w:val="0"/>
        </w:rPr>
        <w:t xml:space="preserve">Data Authenticity and contamination estimation</w:t>
      </w:r>
    </w:p>
    <w:p w:rsidR="00000000" w:rsidDel="00000000" w:rsidP="00000000" w:rsidRDefault="00000000" w:rsidRPr="00000000" w14:paraId="0000005D">
      <w:pPr>
        <w:pageBreakBefore w:val="0"/>
        <w:spacing w:line="480" w:lineRule="auto"/>
        <w:jc w:val="both"/>
        <w:rPr>
          <w:rFonts w:ascii="Cambria" w:cs="Cambria" w:eastAsia="Cambria" w:hAnsi="Cambria"/>
        </w:rPr>
      </w:pPr>
      <w:bookmarkStart w:colFirst="0" w:colLast="0" w:name="_5vq43vt3ecu1" w:id="1"/>
      <w:bookmarkEnd w:id="1"/>
      <w:r w:rsidDel="00000000" w:rsidR="00000000" w:rsidRPr="00000000">
        <w:rPr>
          <w:rFonts w:ascii="Cambria" w:cs="Cambria" w:eastAsia="Cambria" w:hAnsi="Cambria"/>
          <w:rtl w:val="0"/>
        </w:rPr>
        <w:t xml:space="preserve">To authenticate the data we examined the deamination pattern with mapDamage 2.0 (Jónsson 2013). The amount of deamination in the read ends is shown in Supplementary table 9. All samples exhibit deamination values concordant with the age of the samples.</w:t>
      </w:r>
    </w:p>
    <w:p w:rsidR="00000000" w:rsidDel="00000000" w:rsidP="00000000" w:rsidRDefault="00000000" w:rsidRPr="00000000" w14:paraId="0000005E">
      <w:pPr>
        <w:pageBreakBefore w:val="0"/>
        <w:spacing w:line="480" w:lineRule="auto"/>
        <w:jc w:val="both"/>
        <w:rPr>
          <w:rFonts w:ascii="Cambria" w:cs="Cambria" w:eastAsia="Cambria" w:hAnsi="Cambria"/>
        </w:rPr>
      </w:pPr>
      <w:bookmarkStart w:colFirst="0" w:colLast="0" w:name="_2b71qwyp4qdf" w:id="2"/>
      <w:bookmarkEnd w:id="2"/>
      <w:r w:rsidDel="00000000" w:rsidR="00000000" w:rsidRPr="00000000">
        <w:rPr>
          <w:rtl w:val="0"/>
        </w:rPr>
      </w:r>
    </w:p>
    <w:p w:rsidR="00000000" w:rsidDel="00000000" w:rsidP="00000000" w:rsidRDefault="00000000" w:rsidRPr="00000000" w14:paraId="0000005F">
      <w:pPr>
        <w:pageBreakBefore w:val="0"/>
        <w:spacing w:line="480" w:lineRule="auto"/>
        <w:jc w:val="both"/>
        <w:rPr>
          <w:rFonts w:ascii="Cambria" w:cs="Cambria" w:eastAsia="Cambria" w:hAnsi="Cambria"/>
        </w:rPr>
      </w:pPr>
      <w:bookmarkStart w:colFirst="0" w:colLast="0" w:name="_9deyiprvww0l" w:id="3"/>
      <w:bookmarkEnd w:id="3"/>
      <w:r w:rsidDel="00000000" w:rsidR="00000000" w:rsidRPr="00000000">
        <w:rPr>
          <w:rFonts w:ascii="Cambria" w:cs="Cambria" w:eastAsia="Cambria" w:hAnsi="Cambria"/>
          <w:rtl w:val="0"/>
        </w:rPr>
        <w:t xml:space="preserve">Supplementary table 9: Deamination rate of the sequenced samples</w:t>
      </w:r>
    </w:p>
    <w:tbl>
      <w:tblPr>
        <w:tblStyle w:val="Table2"/>
        <w:tblW w:w="5160.0" w:type="dxa"/>
        <w:jc w:val="left"/>
        <w:tblInd w:w="8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1425"/>
        <w:gridCol w:w="1515"/>
        <w:tblGridChange w:id="0">
          <w:tblGrid>
            <w:gridCol w:w="2220"/>
            <w:gridCol w:w="1425"/>
            <w:gridCol w:w="1515"/>
          </w:tblGrid>
        </w:tblGridChange>
      </w:tblGrid>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Sample</w:t>
            </w:r>
          </w:p>
        </w:tc>
        <w:tc>
          <w:tcPr>
            <w:tcMar>
              <w:top w:w="100.0" w:type="dxa"/>
              <w:left w:w="100.0" w:type="dxa"/>
              <w:bottom w:w="100.0" w:type="dxa"/>
              <w:right w:w="100.0" w:type="dxa"/>
            </w:tcMar>
            <w:vAlign w:val="top"/>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5’ C&gt;T (%)</w:t>
            </w:r>
          </w:p>
        </w:tc>
        <w:tc>
          <w:tcPr>
            <w:tcMar>
              <w:top w:w="100.0" w:type="dxa"/>
              <w:left w:w="100.0" w:type="dxa"/>
              <w:bottom w:w="100.0" w:type="dxa"/>
              <w:right w:w="100.0" w:type="dxa"/>
            </w:tcMar>
            <w:vAlign w:val="top"/>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3’ G&gt;A (%)</w:t>
            </w:r>
          </w:p>
        </w:tc>
      </w:tr>
      <w:tr>
        <w:trPr>
          <w:cantSplit w:val="0"/>
          <w:trHeight w:val="195" w:hRule="atLeast"/>
          <w:tblHeader w:val="0"/>
        </w:trPr>
        <w:tc>
          <w:tcPr>
            <w:tcBorders>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63">
            <w:pPr>
              <w:pageBreakBefore w:val="0"/>
              <w:widowControl w:val="0"/>
              <w:spacing w:line="480" w:lineRule="auto"/>
              <w:jc w:val="center"/>
              <w:rPr>
                <w:rFonts w:ascii="Cambria" w:cs="Cambria" w:eastAsia="Cambria" w:hAnsi="Cambria"/>
              </w:rPr>
            </w:pPr>
            <w:r w:rsidDel="00000000" w:rsidR="00000000" w:rsidRPr="00000000">
              <w:rPr>
                <w:rFonts w:ascii="Cambria" w:cs="Cambria" w:eastAsia="Cambria" w:hAnsi="Cambria"/>
                <w:rtl w:val="0"/>
              </w:rPr>
              <w:t xml:space="preserve">VERT113</w:t>
            </w:r>
          </w:p>
        </w:tc>
        <w:tc>
          <w:tcPr>
            <w:tcBorders>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9,3%</w:t>
            </w:r>
          </w:p>
        </w:tc>
        <w:tc>
          <w:tcPr>
            <w:tcBorders>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65">
            <w:pPr>
              <w:pageBreakBefore w:val="0"/>
              <w:widowControl w:val="0"/>
              <w:spacing w:line="480" w:lineRule="auto"/>
              <w:jc w:val="center"/>
              <w:rPr>
                <w:rFonts w:ascii="Cambria" w:cs="Cambria" w:eastAsia="Cambria" w:hAnsi="Cambria"/>
              </w:rPr>
            </w:pPr>
            <w:r w:rsidDel="00000000" w:rsidR="00000000" w:rsidRPr="00000000">
              <w:rPr>
                <w:rFonts w:ascii="Cambria" w:cs="Cambria" w:eastAsia="Cambria" w:hAnsi="Cambria"/>
                <w:rtl w:val="0"/>
              </w:rPr>
              <w:t xml:space="preserve">9,6%</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66">
            <w:pPr>
              <w:pageBreakBefore w:val="0"/>
              <w:widowControl w:val="0"/>
              <w:spacing w:line="480" w:lineRule="auto"/>
              <w:jc w:val="center"/>
              <w:rPr>
                <w:rFonts w:ascii="Cambria" w:cs="Cambria" w:eastAsia="Cambria" w:hAnsi="Cambria"/>
              </w:rPr>
            </w:pPr>
            <w:r w:rsidDel="00000000" w:rsidR="00000000" w:rsidRPr="00000000">
              <w:rPr>
                <w:rFonts w:ascii="Cambria" w:cs="Cambria" w:eastAsia="Cambria" w:hAnsi="Cambria"/>
                <w:rtl w:val="0"/>
              </w:rPr>
              <w:t xml:space="preserve">VERT107</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13,4%</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11,72%</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69">
            <w:pPr>
              <w:pageBreakBefore w:val="0"/>
              <w:widowControl w:val="0"/>
              <w:spacing w:line="480" w:lineRule="auto"/>
              <w:jc w:val="center"/>
              <w:rPr>
                <w:rFonts w:ascii="Cambria" w:cs="Cambria" w:eastAsia="Cambria" w:hAnsi="Cambria"/>
              </w:rPr>
            </w:pPr>
            <w:r w:rsidDel="00000000" w:rsidR="00000000" w:rsidRPr="00000000">
              <w:rPr>
                <w:rFonts w:ascii="Cambria" w:cs="Cambria" w:eastAsia="Cambria" w:hAnsi="Cambria"/>
                <w:rtl w:val="0"/>
              </w:rPr>
              <w:t xml:space="preserve">VERT105</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12,4%</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10,5%</w:t>
            </w:r>
          </w:p>
        </w:tc>
      </w:tr>
      <w:tr>
        <w:trPr>
          <w:cantSplit w:val="0"/>
          <w:trHeight w:val="75"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6C">
            <w:pPr>
              <w:pageBreakBefore w:val="0"/>
              <w:widowControl w:val="0"/>
              <w:spacing w:line="480" w:lineRule="auto"/>
              <w:jc w:val="center"/>
              <w:rPr>
                <w:rFonts w:ascii="Cambria" w:cs="Cambria" w:eastAsia="Cambria" w:hAnsi="Cambria"/>
              </w:rPr>
            </w:pPr>
            <w:r w:rsidDel="00000000" w:rsidR="00000000" w:rsidRPr="00000000">
              <w:rPr>
                <w:rFonts w:ascii="Cambria" w:cs="Cambria" w:eastAsia="Cambria" w:hAnsi="Cambria"/>
                <w:rtl w:val="0"/>
              </w:rPr>
              <w:t xml:space="preserve">VERT104</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10,8%</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9,4%</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6F">
            <w:pPr>
              <w:pageBreakBefore w:val="0"/>
              <w:widowControl w:val="0"/>
              <w:spacing w:line="480" w:lineRule="auto"/>
              <w:jc w:val="center"/>
              <w:rPr>
                <w:rFonts w:ascii="Cambria" w:cs="Cambria" w:eastAsia="Cambria" w:hAnsi="Cambria"/>
              </w:rPr>
            </w:pPr>
            <w:r w:rsidDel="00000000" w:rsidR="00000000" w:rsidRPr="00000000">
              <w:rPr>
                <w:rFonts w:ascii="Cambria" w:cs="Cambria" w:eastAsia="Cambria" w:hAnsi="Cambria"/>
                <w:rtl w:val="0"/>
              </w:rPr>
              <w:t xml:space="preserve">VERT103</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13,3%</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13%</w:t>
            </w:r>
          </w:p>
        </w:tc>
      </w:tr>
      <w:tr>
        <w:trPr>
          <w:cantSplit w:val="0"/>
          <w:trHeight w:val="345"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72">
            <w:pPr>
              <w:pageBreakBefore w:val="0"/>
              <w:widowControl w:val="0"/>
              <w:spacing w:line="480" w:lineRule="auto"/>
              <w:jc w:val="center"/>
              <w:rPr>
                <w:rFonts w:ascii="Cambria" w:cs="Cambria" w:eastAsia="Cambria" w:hAnsi="Cambria"/>
              </w:rPr>
            </w:pPr>
            <w:r w:rsidDel="00000000" w:rsidR="00000000" w:rsidRPr="00000000">
              <w:rPr>
                <w:rFonts w:ascii="Cambria" w:cs="Cambria" w:eastAsia="Cambria" w:hAnsi="Cambria"/>
                <w:rtl w:val="0"/>
              </w:rPr>
              <w:t xml:space="preserve">VERT100</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14,6%</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12,4%</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75">
            <w:pPr>
              <w:pageBreakBefore w:val="0"/>
              <w:widowControl w:val="0"/>
              <w:spacing w:line="480" w:lineRule="auto"/>
              <w:jc w:val="center"/>
              <w:rPr>
                <w:rFonts w:ascii="Cambria" w:cs="Cambria" w:eastAsia="Cambria" w:hAnsi="Cambria"/>
              </w:rPr>
            </w:pPr>
            <w:r w:rsidDel="00000000" w:rsidR="00000000" w:rsidRPr="00000000">
              <w:rPr>
                <w:rFonts w:ascii="Cambria" w:cs="Cambria" w:eastAsia="Cambria" w:hAnsi="Cambria"/>
                <w:rtl w:val="0"/>
              </w:rPr>
              <w:t xml:space="preserve">VERT015</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10,3%</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8,4%</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78">
            <w:pPr>
              <w:pageBreakBefore w:val="0"/>
              <w:widowControl w:val="0"/>
              <w:spacing w:line="480" w:lineRule="auto"/>
              <w:jc w:val="center"/>
              <w:rPr>
                <w:rFonts w:ascii="Cambria" w:cs="Cambria" w:eastAsia="Cambria" w:hAnsi="Cambria"/>
              </w:rPr>
            </w:pPr>
            <w:r w:rsidDel="00000000" w:rsidR="00000000" w:rsidRPr="00000000">
              <w:rPr>
                <w:rFonts w:ascii="Cambria" w:cs="Cambria" w:eastAsia="Cambria" w:hAnsi="Cambria"/>
                <w:rtl w:val="0"/>
              </w:rPr>
              <w:t xml:space="preserve">VERT008</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10,5%</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10,8%</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7B">
            <w:pPr>
              <w:pageBreakBefore w:val="0"/>
              <w:widowControl w:val="0"/>
              <w:spacing w:line="480" w:lineRule="auto"/>
              <w:jc w:val="center"/>
              <w:rPr>
                <w:rFonts w:ascii="Cambria" w:cs="Cambria" w:eastAsia="Cambria" w:hAnsi="Cambria"/>
              </w:rPr>
            </w:pPr>
            <w:r w:rsidDel="00000000" w:rsidR="00000000" w:rsidRPr="00000000">
              <w:rPr>
                <w:rFonts w:ascii="Cambria" w:cs="Cambria" w:eastAsia="Cambria" w:hAnsi="Cambria"/>
                <w:rtl w:val="0"/>
              </w:rPr>
              <w:t xml:space="preserve">VERT028</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11,7%</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11,5%</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7E">
            <w:pPr>
              <w:pageBreakBefore w:val="0"/>
              <w:widowControl w:val="0"/>
              <w:spacing w:line="480" w:lineRule="auto"/>
              <w:jc w:val="center"/>
              <w:rPr>
                <w:rFonts w:ascii="Cambria" w:cs="Cambria" w:eastAsia="Cambria" w:hAnsi="Cambria"/>
              </w:rPr>
            </w:pPr>
            <w:r w:rsidDel="00000000" w:rsidR="00000000" w:rsidRPr="00000000">
              <w:rPr>
                <w:rFonts w:ascii="Cambria" w:cs="Cambria" w:eastAsia="Cambria" w:hAnsi="Cambria"/>
                <w:rtl w:val="0"/>
              </w:rPr>
              <w:t xml:space="preserve">VERT029</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11,8%</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9,3%</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81">
            <w:pPr>
              <w:pageBreakBefore w:val="0"/>
              <w:widowControl w:val="0"/>
              <w:spacing w:line="480" w:lineRule="auto"/>
              <w:jc w:val="center"/>
              <w:rPr>
                <w:rFonts w:ascii="Cambria" w:cs="Cambria" w:eastAsia="Cambria" w:hAnsi="Cambria"/>
              </w:rPr>
            </w:pPr>
            <w:r w:rsidDel="00000000" w:rsidR="00000000" w:rsidRPr="00000000">
              <w:rPr>
                <w:rFonts w:ascii="Cambria" w:cs="Cambria" w:eastAsia="Cambria" w:hAnsi="Cambria"/>
                <w:rtl w:val="0"/>
              </w:rPr>
              <w:t xml:space="preserve">VERT030</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13,25</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12,3%</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84">
            <w:pPr>
              <w:pageBreakBefore w:val="0"/>
              <w:widowControl w:val="0"/>
              <w:spacing w:line="480" w:lineRule="auto"/>
              <w:jc w:val="center"/>
              <w:rPr>
                <w:rFonts w:ascii="Cambria" w:cs="Cambria" w:eastAsia="Cambria" w:hAnsi="Cambria"/>
              </w:rPr>
            </w:pPr>
            <w:r w:rsidDel="00000000" w:rsidR="00000000" w:rsidRPr="00000000">
              <w:rPr>
                <w:rFonts w:ascii="Cambria" w:cs="Cambria" w:eastAsia="Cambria" w:hAnsi="Cambria"/>
                <w:rtl w:val="0"/>
              </w:rPr>
              <w:t xml:space="preserve">VERT031</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9,6%</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9,3%</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87">
            <w:pPr>
              <w:pageBreakBefore w:val="0"/>
              <w:widowControl w:val="0"/>
              <w:spacing w:line="480" w:lineRule="auto"/>
              <w:jc w:val="center"/>
              <w:rPr>
                <w:rFonts w:ascii="Cambria" w:cs="Cambria" w:eastAsia="Cambria" w:hAnsi="Cambria"/>
              </w:rPr>
            </w:pPr>
            <w:r w:rsidDel="00000000" w:rsidR="00000000" w:rsidRPr="00000000">
              <w:rPr>
                <w:rFonts w:ascii="Cambria" w:cs="Cambria" w:eastAsia="Cambria" w:hAnsi="Cambria"/>
                <w:rtl w:val="0"/>
              </w:rPr>
              <w:t xml:space="preserve">VERT033</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11,4%</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10,9%</w:t>
            </w:r>
          </w:p>
        </w:tc>
      </w:tr>
      <w:tr>
        <w:trPr>
          <w:cantSplit w:val="0"/>
          <w:trHeight w:val="285"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8A">
            <w:pPr>
              <w:pageBreakBefore w:val="0"/>
              <w:widowControl w:val="0"/>
              <w:spacing w:line="480" w:lineRule="auto"/>
              <w:jc w:val="center"/>
              <w:rPr>
                <w:rFonts w:ascii="Cambria" w:cs="Cambria" w:eastAsia="Cambria" w:hAnsi="Cambria"/>
              </w:rPr>
            </w:pPr>
            <w:r w:rsidDel="00000000" w:rsidR="00000000" w:rsidRPr="00000000">
              <w:rPr>
                <w:rFonts w:ascii="Cambria" w:cs="Cambria" w:eastAsia="Cambria" w:hAnsi="Cambria"/>
                <w:rtl w:val="0"/>
              </w:rPr>
              <w:t xml:space="preserve">VERT035</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9,2%</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10,2%</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8D">
            <w:pPr>
              <w:pageBreakBefore w:val="0"/>
              <w:widowControl w:val="0"/>
              <w:spacing w:line="480" w:lineRule="auto"/>
              <w:jc w:val="center"/>
              <w:rPr>
                <w:rFonts w:ascii="Cambria" w:cs="Cambria" w:eastAsia="Cambria" w:hAnsi="Cambria"/>
              </w:rPr>
            </w:pPr>
            <w:r w:rsidDel="00000000" w:rsidR="00000000" w:rsidRPr="00000000">
              <w:rPr>
                <w:rFonts w:ascii="Cambria" w:cs="Cambria" w:eastAsia="Cambria" w:hAnsi="Cambria"/>
                <w:rtl w:val="0"/>
              </w:rPr>
              <w:t xml:space="preserve">VERT111</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19,1%</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18,5%</w:t>
            </w:r>
          </w:p>
        </w:tc>
      </w:tr>
      <w:tr>
        <w:trPr>
          <w:cantSplit w:val="0"/>
          <w:trHeight w:val="300"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90">
            <w:pPr>
              <w:pageBreakBefore w:val="0"/>
              <w:widowControl w:val="0"/>
              <w:spacing w:line="480" w:lineRule="auto"/>
              <w:jc w:val="center"/>
              <w:rPr>
                <w:rFonts w:ascii="Cambria" w:cs="Cambria" w:eastAsia="Cambria" w:hAnsi="Cambria"/>
              </w:rPr>
            </w:pPr>
            <w:r w:rsidDel="00000000" w:rsidR="00000000" w:rsidRPr="00000000">
              <w:rPr>
                <w:rFonts w:ascii="Cambria" w:cs="Cambria" w:eastAsia="Cambria" w:hAnsi="Cambria"/>
                <w:rtl w:val="0"/>
              </w:rPr>
              <w:t xml:space="preserve">VERT114</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23,6%</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17%</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93">
            <w:pPr>
              <w:pageBreakBefore w:val="0"/>
              <w:widowControl w:val="0"/>
              <w:spacing w:line="480" w:lineRule="auto"/>
              <w:jc w:val="center"/>
              <w:rPr>
                <w:rFonts w:ascii="Cambria" w:cs="Cambria" w:eastAsia="Cambria" w:hAnsi="Cambria"/>
              </w:rPr>
            </w:pPr>
            <w:r w:rsidDel="00000000" w:rsidR="00000000" w:rsidRPr="00000000">
              <w:rPr>
                <w:rFonts w:ascii="Cambria" w:cs="Cambria" w:eastAsia="Cambria" w:hAnsi="Cambria"/>
                <w:rtl w:val="0"/>
              </w:rPr>
              <w:t xml:space="preserve">VERT115</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23,1%</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22,6%</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96">
            <w:pPr>
              <w:pageBreakBefore w:val="0"/>
              <w:widowControl w:val="0"/>
              <w:spacing w:line="480" w:lineRule="auto"/>
              <w:jc w:val="center"/>
              <w:rPr>
                <w:rFonts w:ascii="Cambria" w:cs="Cambria" w:eastAsia="Cambria" w:hAnsi="Cambria"/>
              </w:rPr>
            </w:pPr>
            <w:r w:rsidDel="00000000" w:rsidR="00000000" w:rsidRPr="00000000">
              <w:rPr>
                <w:rFonts w:ascii="Cambria" w:cs="Cambria" w:eastAsia="Cambria" w:hAnsi="Cambria"/>
                <w:rtl w:val="0"/>
              </w:rPr>
              <w:t xml:space="preserve">VERT117</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21,1%</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21,2%</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99">
            <w:pPr>
              <w:pageBreakBefore w:val="0"/>
              <w:widowControl w:val="0"/>
              <w:spacing w:line="480" w:lineRule="auto"/>
              <w:jc w:val="center"/>
              <w:rPr>
                <w:rFonts w:ascii="Cambria" w:cs="Cambria" w:eastAsia="Cambria" w:hAnsi="Cambria"/>
              </w:rPr>
            </w:pPr>
            <w:r w:rsidDel="00000000" w:rsidR="00000000" w:rsidRPr="00000000">
              <w:rPr>
                <w:rFonts w:ascii="Cambria" w:cs="Cambria" w:eastAsia="Cambria" w:hAnsi="Cambria"/>
                <w:rtl w:val="0"/>
              </w:rPr>
              <w:t xml:space="preserve">VERT118</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19,0%</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19,8%</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9C">
            <w:pPr>
              <w:pageBreakBefore w:val="0"/>
              <w:widowControl w:val="0"/>
              <w:spacing w:line="480" w:lineRule="auto"/>
              <w:jc w:val="center"/>
              <w:rPr>
                <w:rFonts w:ascii="Cambria" w:cs="Cambria" w:eastAsia="Cambria" w:hAnsi="Cambria"/>
              </w:rPr>
            </w:pPr>
            <w:r w:rsidDel="00000000" w:rsidR="00000000" w:rsidRPr="00000000">
              <w:rPr>
                <w:rFonts w:ascii="Cambria" w:cs="Cambria" w:eastAsia="Cambria" w:hAnsi="Cambria"/>
                <w:rtl w:val="0"/>
              </w:rPr>
              <w:t xml:space="preserve">VERT106</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25,9%</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26%</w:t>
            </w:r>
          </w:p>
        </w:tc>
      </w:tr>
    </w:tbl>
    <w:p w:rsidR="00000000" w:rsidDel="00000000" w:rsidP="00000000" w:rsidRDefault="00000000" w:rsidRPr="00000000" w14:paraId="0000009F">
      <w:pPr>
        <w:pageBreakBefore w:val="0"/>
        <w:spacing w:line="480" w:lineRule="auto"/>
        <w:jc w:val="both"/>
        <w:rPr>
          <w:rFonts w:ascii="Cambria" w:cs="Cambria" w:eastAsia="Cambria" w:hAnsi="Cambria"/>
        </w:rPr>
      </w:pPr>
      <w:bookmarkStart w:colFirst="0" w:colLast="0" w:name="_suir33prlav6" w:id="4"/>
      <w:bookmarkEnd w:id="4"/>
      <w:r w:rsidDel="00000000" w:rsidR="00000000" w:rsidRPr="00000000">
        <w:rPr>
          <w:rtl w:val="0"/>
        </w:rPr>
      </w:r>
    </w:p>
    <w:p w:rsidR="00000000" w:rsidDel="00000000" w:rsidP="00000000" w:rsidRDefault="00000000" w:rsidRPr="00000000" w14:paraId="000000A0">
      <w:pPr>
        <w:pageBreakBefore w:val="0"/>
        <w:spacing w:line="480" w:lineRule="auto"/>
        <w:jc w:val="both"/>
        <w:rPr>
          <w:rFonts w:ascii="Cambria" w:cs="Cambria" w:eastAsia="Cambria" w:hAnsi="Cambria"/>
        </w:rPr>
      </w:pPr>
      <w:bookmarkStart w:colFirst="0" w:colLast="0" w:name="_x4v34653wwpk" w:id="5"/>
      <w:bookmarkEnd w:id="5"/>
      <w:r w:rsidDel="00000000" w:rsidR="00000000" w:rsidRPr="00000000">
        <w:rPr>
          <w:rFonts w:ascii="Cambria" w:cs="Cambria" w:eastAsia="Cambria" w:hAnsi="Cambria"/>
          <w:rtl w:val="0"/>
        </w:rPr>
        <w:t xml:space="preserve">We estimated the contamination of the samples using two methods: Mitochondrial contamination estimation with Schmutzi</w:t>
      </w:r>
      <w:hyperlink r:id="rId20">
        <w:r w:rsidDel="00000000" w:rsidR="00000000" w:rsidRPr="00000000">
          <w:rPr>
            <w:rFonts w:ascii="Cambria" w:cs="Cambria" w:eastAsia="Cambria" w:hAnsi="Cambria"/>
            <w:b w:val="0"/>
            <w:color w:val="000000"/>
            <w:u w:val="none"/>
            <w:vertAlign w:val="superscript"/>
            <w:rtl w:val="0"/>
          </w:rPr>
          <w:t xml:space="preserve">13</w:t>
        </w:r>
      </w:hyperlink>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rtl w:val="0"/>
        </w:rPr>
        <w:t xml:space="preserve">and X chromosome contamination in males with ANGSD</w:t>
      </w:r>
      <w:hyperlink r:id="rId21">
        <w:r w:rsidDel="00000000" w:rsidR="00000000" w:rsidRPr="00000000">
          <w:rPr>
            <w:rFonts w:ascii="Cambria" w:cs="Cambria" w:eastAsia="Cambria" w:hAnsi="Cambria"/>
            <w:b w:val="0"/>
            <w:color w:val="000000"/>
            <w:u w:val="none"/>
            <w:vertAlign w:val="superscript"/>
            <w:rtl w:val="0"/>
          </w:rPr>
          <w:t xml:space="preserve">14</w:t>
        </w:r>
      </w:hyperlink>
      <w:r w:rsidDel="00000000" w:rsidR="00000000" w:rsidRPr="00000000">
        <w:rPr>
          <w:rFonts w:ascii="Cambria" w:cs="Cambria" w:eastAsia="Cambria" w:hAnsi="Cambria"/>
          <w:rtl w:val="0"/>
        </w:rPr>
        <w:t xml:space="preserve">, both using default values. In both cases we did not detect a significant amount of contamination in any of the sequenced libraries (Table S1). </w:t>
      </w:r>
    </w:p>
    <w:p w:rsidR="00000000" w:rsidDel="00000000" w:rsidP="00000000" w:rsidRDefault="00000000" w:rsidRPr="00000000" w14:paraId="000000A1">
      <w:pPr>
        <w:pageBreakBefore w:val="0"/>
        <w:spacing w:line="480" w:lineRule="auto"/>
        <w:jc w:val="both"/>
        <w:rPr>
          <w:rFonts w:ascii="Cambria" w:cs="Cambria" w:eastAsia="Cambria" w:hAnsi="Cambria"/>
        </w:rPr>
      </w:pPr>
      <w:bookmarkStart w:colFirst="0" w:colLast="0" w:name="_frkw4fus15b8" w:id="6"/>
      <w:bookmarkEnd w:id="6"/>
      <w:r w:rsidDel="00000000" w:rsidR="00000000" w:rsidRPr="00000000">
        <w:br w:type="page"/>
      </w:r>
      <w:r w:rsidDel="00000000" w:rsidR="00000000" w:rsidRPr="00000000">
        <w:rPr>
          <w:rtl w:val="0"/>
        </w:rPr>
      </w:r>
    </w:p>
    <w:p w:rsidR="00000000" w:rsidDel="00000000" w:rsidP="00000000" w:rsidRDefault="00000000" w:rsidRPr="00000000" w14:paraId="000000A2">
      <w:pPr>
        <w:pageBreakBefore w:val="0"/>
        <w:spacing w:line="480" w:lineRule="auto"/>
        <w:jc w:val="both"/>
        <w:rPr>
          <w:rFonts w:ascii="Cambria" w:cs="Cambria" w:eastAsia="Cambria" w:hAnsi="Cambria"/>
        </w:rPr>
      </w:pPr>
      <w:bookmarkStart w:colFirst="0" w:colLast="0" w:name="_4ie0w4i97ge" w:id="7"/>
      <w:bookmarkEnd w:id="7"/>
      <w:r w:rsidDel="00000000" w:rsidR="00000000" w:rsidRPr="00000000">
        <w:rPr>
          <w:rtl w:val="0"/>
        </w:rPr>
      </w:r>
    </w:p>
    <w:p w:rsidR="00000000" w:rsidDel="00000000" w:rsidP="00000000" w:rsidRDefault="00000000" w:rsidRPr="00000000" w14:paraId="000000A3">
      <w:pPr>
        <w:pageBreakBefore w:val="0"/>
        <w:spacing w:line="480" w:lineRule="auto"/>
        <w:jc w:val="both"/>
        <w:rPr>
          <w:rFonts w:ascii="Cambria" w:cs="Cambria" w:eastAsia="Cambria" w:hAnsi="Cambria"/>
        </w:rPr>
      </w:pPr>
      <w:bookmarkStart w:colFirst="0" w:colLast="0" w:name="_b1jevmr72ccj" w:id="8"/>
      <w:bookmarkEnd w:id="8"/>
      <w:r w:rsidDel="00000000" w:rsidR="00000000" w:rsidRPr="00000000">
        <w:rPr>
          <w:rFonts w:ascii="Cambria" w:cs="Cambria" w:eastAsia="Cambria" w:hAnsi="Cambria"/>
          <w:sz w:val="28"/>
          <w:szCs w:val="28"/>
          <w:rtl w:val="0"/>
        </w:rPr>
        <w:t xml:space="preserve">S3: Supplementary figures</w:t>
      </w:r>
      <w:r w:rsidDel="00000000" w:rsidR="00000000" w:rsidRPr="00000000">
        <w:rPr>
          <w:rtl w:val="0"/>
        </w:rPr>
      </w:r>
    </w:p>
    <w:p w:rsidR="00000000" w:rsidDel="00000000" w:rsidP="00000000" w:rsidRDefault="00000000" w:rsidRPr="00000000" w14:paraId="000000A4">
      <w:pPr>
        <w:pageBreakBefore w:val="0"/>
        <w:spacing w:line="480" w:lineRule="auto"/>
        <w:jc w:val="both"/>
        <w:rPr>
          <w:rFonts w:ascii="Cambria" w:cs="Cambria" w:eastAsia="Cambria" w:hAnsi="Cambria"/>
        </w:rPr>
      </w:pPr>
      <w:bookmarkStart w:colFirst="0" w:colLast="0" w:name="_48pv8p9yozz" w:id="9"/>
      <w:bookmarkEnd w:id="9"/>
      <w:r w:rsidDel="00000000" w:rsidR="00000000" w:rsidRPr="00000000">
        <w:rPr>
          <w:rFonts w:ascii="Cambria" w:cs="Cambria" w:eastAsia="Cambria" w:hAnsi="Cambria"/>
          <w:rtl w:val="0"/>
        </w:rPr>
        <w:t xml:space="preserve">Figure S1: Admixture plots using K1-20 with 100 bootstrap replications. </w:t>
      </w:r>
    </w:p>
    <w:p w:rsidR="00000000" w:rsidDel="00000000" w:rsidP="00000000" w:rsidRDefault="00000000" w:rsidRPr="00000000" w14:paraId="000000A5">
      <w:pPr>
        <w:pageBreakBefore w:val="0"/>
        <w:spacing w:line="480" w:lineRule="auto"/>
        <w:jc w:val="both"/>
        <w:rPr>
          <w:rFonts w:ascii="Cambria" w:cs="Cambria" w:eastAsia="Cambria" w:hAnsi="Cambria"/>
        </w:rPr>
      </w:pPr>
      <w:bookmarkStart w:colFirst="0" w:colLast="0" w:name="_djtq2iiqwewq" w:id="10"/>
      <w:bookmarkEnd w:id="10"/>
      <w:r w:rsidDel="00000000" w:rsidR="00000000" w:rsidRPr="00000000">
        <w:rPr>
          <w:rFonts w:ascii="Cambria" w:cs="Cambria" w:eastAsia="Cambria" w:hAnsi="Cambria"/>
        </w:rPr>
        <w:drawing>
          <wp:inline distB="114300" distT="114300" distL="114300" distR="114300">
            <wp:extent cx="5357813" cy="5931076"/>
            <wp:effectExtent b="0" l="0" r="0" t="0"/>
            <wp:docPr id="3" name="image2.png"/>
            <a:graphic>
              <a:graphicData uri="http://schemas.openxmlformats.org/drawingml/2006/picture">
                <pic:pic>
                  <pic:nvPicPr>
                    <pic:cNvPr id="0" name="image2.png"/>
                    <pic:cNvPicPr preferRelativeResize="0"/>
                  </pic:nvPicPr>
                  <pic:blipFill>
                    <a:blip r:embed="rId22"/>
                    <a:srcRect b="920" l="4873" r="7400" t="0"/>
                    <a:stretch>
                      <a:fillRect/>
                    </a:stretch>
                  </pic:blipFill>
                  <pic:spPr>
                    <a:xfrm>
                      <a:off x="0" y="0"/>
                      <a:ext cx="5357813" cy="5931076"/>
                    </a:xfrm>
                    <a:prstGeom prst="rect"/>
                    <a:ln/>
                  </pic:spPr>
                </pic:pic>
              </a:graphicData>
            </a:graphic>
          </wp:inline>
        </w:drawing>
      </w:r>
      <w:r w:rsidDel="00000000" w:rsidR="00000000" w:rsidRPr="00000000">
        <w:rPr>
          <w:rtl w:val="0"/>
        </w:rPr>
      </w:r>
    </w:p>
    <w:p w:rsidR="00000000" w:rsidDel="00000000" w:rsidP="00000000" w:rsidRDefault="00000000" w:rsidRPr="00000000" w14:paraId="000000A6">
      <w:pPr>
        <w:pageBreakBefore w:val="0"/>
        <w:spacing w:line="480" w:lineRule="auto"/>
        <w:jc w:val="both"/>
        <w:rPr>
          <w:rFonts w:ascii="Cambria" w:cs="Cambria" w:eastAsia="Cambria" w:hAnsi="Cambria"/>
        </w:rPr>
      </w:pPr>
      <w:bookmarkStart w:colFirst="0" w:colLast="0" w:name="_zgtquxk521jo" w:id="11"/>
      <w:bookmarkEnd w:id="11"/>
      <w:r w:rsidDel="00000000" w:rsidR="00000000" w:rsidRPr="00000000">
        <w:rPr>
          <w:rtl w:val="0"/>
        </w:rPr>
      </w:r>
    </w:p>
    <w:p w:rsidR="00000000" w:rsidDel="00000000" w:rsidP="00000000" w:rsidRDefault="00000000" w:rsidRPr="00000000" w14:paraId="000000A7">
      <w:pPr>
        <w:pageBreakBefore w:val="0"/>
        <w:spacing w:line="480" w:lineRule="auto"/>
        <w:jc w:val="both"/>
        <w:rPr>
          <w:rFonts w:ascii="Cambria" w:cs="Cambria" w:eastAsia="Cambria" w:hAnsi="Cambria"/>
        </w:rPr>
      </w:pPr>
      <w:bookmarkStart w:colFirst="0" w:colLast="0" w:name="_b5njnuhn4beq" w:id="12"/>
      <w:bookmarkEnd w:id="12"/>
      <w:r w:rsidDel="00000000" w:rsidR="00000000" w:rsidRPr="00000000">
        <w:rPr>
          <w:rtl w:val="0"/>
        </w:rPr>
      </w:r>
    </w:p>
    <w:p w:rsidR="00000000" w:rsidDel="00000000" w:rsidP="00000000" w:rsidRDefault="00000000" w:rsidRPr="00000000" w14:paraId="000000A8">
      <w:pPr>
        <w:pageBreakBefore w:val="0"/>
        <w:spacing w:line="480" w:lineRule="auto"/>
        <w:jc w:val="both"/>
        <w:rPr>
          <w:rFonts w:ascii="Cambria" w:cs="Cambria" w:eastAsia="Cambria" w:hAnsi="Cambria"/>
        </w:rPr>
      </w:pPr>
      <w:bookmarkStart w:colFirst="0" w:colLast="0" w:name="_gkcvko3dalrc" w:id="13"/>
      <w:bookmarkEnd w:id="13"/>
      <w:r w:rsidDel="00000000" w:rsidR="00000000" w:rsidRPr="00000000">
        <w:rPr>
          <w:rtl w:val="0"/>
        </w:rPr>
      </w:r>
    </w:p>
    <w:p w:rsidR="00000000" w:rsidDel="00000000" w:rsidP="00000000" w:rsidRDefault="00000000" w:rsidRPr="00000000" w14:paraId="000000A9">
      <w:pPr>
        <w:pageBreakBefore w:val="0"/>
        <w:spacing w:line="480" w:lineRule="auto"/>
        <w:jc w:val="both"/>
        <w:rPr>
          <w:rFonts w:ascii="Cambria" w:cs="Cambria" w:eastAsia="Cambria" w:hAnsi="Cambria"/>
        </w:rPr>
      </w:pPr>
      <w:bookmarkStart w:colFirst="0" w:colLast="0" w:name="_xny2yna5uzfk" w:id="14"/>
      <w:bookmarkEnd w:id="14"/>
      <w:r w:rsidDel="00000000" w:rsidR="00000000" w:rsidRPr="00000000">
        <w:rPr>
          <w:rtl w:val="0"/>
        </w:rPr>
      </w:r>
    </w:p>
    <w:p w:rsidR="00000000" w:rsidDel="00000000" w:rsidP="00000000" w:rsidRDefault="00000000" w:rsidRPr="00000000" w14:paraId="000000AA">
      <w:pPr>
        <w:pageBreakBefore w:val="0"/>
        <w:spacing w:line="480" w:lineRule="auto"/>
        <w:jc w:val="both"/>
        <w:rPr>
          <w:rFonts w:ascii="Cambria" w:cs="Cambria" w:eastAsia="Cambria" w:hAnsi="Cambria"/>
        </w:rPr>
      </w:pPr>
      <w:bookmarkStart w:colFirst="0" w:colLast="0" w:name="_ejfdznlzfoeo" w:id="15"/>
      <w:bookmarkEnd w:id="15"/>
      <w:r w:rsidDel="00000000" w:rsidR="00000000" w:rsidRPr="00000000">
        <w:rPr>
          <w:rtl w:val="0"/>
        </w:rPr>
      </w:r>
    </w:p>
    <w:p w:rsidR="00000000" w:rsidDel="00000000" w:rsidP="00000000" w:rsidRDefault="00000000" w:rsidRPr="00000000" w14:paraId="000000AB">
      <w:pPr>
        <w:pageBreakBefore w:val="0"/>
        <w:spacing w:line="480" w:lineRule="auto"/>
        <w:jc w:val="both"/>
        <w:rPr>
          <w:rFonts w:ascii="Cambria" w:cs="Cambria" w:eastAsia="Cambria" w:hAnsi="Cambria"/>
        </w:rPr>
      </w:pPr>
      <w:bookmarkStart w:colFirst="0" w:colLast="0" w:name="_pyrgp3o3akz0" w:id="16"/>
      <w:bookmarkEnd w:id="16"/>
      <w:r w:rsidDel="00000000" w:rsidR="00000000" w:rsidRPr="00000000">
        <w:rPr>
          <w:rtl w:val="0"/>
        </w:rPr>
      </w:r>
    </w:p>
    <w:p w:rsidR="00000000" w:rsidDel="00000000" w:rsidP="00000000" w:rsidRDefault="00000000" w:rsidRPr="00000000" w14:paraId="000000AC">
      <w:pPr>
        <w:pageBreakBefore w:val="0"/>
        <w:spacing w:line="480" w:lineRule="auto"/>
        <w:jc w:val="both"/>
        <w:rPr>
          <w:rFonts w:ascii="Cambria" w:cs="Cambria" w:eastAsia="Cambria" w:hAnsi="Cambria"/>
        </w:rPr>
      </w:pPr>
      <w:bookmarkStart w:colFirst="0" w:colLast="0" w:name="_j7p9mpjq8qe6" w:id="17"/>
      <w:bookmarkEnd w:id="17"/>
      <w:r w:rsidDel="00000000" w:rsidR="00000000" w:rsidRPr="00000000">
        <w:rPr>
          <w:rFonts w:ascii="Cambria" w:cs="Cambria" w:eastAsia="Cambria" w:hAnsi="Cambria"/>
          <w:rtl w:val="0"/>
        </w:rPr>
        <w:t xml:space="preserve">Figure S2: D-statistics results of the tested samples in the combination </w:t>
      </w:r>
      <w:r w:rsidDel="00000000" w:rsidR="00000000" w:rsidRPr="00000000">
        <w:rPr>
          <w:rFonts w:ascii="Cambria" w:cs="Cambria" w:eastAsia="Cambria" w:hAnsi="Cambria"/>
          <w:i w:val="1"/>
          <w:rtl w:val="0"/>
        </w:rPr>
        <w:t xml:space="preserve">f</w:t>
      </w:r>
      <w:r w:rsidDel="00000000" w:rsidR="00000000" w:rsidRPr="00000000">
        <w:rPr>
          <w:rFonts w:ascii="Cambria" w:cs="Cambria" w:eastAsia="Cambria" w:hAnsi="Cambria"/>
          <w:vertAlign w:val="subscript"/>
          <w:rtl w:val="0"/>
        </w:rPr>
        <w:t xml:space="preserve">4</w:t>
      </w:r>
      <w:r w:rsidDel="00000000" w:rsidR="00000000" w:rsidRPr="00000000">
        <w:rPr>
          <w:rFonts w:ascii="Cambria" w:cs="Cambria" w:eastAsia="Cambria" w:hAnsi="Cambria"/>
          <w:rtl w:val="0"/>
        </w:rPr>
        <w:t xml:space="preserve">(Mbuti,Verteba;Russia_Samara_EBA_Yamnaya,X). </w:t>
      </w:r>
    </w:p>
    <w:p w:rsidR="00000000" w:rsidDel="00000000" w:rsidP="00000000" w:rsidRDefault="00000000" w:rsidRPr="00000000" w14:paraId="000000AD">
      <w:pPr>
        <w:pageBreakBefore w:val="0"/>
        <w:spacing w:line="480" w:lineRule="auto"/>
        <w:jc w:val="both"/>
        <w:rPr>
          <w:rFonts w:ascii="Cambria" w:cs="Cambria" w:eastAsia="Cambria" w:hAnsi="Cambria"/>
        </w:rPr>
      </w:pPr>
      <w:bookmarkStart w:colFirst="0" w:colLast="0" w:name="_jw2qhu4ejq9f" w:id="18"/>
      <w:bookmarkEnd w:id="18"/>
      <w:r w:rsidDel="00000000" w:rsidR="00000000" w:rsidRPr="00000000">
        <w:rPr>
          <w:rFonts w:ascii="Cambria" w:cs="Cambria" w:eastAsia="Cambria" w:hAnsi="Cambria"/>
        </w:rPr>
        <w:drawing>
          <wp:inline distB="114300" distT="114300" distL="114300" distR="114300">
            <wp:extent cx="4779169" cy="9558338"/>
            <wp:effectExtent b="0" l="0" r="0" t="0"/>
            <wp:docPr id="1" name="image3.png"/>
            <a:graphic>
              <a:graphicData uri="http://schemas.openxmlformats.org/drawingml/2006/picture">
                <pic:pic>
                  <pic:nvPicPr>
                    <pic:cNvPr id="0" name="image3.png"/>
                    <pic:cNvPicPr preferRelativeResize="0"/>
                  </pic:nvPicPr>
                  <pic:blipFill>
                    <a:blip r:embed="rId23"/>
                    <a:srcRect b="0" l="0" r="0" t="0"/>
                    <a:stretch>
                      <a:fillRect/>
                    </a:stretch>
                  </pic:blipFill>
                  <pic:spPr>
                    <a:xfrm>
                      <a:off x="0" y="0"/>
                      <a:ext cx="4779169" cy="9558338"/>
                    </a:xfrm>
                    <a:prstGeom prst="rect"/>
                    <a:ln/>
                  </pic:spPr>
                </pic:pic>
              </a:graphicData>
            </a:graphic>
          </wp:inline>
        </w:drawing>
      </w:r>
      <w:r w:rsidDel="00000000" w:rsidR="00000000" w:rsidRPr="00000000">
        <w:rPr>
          <w:rtl w:val="0"/>
        </w:rPr>
      </w:r>
    </w:p>
    <w:p w:rsidR="00000000" w:rsidDel="00000000" w:rsidP="00000000" w:rsidRDefault="00000000" w:rsidRPr="00000000" w14:paraId="000000AE">
      <w:pPr>
        <w:pageBreakBefore w:val="0"/>
        <w:spacing w:line="480" w:lineRule="auto"/>
        <w:jc w:val="both"/>
        <w:rPr>
          <w:rFonts w:ascii="Cambria" w:cs="Cambria" w:eastAsia="Cambria" w:hAnsi="Cambria"/>
        </w:rPr>
      </w:pPr>
      <w:bookmarkStart w:colFirst="0" w:colLast="0" w:name="_fu8mm71lc5m7" w:id="19"/>
      <w:bookmarkEnd w:id="19"/>
      <w:r w:rsidDel="00000000" w:rsidR="00000000" w:rsidRPr="00000000">
        <w:rPr>
          <w:rtl w:val="0"/>
        </w:rPr>
      </w:r>
    </w:p>
    <w:p w:rsidR="00000000" w:rsidDel="00000000" w:rsidP="00000000" w:rsidRDefault="00000000" w:rsidRPr="00000000" w14:paraId="000000AF">
      <w:pPr>
        <w:pageBreakBefore w:val="0"/>
        <w:spacing w:line="480" w:lineRule="auto"/>
        <w:jc w:val="both"/>
        <w:rPr>
          <w:rFonts w:ascii="Cambria" w:cs="Cambria" w:eastAsia="Cambria" w:hAnsi="Cambria"/>
        </w:rPr>
      </w:pPr>
      <w:bookmarkStart w:colFirst="0" w:colLast="0" w:name="_bryc37b9c8ff" w:id="20"/>
      <w:bookmarkEnd w:id="20"/>
      <w:r w:rsidDel="00000000" w:rsidR="00000000" w:rsidRPr="00000000">
        <w:rPr>
          <w:rFonts w:ascii="Cambria" w:cs="Cambria" w:eastAsia="Cambria" w:hAnsi="Cambria"/>
          <w:rtl w:val="0"/>
        </w:rPr>
        <w:t xml:space="preserve">Figure S3: sum of ROH of the studied genomes</w:t>
      </w:r>
    </w:p>
    <w:p w:rsidR="00000000" w:rsidDel="00000000" w:rsidP="00000000" w:rsidRDefault="00000000" w:rsidRPr="00000000" w14:paraId="000000B0">
      <w:pPr>
        <w:pageBreakBefore w:val="0"/>
        <w:spacing w:line="480" w:lineRule="auto"/>
        <w:jc w:val="both"/>
        <w:rPr>
          <w:rFonts w:ascii="Cambria" w:cs="Cambria" w:eastAsia="Cambria" w:hAnsi="Cambria"/>
        </w:rPr>
      </w:pPr>
      <w:bookmarkStart w:colFirst="0" w:colLast="0" w:name="_2yhz44kvgdoe" w:id="21"/>
      <w:bookmarkEnd w:id="21"/>
      <w:r w:rsidDel="00000000" w:rsidR="00000000" w:rsidRPr="00000000">
        <w:rPr>
          <w:rtl w:val="0"/>
        </w:rPr>
      </w:r>
    </w:p>
    <w:p w:rsidR="00000000" w:rsidDel="00000000" w:rsidP="00000000" w:rsidRDefault="00000000" w:rsidRPr="00000000" w14:paraId="000000B1">
      <w:pPr>
        <w:pageBreakBefore w:val="0"/>
        <w:spacing w:line="480" w:lineRule="auto"/>
        <w:jc w:val="both"/>
        <w:rPr>
          <w:rFonts w:ascii="Cambria" w:cs="Cambria" w:eastAsia="Cambria" w:hAnsi="Cambria"/>
        </w:rPr>
      </w:pPr>
      <w:bookmarkStart w:colFirst="0" w:colLast="0" w:name="_h6m7q8jkjqjg" w:id="22"/>
      <w:bookmarkEnd w:id="22"/>
      <w:r w:rsidDel="00000000" w:rsidR="00000000" w:rsidRPr="00000000">
        <w:rPr>
          <w:rFonts w:ascii="Cambria" w:cs="Cambria" w:eastAsia="Cambria" w:hAnsi="Cambria"/>
        </w:rPr>
        <w:drawing>
          <wp:inline distB="114300" distT="114300" distL="114300" distR="114300">
            <wp:extent cx="5640125" cy="1843088"/>
            <wp:effectExtent b="0" l="0" r="0" t="0"/>
            <wp:docPr id="2" name="image1.png"/>
            <a:graphic>
              <a:graphicData uri="http://schemas.openxmlformats.org/drawingml/2006/picture">
                <pic:pic>
                  <pic:nvPicPr>
                    <pic:cNvPr id="0" name="image1.png"/>
                    <pic:cNvPicPr preferRelativeResize="0"/>
                  </pic:nvPicPr>
                  <pic:blipFill>
                    <a:blip r:embed="rId24"/>
                    <a:srcRect b="0" l="0" r="26534" t="0"/>
                    <a:stretch>
                      <a:fillRect/>
                    </a:stretch>
                  </pic:blipFill>
                  <pic:spPr>
                    <a:xfrm>
                      <a:off x="0" y="0"/>
                      <a:ext cx="5640125" cy="1843088"/>
                    </a:xfrm>
                    <a:prstGeom prst="rect"/>
                    <a:ln/>
                  </pic:spPr>
                </pic:pic>
              </a:graphicData>
            </a:graphic>
          </wp:inline>
        </w:drawing>
      </w:r>
      <w:r w:rsidDel="00000000" w:rsidR="00000000" w:rsidRPr="00000000">
        <w:rPr>
          <w:rtl w:val="0"/>
        </w:rPr>
      </w:r>
    </w:p>
    <w:p w:rsidR="00000000" w:rsidDel="00000000" w:rsidP="00000000" w:rsidRDefault="00000000" w:rsidRPr="00000000" w14:paraId="000000B2">
      <w:pPr>
        <w:pageBreakBefore w:val="0"/>
        <w:spacing w:line="480" w:lineRule="auto"/>
        <w:jc w:val="both"/>
        <w:rPr>
          <w:rFonts w:ascii="Cambria" w:cs="Cambria" w:eastAsia="Cambria" w:hAnsi="Cambria"/>
        </w:rPr>
      </w:pPr>
      <w:bookmarkStart w:colFirst="0" w:colLast="0" w:name="_nmdhm4vkz3c0" w:id="23"/>
      <w:bookmarkEnd w:id="23"/>
      <w:r w:rsidDel="00000000" w:rsidR="00000000" w:rsidRPr="00000000">
        <w:rPr>
          <w:rtl w:val="0"/>
        </w:rPr>
      </w:r>
    </w:p>
    <w:p w:rsidR="00000000" w:rsidDel="00000000" w:rsidP="00000000" w:rsidRDefault="00000000" w:rsidRPr="00000000" w14:paraId="000000B3">
      <w:pPr>
        <w:pageBreakBefore w:val="0"/>
        <w:spacing w:line="480" w:lineRule="auto"/>
        <w:jc w:val="both"/>
        <w:rPr>
          <w:rFonts w:ascii="Cambria" w:cs="Cambria" w:eastAsia="Cambria" w:hAnsi="Cambria"/>
        </w:rPr>
      </w:pPr>
      <w:bookmarkStart w:colFirst="0" w:colLast="0" w:name="_t8266vptvr7q" w:id="24"/>
      <w:bookmarkEnd w:id="24"/>
      <w:r w:rsidDel="00000000" w:rsidR="00000000" w:rsidRPr="00000000">
        <w:rPr>
          <w:rtl w:val="0"/>
        </w:rPr>
      </w:r>
    </w:p>
    <w:p w:rsidR="00000000" w:rsidDel="00000000" w:rsidP="00000000" w:rsidRDefault="00000000" w:rsidRPr="00000000" w14:paraId="000000B4">
      <w:pPr>
        <w:pageBreakBefore w:val="0"/>
        <w:spacing w:line="480" w:lineRule="auto"/>
        <w:jc w:val="both"/>
        <w:rPr>
          <w:rFonts w:ascii="Cambria" w:cs="Cambria" w:eastAsia="Cambria" w:hAnsi="Cambria"/>
        </w:rPr>
      </w:pPr>
      <w:bookmarkStart w:colFirst="0" w:colLast="0" w:name="_qp4ae646kz12" w:id="25"/>
      <w:bookmarkEnd w:id="25"/>
      <w:r w:rsidDel="00000000" w:rsidR="00000000" w:rsidRPr="00000000">
        <w:rPr>
          <w:rtl w:val="0"/>
        </w:rPr>
      </w:r>
    </w:p>
    <w:p w:rsidR="00000000" w:rsidDel="00000000" w:rsidP="00000000" w:rsidRDefault="00000000" w:rsidRPr="00000000" w14:paraId="000000B5">
      <w:pPr>
        <w:pageBreakBefore w:val="0"/>
        <w:spacing w:line="480" w:lineRule="auto"/>
        <w:jc w:val="both"/>
        <w:rPr>
          <w:rFonts w:ascii="Cambria" w:cs="Cambria" w:eastAsia="Cambria" w:hAnsi="Cambria"/>
        </w:rPr>
      </w:pPr>
      <w:bookmarkStart w:colFirst="0" w:colLast="0" w:name="_nfwdbjtudoab" w:id="26"/>
      <w:bookmarkEnd w:id="26"/>
      <w:r w:rsidDel="00000000" w:rsidR="00000000" w:rsidRPr="00000000">
        <w:rPr>
          <w:rtl w:val="0"/>
        </w:rPr>
      </w:r>
    </w:p>
    <w:p w:rsidR="00000000" w:rsidDel="00000000" w:rsidP="00000000" w:rsidRDefault="00000000" w:rsidRPr="00000000" w14:paraId="000000B6">
      <w:pPr>
        <w:pageBreakBefore w:val="0"/>
        <w:spacing w:line="480" w:lineRule="auto"/>
        <w:jc w:val="both"/>
        <w:rPr>
          <w:rFonts w:ascii="Cambria" w:cs="Cambria" w:eastAsia="Cambria" w:hAnsi="Cambria"/>
        </w:rPr>
      </w:pPr>
      <w:bookmarkStart w:colFirst="0" w:colLast="0" w:name="_jin7piv68s0f" w:id="27"/>
      <w:bookmarkEnd w:id="27"/>
      <w:r w:rsidDel="00000000" w:rsidR="00000000" w:rsidRPr="00000000">
        <w:rPr>
          <w:rtl w:val="0"/>
        </w:rPr>
      </w:r>
    </w:p>
    <w:p w:rsidR="00000000" w:rsidDel="00000000" w:rsidP="00000000" w:rsidRDefault="00000000" w:rsidRPr="00000000" w14:paraId="000000B7">
      <w:pPr>
        <w:pageBreakBefore w:val="0"/>
        <w:spacing w:line="480" w:lineRule="auto"/>
        <w:jc w:val="both"/>
        <w:rPr>
          <w:rFonts w:ascii="Cambria" w:cs="Cambria" w:eastAsia="Cambria" w:hAnsi="Cambria"/>
        </w:rPr>
      </w:pPr>
      <w:bookmarkStart w:colFirst="0" w:colLast="0" w:name="_32wx0m2eze37" w:id="28"/>
      <w:bookmarkEnd w:id="28"/>
      <w:r w:rsidDel="00000000" w:rsidR="00000000" w:rsidRPr="00000000">
        <w:rPr>
          <w:rtl w:val="0"/>
        </w:rPr>
      </w:r>
    </w:p>
    <w:p w:rsidR="00000000" w:rsidDel="00000000" w:rsidP="00000000" w:rsidRDefault="00000000" w:rsidRPr="00000000" w14:paraId="000000B8">
      <w:pPr>
        <w:pageBreakBefore w:val="0"/>
        <w:spacing w:line="480" w:lineRule="auto"/>
        <w:jc w:val="both"/>
        <w:rPr>
          <w:rFonts w:ascii="Cambria" w:cs="Cambria" w:eastAsia="Cambria" w:hAnsi="Cambria"/>
        </w:rPr>
      </w:pPr>
      <w:bookmarkStart w:colFirst="0" w:colLast="0" w:name="_b047o6s0zrmi" w:id="29"/>
      <w:bookmarkEnd w:id="29"/>
      <w:r w:rsidDel="00000000" w:rsidR="00000000" w:rsidRPr="00000000">
        <w:rPr>
          <w:rtl w:val="0"/>
        </w:rPr>
      </w:r>
    </w:p>
    <w:p w:rsidR="00000000" w:rsidDel="00000000" w:rsidP="00000000" w:rsidRDefault="00000000" w:rsidRPr="00000000" w14:paraId="000000B9">
      <w:pPr>
        <w:pageBreakBefore w:val="0"/>
        <w:spacing w:line="480" w:lineRule="auto"/>
        <w:jc w:val="both"/>
        <w:rPr>
          <w:rFonts w:ascii="Cambria" w:cs="Cambria" w:eastAsia="Cambria" w:hAnsi="Cambria"/>
        </w:rPr>
      </w:pPr>
      <w:bookmarkStart w:colFirst="0" w:colLast="0" w:name="_jngejx2seyir" w:id="30"/>
      <w:bookmarkEnd w:id="30"/>
      <w:r w:rsidDel="00000000" w:rsidR="00000000" w:rsidRPr="00000000">
        <w:rPr>
          <w:rtl w:val="0"/>
        </w:rPr>
      </w:r>
    </w:p>
    <w:p w:rsidR="00000000" w:rsidDel="00000000" w:rsidP="00000000" w:rsidRDefault="00000000" w:rsidRPr="00000000" w14:paraId="000000BA">
      <w:pPr>
        <w:pageBreakBefore w:val="0"/>
        <w:spacing w:line="480" w:lineRule="auto"/>
        <w:jc w:val="both"/>
        <w:rPr>
          <w:rFonts w:ascii="Cambria" w:cs="Cambria" w:eastAsia="Cambria" w:hAnsi="Cambria"/>
        </w:rPr>
      </w:pPr>
      <w:bookmarkStart w:colFirst="0" w:colLast="0" w:name="_csoklgg0dvzp" w:id="31"/>
      <w:bookmarkEnd w:id="31"/>
      <w:r w:rsidDel="00000000" w:rsidR="00000000" w:rsidRPr="00000000">
        <w:rPr>
          <w:rtl w:val="0"/>
        </w:rPr>
      </w:r>
    </w:p>
    <w:p w:rsidR="00000000" w:rsidDel="00000000" w:rsidP="00000000" w:rsidRDefault="00000000" w:rsidRPr="00000000" w14:paraId="000000BB">
      <w:pPr>
        <w:pageBreakBefore w:val="0"/>
        <w:spacing w:line="480" w:lineRule="auto"/>
        <w:jc w:val="both"/>
        <w:rPr>
          <w:rFonts w:ascii="Cambria" w:cs="Cambria" w:eastAsia="Cambria" w:hAnsi="Cambria"/>
        </w:rPr>
      </w:pPr>
      <w:bookmarkStart w:colFirst="0" w:colLast="0" w:name="_so8k72l1i62a" w:id="32"/>
      <w:bookmarkEnd w:id="32"/>
      <w:r w:rsidDel="00000000" w:rsidR="00000000" w:rsidRPr="00000000">
        <w:rPr>
          <w:rtl w:val="0"/>
        </w:rPr>
      </w:r>
    </w:p>
    <w:p w:rsidR="00000000" w:rsidDel="00000000" w:rsidP="00000000" w:rsidRDefault="00000000" w:rsidRPr="00000000" w14:paraId="000000BC">
      <w:pPr>
        <w:pageBreakBefore w:val="0"/>
        <w:spacing w:line="480" w:lineRule="auto"/>
        <w:jc w:val="both"/>
        <w:rPr>
          <w:rFonts w:ascii="Cambria" w:cs="Cambria" w:eastAsia="Cambria" w:hAnsi="Cambria"/>
          <w:sz w:val="28"/>
          <w:szCs w:val="28"/>
        </w:rPr>
      </w:pPr>
      <w:bookmarkStart w:colFirst="0" w:colLast="0" w:name="_t47ee1n65swr" w:id="33"/>
      <w:bookmarkEnd w:id="33"/>
      <w:r w:rsidDel="00000000" w:rsidR="00000000" w:rsidRPr="00000000">
        <w:br w:type="page"/>
      </w:r>
      <w:r w:rsidDel="00000000" w:rsidR="00000000" w:rsidRPr="00000000">
        <w:rPr>
          <w:rtl w:val="0"/>
        </w:rPr>
      </w:r>
    </w:p>
    <w:p w:rsidR="00000000" w:rsidDel="00000000" w:rsidP="00000000" w:rsidRDefault="00000000" w:rsidRPr="00000000" w14:paraId="000000BD">
      <w:pPr>
        <w:pageBreakBefore w:val="0"/>
        <w:spacing w:line="480" w:lineRule="auto"/>
        <w:jc w:val="both"/>
        <w:rPr>
          <w:rFonts w:ascii="Cambria" w:cs="Cambria" w:eastAsia="Cambria" w:hAnsi="Cambria"/>
        </w:rPr>
      </w:pPr>
      <w:bookmarkStart w:colFirst="0" w:colLast="0" w:name="_nj5aeiv7rnpv" w:id="34"/>
      <w:bookmarkEnd w:id="34"/>
      <w:r w:rsidDel="00000000" w:rsidR="00000000" w:rsidRPr="00000000">
        <w:rPr>
          <w:rFonts w:ascii="Cambria" w:cs="Cambria" w:eastAsia="Cambria" w:hAnsi="Cambria"/>
          <w:sz w:val="28"/>
          <w:szCs w:val="28"/>
          <w:rtl w:val="0"/>
        </w:rPr>
        <w:t xml:space="preserve">S4: References</w:t>
      </w:r>
      <w:r w:rsidDel="00000000" w:rsidR="00000000" w:rsidRPr="00000000">
        <w:rPr>
          <w:rtl w:val="0"/>
        </w:rPr>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 w:line="480" w:lineRule="auto"/>
        <w:ind w:left="440" w:right="0" w:hanging="440"/>
        <w:jc w:val="left"/>
        <w:rPr>
          <w:rFonts w:ascii="Cambria" w:cs="Cambria" w:eastAsia="Cambria" w:hAnsi="Cambria"/>
          <w:b w:val="0"/>
          <w:i w:val="0"/>
          <w:color w:val="000000"/>
          <w:sz w:val="22"/>
          <w:szCs w:val="22"/>
        </w:rPr>
      </w:pPr>
      <w:r w:rsidDel="00000000" w:rsidR="00000000" w:rsidRPr="00000000">
        <w:rPr>
          <w:rFonts w:ascii="Cambria" w:cs="Cambria" w:eastAsia="Cambria" w:hAnsi="Cambria"/>
          <w:b w:val="0"/>
          <w:i w:val="0"/>
          <w:color w:val="000000"/>
          <w:sz w:val="22"/>
          <w:szCs w:val="22"/>
          <w:rtl w:val="0"/>
        </w:rPr>
        <w:t xml:space="preserve">1.</w:t>
        <w:tab/>
      </w:r>
      <w:hyperlink r:id="rId25">
        <w:r w:rsidDel="00000000" w:rsidR="00000000" w:rsidRPr="00000000">
          <w:rPr>
            <w:rFonts w:ascii="Cambria" w:cs="Cambria" w:eastAsia="Cambria" w:hAnsi="Cambria"/>
            <w:b w:val="0"/>
            <w:i w:val="0"/>
            <w:color w:val="000000"/>
            <w:sz w:val="22"/>
            <w:szCs w:val="22"/>
            <w:u w:val="none"/>
            <w:rtl w:val="0"/>
          </w:rPr>
          <w:t xml:space="preserve">Movsha, T. G. The Tripolye-cucuteni and the Lengyel-Polgar cultures. </w:t>
        </w:r>
      </w:hyperlink>
      <w:hyperlink r:id="rId26">
        <w:r w:rsidDel="00000000" w:rsidR="00000000" w:rsidRPr="00000000">
          <w:rPr>
            <w:rFonts w:ascii="Cambria" w:cs="Cambria" w:eastAsia="Cambria" w:hAnsi="Cambria"/>
            <w:b w:val="0"/>
            <w:i w:val="1"/>
            <w:color w:val="000000"/>
            <w:sz w:val="22"/>
            <w:szCs w:val="22"/>
            <w:u w:val="none"/>
            <w:rtl w:val="0"/>
          </w:rPr>
          <w:t xml:space="preserve">Balt.-Pontic Stud.</w:t>
        </w:r>
      </w:hyperlink>
      <w:hyperlink r:id="rId27">
        <w:r w:rsidDel="00000000" w:rsidR="00000000" w:rsidRPr="00000000">
          <w:rPr>
            <w:rFonts w:ascii="Cambria" w:cs="Cambria" w:eastAsia="Cambria" w:hAnsi="Cambria"/>
            <w:b w:val="0"/>
            <w:i w:val="0"/>
            <w:color w:val="000000"/>
            <w:sz w:val="22"/>
            <w:szCs w:val="22"/>
            <w:u w:val="none"/>
            <w:rtl w:val="0"/>
          </w:rPr>
          <w:t xml:space="preserve"> (2000).</w:t>
        </w:r>
      </w:hyperlink>
      <w:r w:rsidDel="00000000" w:rsidR="00000000" w:rsidRPr="00000000">
        <w:rPr>
          <w:rtl w:val="0"/>
        </w:rPr>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rFonts w:ascii="Cambria" w:cs="Cambria" w:eastAsia="Cambria" w:hAnsi="Cambria"/>
          <w:b w:val="0"/>
          <w:i w:val="0"/>
          <w:color w:val="000000"/>
          <w:sz w:val="22"/>
          <w:szCs w:val="22"/>
        </w:rPr>
      </w:pPr>
      <w:r w:rsidDel="00000000" w:rsidR="00000000" w:rsidRPr="00000000">
        <w:rPr>
          <w:rFonts w:ascii="Cambria" w:cs="Cambria" w:eastAsia="Cambria" w:hAnsi="Cambria"/>
          <w:b w:val="0"/>
          <w:i w:val="0"/>
          <w:color w:val="000000"/>
          <w:sz w:val="22"/>
          <w:szCs w:val="22"/>
          <w:rtl w:val="0"/>
        </w:rPr>
        <w:t xml:space="preserve">2.</w:t>
        <w:tab/>
      </w:r>
      <w:hyperlink r:id="rId28">
        <w:r w:rsidDel="00000000" w:rsidR="00000000" w:rsidRPr="00000000">
          <w:rPr>
            <w:rFonts w:ascii="Cambria" w:cs="Cambria" w:eastAsia="Cambria" w:hAnsi="Cambria"/>
            <w:b w:val="0"/>
            <w:i w:val="0"/>
            <w:color w:val="000000"/>
            <w:sz w:val="22"/>
            <w:szCs w:val="22"/>
            <w:u w:val="none"/>
            <w:rtl w:val="0"/>
          </w:rPr>
          <w:t xml:space="preserve">Kadrow, S. Gender-differentiated burial rites in Europe of the 5th and 4th millennia BC: attempts at traditional archaeological interpretation. (2008).</w:t>
        </w:r>
      </w:hyperlink>
      <w:r w:rsidDel="00000000" w:rsidR="00000000" w:rsidRPr="00000000">
        <w:rPr>
          <w:rtl w:val="0"/>
        </w:rPr>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rFonts w:ascii="Cambria" w:cs="Cambria" w:eastAsia="Cambria" w:hAnsi="Cambria"/>
          <w:b w:val="0"/>
          <w:i w:val="0"/>
          <w:color w:val="000000"/>
          <w:sz w:val="22"/>
          <w:szCs w:val="22"/>
        </w:rPr>
      </w:pPr>
      <w:r w:rsidDel="00000000" w:rsidR="00000000" w:rsidRPr="00000000">
        <w:rPr>
          <w:rFonts w:ascii="Cambria" w:cs="Cambria" w:eastAsia="Cambria" w:hAnsi="Cambria"/>
          <w:b w:val="0"/>
          <w:i w:val="0"/>
          <w:color w:val="000000"/>
          <w:sz w:val="22"/>
          <w:szCs w:val="22"/>
          <w:rtl w:val="0"/>
        </w:rPr>
        <w:t xml:space="preserve">3.</w:t>
        <w:tab/>
      </w:r>
      <w:hyperlink r:id="rId29">
        <w:r w:rsidDel="00000000" w:rsidR="00000000" w:rsidRPr="00000000">
          <w:rPr>
            <w:rFonts w:ascii="Cambria" w:cs="Cambria" w:eastAsia="Cambria" w:hAnsi="Cambria"/>
            <w:b w:val="0"/>
            <w:i w:val="0"/>
            <w:color w:val="000000"/>
            <w:sz w:val="22"/>
            <w:szCs w:val="22"/>
            <w:u w:val="none"/>
            <w:rtl w:val="0"/>
          </w:rPr>
          <w:t xml:space="preserve">Anthony, D. W. </w:t>
        </w:r>
      </w:hyperlink>
      <w:hyperlink r:id="rId30">
        <w:r w:rsidDel="00000000" w:rsidR="00000000" w:rsidRPr="00000000">
          <w:rPr>
            <w:rFonts w:ascii="Cambria" w:cs="Cambria" w:eastAsia="Cambria" w:hAnsi="Cambria"/>
            <w:b w:val="0"/>
            <w:i w:val="1"/>
            <w:color w:val="000000"/>
            <w:sz w:val="22"/>
            <w:szCs w:val="22"/>
            <w:u w:val="none"/>
            <w:rtl w:val="0"/>
          </w:rPr>
          <w:t xml:space="preserve">The Horse, the Wheel, and Language: How Bronze-Age Riders from the Eurasian Steppes Shaped the Modern World</w:t>
        </w:r>
      </w:hyperlink>
      <w:hyperlink r:id="rId31">
        <w:r w:rsidDel="00000000" w:rsidR="00000000" w:rsidRPr="00000000">
          <w:rPr>
            <w:rFonts w:ascii="Cambria" w:cs="Cambria" w:eastAsia="Cambria" w:hAnsi="Cambria"/>
            <w:b w:val="0"/>
            <w:i w:val="0"/>
            <w:color w:val="000000"/>
            <w:sz w:val="22"/>
            <w:szCs w:val="22"/>
            <w:u w:val="none"/>
            <w:rtl w:val="0"/>
          </w:rPr>
          <w:t xml:space="preserve">. (Princeton University Press, 2007).</w:t>
        </w:r>
      </w:hyperlink>
      <w:r w:rsidDel="00000000" w:rsidR="00000000" w:rsidRPr="00000000">
        <w:rPr>
          <w:rtl w:val="0"/>
        </w:rPr>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rFonts w:ascii="Cambria" w:cs="Cambria" w:eastAsia="Cambria" w:hAnsi="Cambria"/>
          <w:b w:val="0"/>
          <w:i w:val="0"/>
          <w:color w:val="000000"/>
          <w:sz w:val="22"/>
          <w:szCs w:val="22"/>
        </w:rPr>
      </w:pPr>
      <w:r w:rsidDel="00000000" w:rsidR="00000000" w:rsidRPr="00000000">
        <w:rPr>
          <w:rFonts w:ascii="Cambria" w:cs="Cambria" w:eastAsia="Cambria" w:hAnsi="Cambria"/>
          <w:b w:val="0"/>
          <w:i w:val="0"/>
          <w:color w:val="000000"/>
          <w:sz w:val="22"/>
          <w:szCs w:val="22"/>
          <w:rtl w:val="0"/>
        </w:rPr>
        <w:t xml:space="preserve">4.</w:t>
        <w:tab/>
      </w:r>
      <w:hyperlink r:id="rId32">
        <w:r w:rsidDel="00000000" w:rsidR="00000000" w:rsidRPr="00000000">
          <w:rPr>
            <w:rFonts w:ascii="Cambria" w:cs="Cambria" w:eastAsia="Cambria" w:hAnsi="Cambria"/>
            <w:b w:val="0"/>
            <w:i w:val="0"/>
            <w:color w:val="000000"/>
            <w:sz w:val="22"/>
            <w:szCs w:val="22"/>
            <w:u w:val="none"/>
            <w:rtl w:val="0"/>
          </w:rPr>
          <w:t xml:space="preserve">Zbenovich, V. G. The Tripolye culture: Centenary of research. </w:t>
        </w:r>
      </w:hyperlink>
      <w:hyperlink r:id="rId33">
        <w:r w:rsidDel="00000000" w:rsidR="00000000" w:rsidRPr="00000000">
          <w:rPr>
            <w:rFonts w:ascii="Cambria" w:cs="Cambria" w:eastAsia="Cambria" w:hAnsi="Cambria"/>
            <w:b w:val="0"/>
            <w:i w:val="1"/>
            <w:color w:val="000000"/>
            <w:sz w:val="22"/>
            <w:szCs w:val="22"/>
            <w:u w:val="none"/>
            <w:rtl w:val="0"/>
          </w:rPr>
          <w:t xml:space="preserve">Journal of World Prehistory</w:t>
        </w:r>
      </w:hyperlink>
      <w:hyperlink r:id="rId34">
        <w:r w:rsidDel="00000000" w:rsidR="00000000" w:rsidRPr="00000000">
          <w:rPr>
            <w:rFonts w:ascii="Cambria" w:cs="Cambria" w:eastAsia="Cambria" w:hAnsi="Cambria"/>
            <w:b w:val="0"/>
            <w:i w:val="0"/>
            <w:color w:val="000000"/>
            <w:sz w:val="22"/>
            <w:szCs w:val="22"/>
            <w:u w:val="none"/>
            <w:rtl w:val="0"/>
          </w:rPr>
          <w:t xml:space="preserve"> </w:t>
        </w:r>
      </w:hyperlink>
      <w:hyperlink r:id="rId35">
        <w:r w:rsidDel="00000000" w:rsidR="00000000" w:rsidRPr="00000000">
          <w:rPr>
            <w:rFonts w:ascii="Cambria" w:cs="Cambria" w:eastAsia="Cambria" w:hAnsi="Cambria"/>
            <w:b w:val="1"/>
            <w:i w:val="0"/>
            <w:color w:val="000000"/>
            <w:sz w:val="22"/>
            <w:szCs w:val="22"/>
            <w:u w:val="none"/>
            <w:rtl w:val="0"/>
          </w:rPr>
          <w:t xml:space="preserve">10</w:t>
        </w:r>
      </w:hyperlink>
      <w:hyperlink r:id="rId36">
        <w:r w:rsidDel="00000000" w:rsidR="00000000" w:rsidRPr="00000000">
          <w:rPr>
            <w:rFonts w:ascii="Cambria" w:cs="Cambria" w:eastAsia="Cambria" w:hAnsi="Cambria"/>
            <w:b w:val="0"/>
            <w:i w:val="0"/>
            <w:color w:val="000000"/>
            <w:sz w:val="22"/>
            <w:szCs w:val="22"/>
            <w:u w:val="none"/>
            <w:rtl w:val="0"/>
          </w:rPr>
          <w:t xml:space="preserve">, 199–241 (1996).</w:t>
        </w:r>
      </w:hyperlink>
      <w:r w:rsidDel="00000000" w:rsidR="00000000" w:rsidRPr="00000000">
        <w:rPr>
          <w:rtl w:val="0"/>
        </w:rPr>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rFonts w:ascii="Cambria" w:cs="Cambria" w:eastAsia="Cambria" w:hAnsi="Cambria"/>
          <w:b w:val="0"/>
          <w:i w:val="0"/>
          <w:color w:val="000000"/>
          <w:sz w:val="22"/>
          <w:szCs w:val="22"/>
        </w:rPr>
      </w:pPr>
      <w:r w:rsidDel="00000000" w:rsidR="00000000" w:rsidRPr="00000000">
        <w:rPr>
          <w:rFonts w:ascii="Cambria" w:cs="Cambria" w:eastAsia="Cambria" w:hAnsi="Cambria"/>
          <w:b w:val="0"/>
          <w:i w:val="0"/>
          <w:color w:val="000000"/>
          <w:sz w:val="22"/>
          <w:szCs w:val="22"/>
          <w:rtl w:val="0"/>
        </w:rPr>
        <w:t xml:space="preserve">5.</w:t>
        <w:tab/>
      </w:r>
      <w:hyperlink r:id="rId37">
        <w:r w:rsidDel="00000000" w:rsidR="00000000" w:rsidRPr="00000000">
          <w:rPr>
            <w:rFonts w:ascii="Cambria" w:cs="Cambria" w:eastAsia="Cambria" w:hAnsi="Cambria"/>
            <w:b w:val="0"/>
            <w:i w:val="0"/>
            <w:color w:val="000000"/>
            <w:sz w:val="22"/>
            <w:szCs w:val="22"/>
            <w:u w:val="none"/>
            <w:rtl w:val="0"/>
          </w:rPr>
          <w:t xml:space="preserve">Dergachev, V. A. </w:t>
        </w:r>
      </w:hyperlink>
      <w:hyperlink r:id="rId38">
        <w:r w:rsidDel="00000000" w:rsidR="00000000" w:rsidRPr="00000000">
          <w:rPr>
            <w:rFonts w:ascii="Cambria" w:cs="Cambria" w:eastAsia="Cambria" w:hAnsi="Cambria"/>
            <w:b w:val="0"/>
            <w:i w:val="1"/>
            <w:color w:val="000000"/>
            <w:sz w:val="22"/>
            <w:szCs w:val="22"/>
            <w:u w:val="none"/>
            <w:rtl w:val="0"/>
          </w:rPr>
          <w:t xml:space="preserve">Vykhvatinskiĭ</w:t>
        </w:r>
      </w:hyperlink>
      <w:hyperlink r:id="rId39">
        <w:r w:rsidDel="00000000" w:rsidR="00000000" w:rsidRPr="00000000">
          <w:rPr>
            <w:rFonts w:ascii="Cambria" w:cs="Cambria" w:eastAsia="Cambria" w:hAnsi="Cambria"/>
            <w:b w:val="0"/>
            <w:i w:val="0"/>
            <w:color w:val="000000"/>
            <w:sz w:val="22"/>
            <w:szCs w:val="22"/>
            <w:u w:val="none"/>
            <w:rtl w:val="0"/>
          </w:rPr>
          <w:t xml:space="preserve">. (Shtiint︠s︡a, 1978).</w:t>
        </w:r>
      </w:hyperlink>
      <w:r w:rsidDel="00000000" w:rsidR="00000000" w:rsidRPr="00000000">
        <w:rPr>
          <w:rtl w:val="0"/>
        </w:rPr>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rFonts w:ascii="Cambria" w:cs="Cambria" w:eastAsia="Cambria" w:hAnsi="Cambria"/>
          <w:b w:val="0"/>
          <w:i w:val="0"/>
          <w:color w:val="000000"/>
          <w:sz w:val="22"/>
          <w:szCs w:val="22"/>
        </w:rPr>
      </w:pPr>
      <w:r w:rsidDel="00000000" w:rsidR="00000000" w:rsidRPr="00000000">
        <w:rPr>
          <w:rFonts w:ascii="Cambria" w:cs="Cambria" w:eastAsia="Cambria" w:hAnsi="Cambria"/>
          <w:b w:val="0"/>
          <w:i w:val="0"/>
          <w:color w:val="000000"/>
          <w:sz w:val="22"/>
          <w:szCs w:val="22"/>
          <w:rtl w:val="0"/>
        </w:rPr>
        <w:t xml:space="preserve">6.</w:t>
        <w:tab/>
      </w:r>
      <w:hyperlink r:id="rId40">
        <w:r w:rsidDel="00000000" w:rsidR="00000000" w:rsidRPr="00000000">
          <w:rPr>
            <w:rFonts w:ascii="Cambria" w:cs="Cambria" w:eastAsia="Cambria" w:hAnsi="Cambria"/>
            <w:b w:val="0"/>
            <w:i w:val="0"/>
            <w:color w:val="000000"/>
            <w:sz w:val="22"/>
            <w:szCs w:val="22"/>
            <w:u w:val="none"/>
            <w:rtl w:val="0"/>
          </w:rPr>
          <w:t xml:space="preserve">Klimchouk, A. Gypsum karst in the Western Ukraine. </w:t>
        </w:r>
      </w:hyperlink>
      <w:hyperlink r:id="rId41">
        <w:r w:rsidDel="00000000" w:rsidR="00000000" w:rsidRPr="00000000">
          <w:rPr>
            <w:rFonts w:ascii="Cambria" w:cs="Cambria" w:eastAsia="Cambria" w:hAnsi="Cambria"/>
            <w:b w:val="0"/>
            <w:i w:val="1"/>
            <w:color w:val="000000"/>
            <w:sz w:val="22"/>
            <w:szCs w:val="22"/>
            <w:u w:val="none"/>
            <w:rtl w:val="0"/>
          </w:rPr>
          <w:t xml:space="preserve">Int. J. Speleol.</w:t>
        </w:r>
      </w:hyperlink>
      <w:hyperlink r:id="rId42">
        <w:r w:rsidDel="00000000" w:rsidR="00000000" w:rsidRPr="00000000">
          <w:rPr>
            <w:rFonts w:ascii="Cambria" w:cs="Cambria" w:eastAsia="Cambria" w:hAnsi="Cambria"/>
            <w:b w:val="0"/>
            <w:i w:val="0"/>
            <w:color w:val="000000"/>
            <w:sz w:val="22"/>
            <w:szCs w:val="22"/>
            <w:u w:val="none"/>
            <w:rtl w:val="0"/>
          </w:rPr>
          <w:t xml:space="preserve"> </w:t>
        </w:r>
      </w:hyperlink>
      <w:hyperlink r:id="rId43">
        <w:r w:rsidDel="00000000" w:rsidR="00000000" w:rsidRPr="00000000">
          <w:rPr>
            <w:rFonts w:ascii="Cambria" w:cs="Cambria" w:eastAsia="Cambria" w:hAnsi="Cambria"/>
            <w:b w:val="1"/>
            <w:i w:val="0"/>
            <w:color w:val="000000"/>
            <w:sz w:val="22"/>
            <w:szCs w:val="22"/>
            <w:u w:val="none"/>
            <w:rtl w:val="0"/>
          </w:rPr>
          <w:t xml:space="preserve">25</w:t>
        </w:r>
      </w:hyperlink>
      <w:hyperlink r:id="rId44">
        <w:r w:rsidDel="00000000" w:rsidR="00000000" w:rsidRPr="00000000">
          <w:rPr>
            <w:rFonts w:ascii="Cambria" w:cs="Cambria" w:eastAsia="Cambria" w:hAnsi="Cambria"/>
            <w:b w:val="0"/>
            <w:i w:val="0"/>
            <w:color w:val="000000"/>
            <w:sz w:val="22"/>
            <w:szCs w:val="22"/>
            <w:u w:val="none"/>
            <w:rtl w:val="0"/>
          </w:rPr>
          <w:t xml:space="preserve">, 20 (1996).</w:t>
        </w:r>
      </w:hyperlink>
      <w:r w:rsidDel="00000000" w:rsidR="00000000" w:rsidRPr="00000000">
        <w:rPr>
          <w:rtl w:val="0"/>
        </w:rPr>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rFonts w:ascii="Cambria" w:cs="Cambria" w:eastAsia="Cambria" w:hAnsi="Cambria"/>
          <w:b w:val="0"/>
          <w:i w:val="0"/>
          <w:color w:val="000000"/>
          <w:sz w:val="22"/>
          <w:szCs w:val="22"/>
        </w:rPr>
      </w:pPr>
      <w:r w:rsidDel="00000000" w:rsidR="00000000" w:rsidRPr="00000000">
        <w:rPr>
          <w:rFonts w:ascii="Cambria" w:cs="Cambria" w:eastAsia="Cambria" w:hAnsi="Cambria"/>
          <w:b w:val="0"/>
          <w:i w:val="0"/>
          <w:color w:val="000000"/>
          <w:sz w:val="22"/>
          <w:szCs w:val="22"/>
          <w:rtl w:val="0"/>
        </w:rPr>
        <w:t xml:space="preserve">7.</w:t>
        <w:tab/>
      </w:r>
      <w:hyperlink r:id="rId45">
        <w:r w:rsidDel="00000000" w:rsidR="00000000" w:rsidRPr="00000000">
          <w:rPr>
            <w:rFonts w:ascii="Cambria" w:cs="Cambria" w:eastAsia="Cambria" w:hAnsi="Cambria"/>
            <w:b w:val="0"/>
            <w:i w:val="0"/>
            <w:color w:val="000000"/>
            <w:sz w:val="22"/>
            <w:szCs w:val="22"/>
            <w:u w:val="none"/>
            <w:rtl w:val="0"/>
          </w:rPr>
          <w:t xml:space="preserve">Kadrow, S. &amp; Pokutta, D. A. The Verteba cave: a subterranean sanctuary of the Cucuteni-Trypillia culture in Western Ukraine. </w:t>
        </w:r>
      </w:hyperlink>
      <w:hyperlink r:id="rId46">
        <w:r w:rsidDel="00000000" w:rsidR="00000000" w:rsidRPr="00000000">
          <w:rPr>
            <w:rFonts w:ascii="Cambria" w:cs="Cambria" w:eastAsia="Cambria" w:hAnsi="Cambria"/>
            <w:b w:val="0"/>
            <w:i w:val="1"/>
            <w:color w:val="000000"/>
            <w:sz w:val="22"/>
            <w:szCs w:val="22"/>
            <w:u w:val="none"/>
            <w:rtl w:val="0"/>
          </w:rPr>
          <w:t xml:space="preserve">Journal of Neolithic Archaeology</w:t>
        </w:r>
      </w:hyperlink>
      <w:hyperlink r:id="rId47">
        <w:r w:rsidDel="00000000" w:rsidR="00000000" w:rsidRPr="00000000">
          <w:rPr>
            <w:rFonts w:ascii="Cambria" w:cs="Cambria" w:eastAsia="Cambria" w:hAnsi="Cambria"/>
            <w:b w:val="0"/>
            <w:i w:val="0"/>
            <w:color w:val="000000"/>
            <w:sz w:val="22"/>
            <w:szCs w:val="22"/>
            <w:u w:val="none"/>
            <w:rtl w:val="0"/>
          </w:rPr>
          <w:t xml:space="preserve"> (2016).</w:t>
        </w:r>
      </w:hyperlink>
      <w:r w:rsidDel="00000000" w:rsidR="00000000" w:rsidRPr="00000000">
        <w:rPr>
          <w:rtl w:val="0"/>
        </w:rPr>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rFonts w:ascii="Cambria" w:cs="Cambria" w:eastAsia="Cambria" w:hAnsi="Cambria"/>
          <w:b w:val="0"/>
          <w:i w:val="0"/>
          <w:color w:val="000000"/>
          <w:sz w:val="22"/>
          <w:szCs w:val="22"/>
        </w:rPr>
      </w:pPr>
      <w:r w:rsidDel="00000000" w:rsidR="00000000" w:rsidRPr="00000000">
        <w:rPr>
          <w:rFonts w:ascii="Cambria" w:cs="Cambria" w:eastAsia="Cambria" w:hAnsi="Cambria"/>
          <w:b w:val="0"/>
          <w:i w:val="0"/>
          <w:color w:val="000000"/>
          <w:sz w:val="22"/>
          <w:szCs w:val="22"/>
          <w:rtl w:val="0"/>
        </w:rPr>
        <w:t xml:space="preserve">8.</w:t>
        <w:tab/>
      </w:r>
      <w:hyperlink r:id="rId48">
        <w:r w:rsidDel="00000000" w:rsidR="00000000" w:rsidRPr="00000000">
          <w:rPr>
            <w:rFonts w:ascii="Cambria" w:cs="Cambria" w:eastAsia="Cambria" w:hAnsi="Cambria"/>
            <w:b w:val="0"/>
            <w:i w:val="0"/>
            <w:color w:val="000000"/>
            <w:sz w:val="22"/>
            <w:szCs w:val="22"/>
            <w:u w:val="none"/>
            <w:rtl w:val="0"/>
          </w:rPr>
          <w:t xml:space="preserve">Nikitin, A. G. Bioarchaeological analysis of Bronze Age human remains from the Podillya region of Ukraine. </w:t>
        </w:r>
      </w:hyperlink>
      <w:hyperlink r:id="rId49">
        <w:r w:rsidDel="00000000" w:rsidR="00000000" w:rsidRPr="00000000">
          <w:rPr>
            <w:rFonts w:ascii="Cambria" w:cs="Cambria" w:eastAsia="Cambria" w:hAnsi="Cambria"/>
            <w:b w:val="0"/>
            <w:i w:val="1"/>
            <w:color w:val="000000"/>
            <w:sz w:val="22"/>
            <w:szCs w:val="22"/>
            <w:u w:val="none"/>
            <w:rtl w:val="0"/>
          </w:rPr>
          <w:t xml:space="preserve">Interdisciplinaria Archaeologica: Natural Sciences in Archaeology</w:t>
        </w:r>
      </w:hyperlink>
      <w:hyperlink r:id="rId50">
        <w:r w:rsidDel="00000000" w:rsidR="00000000" w:rsidRPr="00000000">
          <w:rPr>
            <w:rFonts w:ascii="Cambria" w:cs="Cambria" w:eastAsia="Cambria" w:hAnsi="Cambria"/>
            <w:b w:val="0"/>
            <w:i w:val="0"/>
            <w:color w:val="000000"/>
            <w:sz w:val="22"/>
            <w:szCs w:val="22"/>
            <w:u w:val="none"/>
            <w:rtl w:val="0"/>
          </w:rPr>
          <w:t xml:space="preserve"> </w:t>
        </w:r>
      </w:hyperlink>
      <w:hyperlink r:id="rId51">
        <w:r w:rsidDel="00000000" w:rsidR="00000000" w:rsidRPr="00000000">
          <w:rPr>
            <w:rFonts w:ascii="Cambria" w:cs="Cambria" w:eastAsia="Cambria" w:hAnsi="Cambria"/>
            <w:b w:val="1"/>
            <w:i w:val="0"/>
            <w:color w:val="000000"/>
            <w:sz w:val="22"/>
            <w:szCs w:val="22"/>
            <w:u w:val="none"/>
            <w:rtl w:val="0"/>
          </w:rPr>
          <w:t xml:space="preserve">2</w:t>
        </w:r>
      </w:hyperlink>
      <w:hyperlink r:id="rId52">
        <w:r w:rsidDel="00000000" w:rsidR="00000000" w:rsidRPr="00000000">
          <w:rPr>
            <w:rFonts w:ascii="Cambria" w:cs="Cambria" w:eastAsia="Cambria" w:hAnsi="Cambria"/>
            <w:b w:val="0"/>
            <w:i w:val="0"/>
            <w:color w:val="000000"/>
            <w:sz w:val="22"/>
            <w:szCs w:val="22"/>
            <w:u w:val="none"/>
            <w:rtl w:val="0"/>
          </w:rPr>
          <w:t xml:space="preserve">, 9–14 (2011).</w:t>
        </w:r>
      </w:hyperlink>
      <w:r w:rsidDel="00000000" w:rsidR="00000000" w:rsidRPr="00000000">
        <w:rPr>
          <w:rtl w:val="0"/>
        </w:rPr>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rFonts w:ascii="Cambria" w:cs="Cambria" w:eastAsia="Cambria" w:hAnsi="Cambria"/>
          <w:b w:val="0"/>
          <w:i w:val="0"/>
          <w:color w:val="000000"/>
          <w:sz w:val="22"/>
          <w:szCs w:val="22"/>
        </w:rPr>
      </w:pPr>
      <w:r w:rsidDel="00000000" w:rsidR="00000000" w:rsidRPr="00000000">
        <w:rPr>
          <w:rFonts w:ascii="Cambria" w:cs="Cambria" w:eastAsia="Cambria" w:hAnsi="Cambria"/>
          <w:b w:val="0"/>
          <w:i w:val="0"/>
          <w:color w:val="000000"/>
          <w:sz w:val="22"/>
          <w:szCs w:val="22"/>
          <w:rtl w:val="0"/>
        </w:rPr>
        <w:t xml:space="preserve">9.</w:t>
        <w:tab/>
      </w:r>
      <w:hyperlink r:id="rId53">
        <w:r w:rsidDel="00000000" w:rsidR="00000000" w:rsidRPr="00000000">
          <w:rPr>
            <w:rFonts w:ascii="Cambria" w:cs="Cambria" w:eastAsia="Cambria" w:hAnsi="Cambria"/>
            <w:b w:val="0"/>
            <w:i w:val="0"/>
            <w:color w:val="000000"/>
            <w:sz w:val="22"/>
            <w:szCs w:val="22"/>
            <w:u w:val="none"/>
            <w:rtl w:val="0"/>
          </w:rPr>
          <w:t xml:space="preserve">Ledogar, S. H. </w:t>
        </w:r>
      </w:hyperlink>
      <w:hyperlink r:id="rId54">
        <w:r w:rsidDel="00000000" w:rsidR="00000000" w:rsidRPr="00000000">
          <w:rPr>
            <w:rFonts w:ascii="Cambria" w:cs="Cambria" w:eastAsia="Cambria" w:hAnsi="Cambria"/>
            <w:b w:val="0"/>
            <w:i w:val="1"/>
            <w:color w:val="000000"/>
            <w:sz w:val="22"/>
            <w:szCs w:val="22"/>
            <w:u w:val="none"/>
            <w:rtl w:val="0"/>
          </w:rPr>
          <w:t xml:space="preserve">A zooarchaeological and geochemical analysis of the faunal remains from the Tripolye site Verteba Cave, Ukraine</w:t>
        </w:r>
      </w:hyperlink>
      <w:hyperlink r:id="rId55">
        <w:r w:rsidDel="00000000" w:rsidR="00000000" w:rsidRPr="00000000">
          <w:rPr>
            <w:rFonts w:ascii="Cambria" w:cs="Cambria" w:eastAsia="Cambria" w:hAnsi="Cambria"/>
            <w:b w:val="0"/>
            <w:i w:val="0"/>
            <w:color w:val="000000"/>
            <w:sz w:val="22"/>
            <w:szCs w:val="22"/>
            <w:u w:val="none"/>
            <w:rtl w:val="0"/>
          </w:rPr>
          <w:t xml:space="preserve">. (State University of New York at Albany, 2017).</w:t>
        </w:r>
      </w:hyperlink>
      <w:r w:rsidDel="00000000" w:rsidR="00000000" w:rsidRPr="00000000">
        <w:rPr>
          <w:rtl w:val="0"/>
        </w:rPr>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rFonts w:ascii="Cambria" w:cs="Cambria" w:eastAsia="Cambria" w:hAnsi="Cambria"/>
          <w:b w:val="0"/>
          <w:i w:val="0"/>
          <w:color w:val="000000"/>
          <w:sz w:val="22"/>
          <w:szCs w:val="22"/>
        </w:rPr>
      </w:pPr>
      <w:r w:rsidDel="00000000" w:rsidR="00000000" w:rsidRPr="00000000">
        <w:rPr>
          <w:rFonts w:ascii="Cambria" w:cs="Cambria" w:eastAsia="Cambria" w:hAnsi="Cambria"/>
          <w:b w:val="0"/>
          <w:i w:val="0"/>
          <w:color w:val="000000"/>
          <w:sz w:val="22"/>
          <w:szCs w:val="22"/>
          <w:rtl w:val="0"/>
        </w:rPr>
        <w:t xml:space="preserve">10.</w:t>
        <w:tab/>
      </w:r>
      <w:hyperlink r:id="rId56">
        <w:r w:rsidDel="00000000" w:rsidR="00000000" w:rsidRPr="00000000">
          <w:rPr>
            <w:rFonts w:ascii="Cambria" w:cs="Cambria" w:eastAsia="Cambria" w:hAnsi="Cambria"/>
            <w:b w:val="0"/>
            <w:i w:val="0"/>
            <w:color w:val="000000"/>
            <w:sz w:val="22"/>
            <w:szCs w:val="22"/>
            <w:u w:val="none"/>
            <w:rtl w:val="0"/>
          </w:rPr>
          <w:t xml:space="preserve">Madden, G., Karsten, J. &amp; Heins, S. Cranial Clusters: Mortuary Patterns in Eneolithic Verteba Cave, Western Ukraine. (2015).</w:t>
        </w:r>
      </w:hyperlink>
      <w:r w:rsidDel="00000000" w:rsidR="00000000" w:rsidRPr="00000000">
        <w:rPr>
          <w:rtl w:val="0"/>
        </w:rPr>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rFonts w:ascii="Cambria" w:cs="Cambria" w:eastAsia="Cambria" w:hAnsi="Cambria"/>
          <w:b w:val="0"/>
          <w:i w:val="0"/>
          <w:color w:val="000000"/>
          <w:sz w:val="22"/>
          <w:szCs w:val="22"/>
        </w:rPr>
      </w:pPr>
      <w:r w:rsidDel="00000000" w:rsidR="00000000" w:rsidRPr="00000000">
        <w:rPr>
          <w:rFonts w:ascii="Cambria" w:cs="Cambria" w:eastAsia="Cambria" w:hAnsi="Cambria"/>
          <w:b w:val="0"/>
          <w:i w:val="0"/>
          <w:color w:val="000000"/>
          <w:sz w:val="22"/>
          <w:szCs w:val="22"/>
          <w:rtl w:val="0"/>
        </w:rPr>
        <w:t xml:space="preserve">11.</w:t>
        <w:tab/>
      </w:r>
      <w:hyperlink r:id="rId57">
        <w:r w:rsidDel="00000000" w:rsidR="00000000" w:rsidRPr="00000000">
          <w:rPr>
            <w:rFonts w:ascii="Cambria" w:cs="Cambria" w:eastAsia="Cambria" w:hAnsi="Cambria"/>
            <w:b w:val="0"/>
            <w:i w:val="0"/>
            <w:color w:val="000000"/>
            <w:sz w:val="22"/>
            <w:szCs w:val="22"/>
            <w:u w:val="none"/>
            <w:rtl w:val="0"/>
          </w:rPr>
          <w:t xml:space="preserve">Karsten, J. K., Heins, S. E., Madden, G. D. &amp; Sokhatskyi, M. P. Dental Health and the Transition to Agriculture in Prehistoric Ukraine: A Study of Dental Caries. </w:t>
        </w:r>
      </w:hyperlink>
      <w:hyperlink r:id="rId58">
        <w:r w:rsidDel="00000000" w:rsidR="00000000" w:rsidRPr="00000000">
          <w:rPr>
            <w:rFonts w:ascii="Cambria" w:cs="Cambria" w:eastAsia="Cambria" w:hAnsi="Cambria"/>
            <w:b w:val="0"/>
            <w:i w:val="1"/>
            <w:color w:val="000000"/>
            <w:sz w:val="22"/>
            <w:szCs w:val="22"/>
            <w:u w:val="none"/>
            <w:rtl w:val="0"/>
          </w:rPr>
          <w:t xml:space="preserve">European Journal of Archaeology</w:t>
        </w:r>
      </w:hyperlink>
      <w:hyperlink r:id="rId59">
        <w:r w:rsidDel="00000000" w:rsidR="00000000" w:rsidRPr="00000000">
          <w:rPr>
            <w:rFonts w:ascii="Cambria" w:cs="Cambria" w:eastAsia="Cambria" w:hAnsi="Cambria"/>
            <w:b w:val="0"/>
            <w:i w:val="0"/>
            <w:color w:val="000000"/>
            <w:sz w:val="22"/>
            <w:szCs w:val="22"/>
            <w:u w:val="none"/>
            <w:rtl w:val="0"/>
          </w:rPr>
          <w:t xml:space="preserve"> </w:t>
        </w:r>
      </w:hyperlink>
      <w:hyperlink r:id="rId60">
        <w:r w:rsidDel="00000000" w:rsidR="00000000" w:rsidRPr="00000000">
          <w:rPr>
            <w:rFonts w:ascii="Cambria" w:cs="Cambria" w:eastAsia="Cambria" w:hAnsi="Cambria"/>
            <w:b w:val="1"/>
            <w:i w:val="0"/>
            <w:color w:val="000000"/>
            <w:sz w:val="22"/>
            <w:szCs w:val="22"/>
            <w:u w:val="none"/>
            <w:rtl w:val="0"/>
          </w:rPr>
          <w:t xml:space="preserve">18</w:t>
        </w:r>
      </w:hyperlink>
      <w:hyperlink r:id="rId61">
        <w:r w:rsidDel="00000000" w:rsidR="00000000" w:rsidRPr="00000000">
          <w:rPr>
            <w:rFonts w:ascii="Cambria" w:cs="Cambria" w:eastAsia="Cambria" w:hAnsi="Cambria"/>
            <w:b w:val="0"/>
            <w:i w:val="0"/>
            <w:color w:val="000000"/>
            <w:sz w:val="22"/>
            <w:szCs w:val="22"/>
            <w:u w:val="none"/>
            <w:rtl w:val="0"/>
          </w:rPr>
          <w:t xml:space="preserve">, 562–579 (2015).</w:t>
        </w:r>
      </w:hyperlink>
      <w:r w:rsidDel="00000000" w:rsidR="00000000" w:rsidRPr="00000000">
        <w:rPr>
          <w:rtl w:val="0"/>
        </w:rPr>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rFonts w:ascii="Cambria" w:cs="Cambria" w:eastAsia="Cambria" w:hAnsi="Cambria"/>
          <w:b w:val="0"/>
          <w:i w:val="0"/>
          <w:color w:val="000000"/>
          <w:sz w:val="22"/>
          <w:szCs w:val="22"/>
        </w:rPr>
      </w:pPr>
      <w:r w:rsidDel="00000000" w:rsidR="00000000" w:rsidRPr="00000000">
        <w:rPr>
          <w:rFonts w:ascii="Cambria" w:cs="Cambria" w:eastAsia="Cambria" w:hAnsi="Cambria"/>
          <w:b w:val="0"/>
          <w:i w:val="0"/>
          <w:color w:val="000000"/>
          <w:sz w:val="22"/>
          <w:szCs w:val="22"/>
          <w:rtl w:val="0"/>
        </w:rPr>
        <w:t xml:space="preserve">12.</w:t>
        <w:tab/>
      </w:r>
      <w:hyperlink r:id="rId62">
        <w:r w:rsidDel="00000000" w:rsidR="00000000" w:rsidRPr="00000000">
          <w:rPr>
            <w:rFonts w:ascii="Cambria" w:cs="Cambria" w:eastAsia="Cambria" w:hAnsi="Cambria"/>
            <w:b w:val="0"/>
            <w:i w:val="0"/>
            <w:color w:val="000000"/>
            <w:sz w:val="22"/>
            <w:szCs w:val="22"/>
            <w:u w:val="none"/>
            <w:rtl w:val="0"/>
          </w:rPr>
          <w:t xml:space="preserve">Madden, G. D., Karsten, J. K., Ledogar, S. H., Schmidt, R. &amp; Sokhatsky, M. P. Violence at Verteba Cave, Ukraine: New insights into the Late Neolithic intergroup conflict. </w:t>
        </w:r>
      </w:hyperlink>
      <w:hyperlink r:id="rId63">
        <w:r w:rsidDel="00000000" w:rsidR="00000000" w:rsidRPr="00000000">
          <w:rPr>
            <w:rFonts w:ascii="Cambria" w:cs="Cambria" w:eastAsia="Cambria" w:hAnsi="Cambria"/>
            <w:b w:val="0"/>
            <w:i w:val="1"/>
            <w:color w:val="000000"/>
            <w:sz w:val="22"/>
            <w:szCs w:val="22"/>
            <w:u w:val="none"/>
            <w:rtl w:val="0"/>
          </w:rPr>
          <w:t xml:space="preserve">Int. J. Osteoarchaeol.</w:t>
        </w:r>
      </w:hyperlink>
      <w:hyperlink r:id="rId64">
        <w:r w:rsidDel="00000000" w:rsidR="00000000" w:rsidRPr="00000000">
          <w:rPr>
            <w:rFonts w:ascii="Cambria" w:cs="Cambria" w:eastAsia="Cambria" w:hAnsi="Cambria"/>
            <w:b w:val="0"/>
            <w:i w:val="0"/>
            <w:color w:val="000000"/>
            <w:sz w:val="22"/>
            <w:szCs w:val="22"/>
            <w:u w:val="none"/>
            <w:rtl w:val="0"/>
          </w:rPr>
          <w:t xml:space="preserve"> </w:t>
        </w:r>
      </w:hyperlink>
      <w:hyperlink r:id="rId65">
        <w:r w:rsidDel="00000000" w:rsidR="00000000" w:rsidRPr="00000000">
          <w:rPr>
            <w:rFonts w:ascii="Cambria" w:cs="Cambria" w:eastAsia="Cambria" w:hAnsi="Cambria"/>
            <w:b w:val="1"/>
            <w:i w:val="0"/>
            <w:color w:val="000000"/>
            <w:sz w:val="22"/>
            <w:szCs w:val="22"/>
            <w:u w:val="none"/>
            <w:rtl w:val="0"/>
          </w:rPr>
          <w:t xml:space="preserve">28</w:t>
        </w:r>
      </w:hyperlink>
      <w:hyperlink r:id="rId66">
        <w:r w:rsidDel="00000000" w:rsidR="00000000" w:rsidRPr="00000000">
          <w:rPr>
            <w:rFonts w:ascii="Cambria" w:cs="Cambria" w:eastAsia="Cambria" w:hAnsi="Cambria"/>
            <w:b w:val="0"/>
            <w:i w:val="0"/>
            <w:color w:val="000000"/>
            <w:sz w:val="22"/>
            <w:szCs w:val="22"/>
            <w:u w:val="none"/>
            <w:rtl w:val="0"/>
          </w:rPr>
          <w:t xml:space="preserve">, 44–53 (2018).</w:t>
        </w:r>
      </w:hyperlink>
      <w:r w:rsidDel="00000000" w:rsidR="00000000" w:rsidRPr="00000000">
        <w:rPr>
          <w:rtl w:val="0"/>
        </w:rPr>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rFonts w:ascii="Cambria" w:cs="Cambria" w:eastAsia="Cambria" w:hAnsi="Cambria"/>
          <w:b w:val="0"/>
          <w:i w:val="0"/>
          <w:color w:val="000000"/>
          <w:sz w:val="22"/>
          <w:szCs w:val="22"/>
        </w:rPr>
      </w:pPr>
      <w:r w:rsidDel="00000000" w:rsidR="00000000" w:rsidRPr="00000000">
        <w:rPr>
          <w:rFonts w:ascii="Cambria" w:cs="Cambria" w:eastAsia="Cambria" w:hAnsi="Cambria"/>
          <w:b w:val="0"/>
          <w:i w:val="0"/>
          <w:color w:val="000000"/>
          <w:sz w:val="22"/>
          <w:szCs w:val="22"/>
          <w:rtl w:val="0"/>
        </w:rPr>
        <w:t xml:space="preserve">13.</w:t>
        <w:tab/>
      </w:r>
      <w:hyperlink r:id="rId67">
        <w:r w:rsidDel="00000000" w:rsidR="00000000" w:rsidRPr="00000000">
          <w:rPr>
            <w:rFonts w:ascii="Cambria" w:cs="Cambria" w:eastAsia="Cambria" w:hAnsi="Cambria"/>
            <w:b w:val="0"/>
            <w:i w:val="0"/>
            <w:color w:val="000000"/>
            <w:sz w:val="22"/>
            <w:szCs w:val="22"/>
            <w:u w:val="none"/>
            <w:rtl w:val="0"/>
          </w:rPr>
          <w:t xml:space="preserve">Renaud, G., Slon, V., Duggan, A. T. &amp; Kelso, J. Schmutzi: estimation of contamination and endogenous mitochondrial consensus calling for ancient DNA. </w:t>
        </w:r>
      </w:hyperlink>
      <w:hyperlink r:id="rId68">
        <w:r w:rsidDel="00000000" w:rsidR="00000000" w:rsidRPr="00000000">
          <w:rPr>
            <w:rFonts w:ascii="Cambria" w:cs="Cambria" w:eastAsia="Cambria" w:hAnsi="Cambria"/>
            <w:b w:val="0"/>
            <w:i w:val="1"/>
            <w:color w:val="000000"/>
            <w:sz w:val="22"/>
            <w:szCs w:val="22"/>
            <w:u w:val="none"/>
            <w:rtl w:val="0"/>
          </w:rPr>
          <w:t xml:space="preserve">Genome Biol.</w:t>
        </w:r>
      </w:hyperlink>
      <w:hyperlink r:id="rId69">
        <w:r w:rsidDel="00000000" w:rsidR="00000000" w:rsidRPr="00000000">
          <w:rPr>
            <w:rFonts w:ascii="Cambria" w:cs="Cambria" w:eastAsia="Cambria" w:hAnsi="Cambria"/>
            <w:b w:val="0"/>
            <w:i w:val="0"/>
            <w:color w:val="000000"/>
            <w:sz w:val="22"/>
            <w:szCs w:val="22"/>
            <w:u w:val="none"/>
            <w:rtl w:val="0"/>
          </w:rPr>
          <w:t xml:space="preserve"> </w:t>
        </w:r>
      </w:hyperlink>
      <w:hyperlink r:id="rId70">
        <w:r w:rsidDel="00000000" w:rsidR="00000000" w:rsidRPr="00000000">
          <w:rPr>
            <w:rFonts w:ascii="Cambria" w:cs="Cambria" w:eastAsia="Cambria" w:hAnsi="Cambria"/>
            <w:b w:val="1"/>
            <w:i w:val="0"/>
            <w:color w:val="000000"/>
            <w:sz w:val="22"/>
            <w:szCs w:val="22"/>
            <w:u w:val="none"/>
            <w:rtl w:val="0"/>
          </w:rPr>
          <w:t xml:space="preserve">16</w:t>
        </w:r>
      </w:hyperlink>
      <w:hyperlink r:id="rId71">
        <w:r w:rsidDel="00000000" w:rsidR="00000000" w:rsidRPr="00000000">
          <w:rPr>
            <w:rFonts w:ascii="Cambria" w:cs="Cambria" w:eastAsia="Cambria" w:hAnsi="Cambria"/>
            <w:b w:val="0"/>
            <w:i w:val="0"/>
            <w:color w:val="000000"/>
            <w:sz w:val="22"/>
            <w:szCs w:val="22"/>
            <w:u w:val="none"/>
            <w:rtl w:val="0"/>
          </w:rPr>
          <w:t xml:space="preserve">, 224 (2015).</w:t>
        </w:r>
      </w:hyperlink>
      <w:r w:rsidDel="00000000" w:rsidR="00000000" w:rsidRPr="00000000">
        <w:rPr>
          <w:rtl w:val="0"/>
        </w:rPr>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220" w:before="0" w:line="480" w:lineRule="auto"/>
        <w:ind w:left="440" w:right="0" w:hanging="440"/>
        <w:jc w:val="left"/>
        <w:rPr>
          <w:rFonts w:ascii="Cambria" w:cs="Cambria" w:eastAsia="Cambria" w:hAnsi="Cambria"/>
          <w:b w:val="0"/>
          <w:i w:val="0"/>
          <w:color w:val="000000"/>
          <w:sz w:val="22"/>
          <w:szCs w:val="22"/>
        </w:rPr>
      </w:pPr>
      <w:r w:rsidDel="00000000" w:rsidR="00000000" w:rsidRPr="00000000">
        <w:rPr>
          <w:rFonts w:ascii="Cambria" w:cs="Cambria" w:eastAsia="Cambria" w:hAnsi="Cambria"/>
          <w:b w:val="0"/>
          <w:i w:val="0"/>
          <w:color w:val="000000"/>
          <w:sz w:val="22"/>
          <w:szCs w:val="22"/>
          <w:rtl w:val="0"/>
        </w:rPr>
        <w:t xml:space="preserve">14.</w:t>
        <w:tab/>
      </w:r>
      <w:hyperlink r:id="rId72">
        <w:r w:rsidDel="00000000" w:rsidR="00000000" w:rsidRPr="00000000">
          <w:rPr>
            <w:rFonts w:ascii="Cambria" w:cs="Cambria" w:eastAsia="Cambria" w:hAnsi="Cambria"/>
            <w:b w:val="0"/>
            <w:i w:val="0"/>
            <w:color w:val="000000"/>
            <w:sz w:val="22"/>
            <w:szCs w:val="22"/>
            <w:u w:val="none"/>
            <w:rtl w:val="0"/>
          </w:rPr>
          <w:t xml:space="preserve">Korneliussen, T. S., Albrechtsen, A. &amp; Nielsen, R. ANGSD: Analysis of Next Generation Sequencing Data. </w:t>
        </w:r>
      </w:hyperlink>
      <w:hyperlink r:id="rId73">
        <w:r w:rsidDel="00000000" w:rsidR="00000000" w:rsidRPr="00000000">
          <w:rPr>
            <w:rFonts w:ascii="Cambria" w:cs="Cambria" w:eastAsia="Cambria" w:hAnsi="Cambria"/>
            <w:b w:val="0"/>
            <w:i w:val="1"/>
            <w:color w:val="000000"/>
            <w:sz w:val="22"/>
            <w:szCs w:val="22"/>
            <w:u w:val="none"/>
            <w:rtl w:val="0"/>
          </w:rPr>
          <w:t xml:space="preserve">BMC Bioinformatics</w:t>
        </w:r>
      </w:hyperlink>
      <w:hyperlink r:id="rId74">
        <w:r w:rsidDel="00000000" w:rsidR="00000000" w:rsidRPr="00000000">
          <w:rPr>
            <w:rFonts w:ascii="Cambria" w:cs="Cambria" w:eastAsia="Cambria" w:hAnsi="Cambria"/>
            <w:b w:val="0"/>
            <w:i w:val="0"/>
            <w:color w:val="000000"/>
            <w:sz w:val="22"/>
            <w:szCs w:val="22"/>
            <w:u w:val="none"/>
            <w:rtl w:val="0"/>
          </w:rPr>
          <w:t xml:space="preserve"> </w:t>
        </w:r>
      </w:hyperlink>
      <w:hyperlink r:id="rId75">
        <w:r w:rsidDel="00000000" w:rsidR="00000000" w:rsidRPr="00000000">
          <w:rPr>
            <w:rFonts w:ascii="Cambria" w:cs="Cambria" w:eastAsia="Cambria" w:hAnsi="Cambria"/>
            <w:b w:val="1"/>
            <w:i w:val="0"/>
            <w:color w:val="000000"/>
            <w:sz w:val="22"/>
            <w:szCs w:val="22"/>
            <w:u w:val="none"/>
            <w:rtl w:val="0"/>
          </w:rPr>
          <w:t xml:space="preserve">15</w:t>
        </w:r>
      </w:hyperlink>
      <w:hyperlink r:id="rId76">
        <w:r w:rsidDel="00000000" w:rsidR="00000000" w:rsidRPr="00000000">
          <w:rPr>
            <w:rFonts w:ascii="Cambria" w:cs="Cambria" w:eastAsia="Cambria" w:hAnsi="Cambria"/>
            <w:b w:val="0"/>
            <w:i w:val="0"/>
            <w:color w:val="000000"/>
            <w:sz w:val="22"/>
            <w:szCs w:val="22"/>
            <w:u w:val="none"/>
            <w:rtl w:val="0"/>
          </w:rPr>
          <w:t xml:space="preserve">, 356 (2014).</w:t>
        </w:r>
      </w:hyperlink>
      <w:r w:rsidDel="00000000" w:rsidR="00000000" w:rsidRPr="00000000">
        <w:rPr>
          <w:rtl w:val="0"/>
        </w:rPr>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Cambria" w:cs="Cambria" w:eastAsia="Cambria" w:hAnsi="Cambria"/>
        </w:rPr>
      </w:pPr>
      <w:r w:rsidDel="00000000" w:rsidR="00000000" w:rsidRPr="00000000">
        <w:rPr>
          <w:rtl w:val="0"/>
        </w:rPr>
      </w:r>
    </w:p>
    <w:sectPr>
      <w:footerReference r:id="rId77" w:type="default"/>
      <w:footerReference r:id="rId78" w:type="even"/>
      <w:pgSz w:h="16820" w:w="1190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mbr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rPr>
      <w:rFonts w:ascii="Cambria" w:cs="Cambria" w:eastAsia="Cambria" w:hAnsi="Cambria"/>
      <w:sz w:val="22"/>
      <w:szCs w:val="22"/>
    </w:rPr>
    <w:tblPr>
      <w:tblStyleRowBandSize w:val="1"/>
      <w:tblStyleColBandSize w:val="1"/>
      <w:tblCellMar>
        <w:top w:w="100.0" w:type="dxa"/>
        <w:left w:w="100.0" w:type="dxa"/>
        <w:bottom w:w="100.0" w:type="dxa"/>
        <w:right w:w="100.0" w:type="dxa"/>
      </w:tblCellMar>
    </w:tblPr>
  </w:style>
  <w:style w:type="table" w:styleId="Table2">
    <w:basedOn w:val="TableNormal"/>
    <w:rPr>
      <w:rFonts w:ascii="Cambria" w:cs="Cambria" w:eastAsia="Cambria" w:hAnsi="Cambria"/>
      <w:sz w:val="22"/>
      <w:szCs w:val="22"/>
    </w:r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paperpile.com/b/zx7l4h/vdEo" TargetMode="External"/><Relationship Id="rId42" Type="http://schemas.openxmlformats.org/officeDocument/2006/relationships/hyperlink" Target="http://paperpile.com/b/zx7l4h/vdEo" TargetMode="External"/><Relationship Id="rId41" Type="http://schemas.openxmlformats.org/officeDocument/2006/relationships/hyperlink" Target="http://paperpile.com/b/zx7l4h/vdEo" TargetMode="External"/><Relationship Id="rId44" Type="http://schemas.openxmlformats.org/officeDocument/2006/relationships/hyperlink" Target="http://paperpile.com/b/zx7l4h/vdEo" TargetMode="External"/><Relationship Id="rId43" Type="http://schemas.openxmlformats.org/officeDocument/2006/relationships/hyperlink" Target="http://paperpile.com/b/zx7l4h/vdEo" TargetMode="External"/><Relationship Id="rId46" Type="http://schemas.openxmlformats.org/officeDocument/2006/relationships/hyperlink" Target="http://paperpile.com/b/zx7l4h/Aj5i" TargetMode="External"/><Relationship Id="rId45" Type="http://schemas.openxmlformats.org/officeDocument/2006/relationships/hyperlink" Target="http://paperpile.com/b/zx7l4h/Aj5i"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aperpile.com/c/zx7l4h/sC5e" TargetMode="External"/><Relationship Id="rId48" Type="http://schemas.openxmlformats.org/officeDocument/2006/relationships/hyperlink" Target="http://paperpile.com/b/zx7l4h/KmZA" TargetMode="External"/><Relationship Id="rId47" Type="http://schemas.openxmlformats.org/officeDocument/2006/relationships/hyperlink" Target="http://paperpile.com/b/zx7l4h/Aj5i" TargetMode="External"/><Relationship Id="rId49" Type="http://schemas.openxmlformats.org/officeDocument/2006/relationships/hyperlink" Target="http://paperpile.com/b/zx7l4h/KmZA" TargetMode="External"/><Relationship Id="rId5" Type="http://schemas.openxmlformats.org/officeDocument/2006/relationships/styles" Target="styles.xml"/><Relationship Id="rId6" Type="http://schemas.openxmlformats.org/officeDocument/2006/relationships/hyperlink" Target="https://paperpile.com/c/zx7l4h/VWoR" TargetMode="External"/><Relationship Id="rId7" Type="http://schemas.openxmlformats.org/officeDocument/2006/relationships/hyperlink" Target="https://paperpile.com/c/zx7l4h/Ia6r" TargetMode="External"/><Relationship Id="rId8" Type="http://schemas.openxmlformats.org/officeDocument/2006/relationships/hyperlink" Target="https://paperpile.com/c/zx7l4h/klwX" TargetMode="External"/><Relationship Id="rId73" Type="http://schemas.openxmlformats.org/officeDocument/2006/relationships/hyperlink" Target="http://paperpile.com/b/zx7l4h/QSLw" TargetMode="External"/><Relationship Id="rId72" Type="http://schemas.openxmlformats.org/officeDocument/2006/relationships/hyperlink" Target="http://paperpile.com/b/zx7l4h/QSLw" TargetMode="External"/><Relationship Id="rId31" Type="http://schemas.openxmlformats.org/officeDocument/2006/relationships/hyperlink" Target="http://paperpile.com/b/zx7l4h/klwX" TargetMode="External"/><Relationship Id="rId75" Type="http://schemas.openxmlformats.org/officeDocument/2006/relationships/hyperlink" Target="http://paperpile.com/b/zx7l4h/QSLw" TargetMode="External"/><Relationship Id="rId30" Type="http://schemas.openxmlformats.org/officeDocument/2006/relationships/hyperlink" Target="http://paperpile.com/b/zx7l4h/klwX" TargetMode="External"/><Relationship Id="rId74" Type="http://schemas.openxmlformats.org/officeDocument/2006/relationships/hyperlink" Target="http://paperpile.com/b/zx7l4h/QSLw" TargetMode="External"/><Relationship Id="rId33" Type="http://schemas.openxmlformats.org/officeDocument/2006/relationships/hyperlink" Target="http://paperpile.com/b/zx7l4h/sC5e" TargetMode="External"/><Relationship Id="rId77" Type="http://schemas.openxmlformats.org/officeDocument/2006/relationships/footer" Target="footer2.xml"/><Relationship Id="rId32" Type="http://schemas.openxmlformats.org/officeDocument/2006/relationships/hyperlink" Target="http://paperpile.com/b/zx7l4h/sC5e" TargetMode="External"/><Relationship Id="rId76" Type="http://schemas.openxmlformats.org/officeDocument/2006/relationships/hyperlink" Target="http://paperpile.com/b/zx7l4h/QSLw" TargetMode="External"/><Relationship Id="rId35" Type="http://schemas.openxmlformats.org/officeDocument/2006/relationships/hyperlink" Target="http://paperpile.com/b/zx7l4h/sC5e" TargetMode="External"/><Relationship Id="rId34" Type="http://schemas.openxmlformats.org/officeDocument/2006/relationships/hyperlink" Target="http://paperpile.com/b/zx7l4h/sC5e" TargetMode="External"/><Relationship Id="rId78" Type="http://schemas.openxmlformats.org/officeDocument/2006/relationships/footer" Target="footer1.xml"/><Relationship Id="rId71" Type="http://schemas.openxmlformats.org/officeDocument/2006/relationships/hyperlink" Target="http://paperpile.com/b/zx7l4h/ZRYh" TargetMode="External"/><Relationship Id="rId70" Type="http://schemas.openxmlformats.org/officeDocument/2006/relationships/hyperlink" Target="http://paperpile.com/b/zx7l4h/ZRYh" TargetMode="External"/><Relationship Id="rId37" Type="http://schemas.openxmlformats.org/officeDocument/2006/relationships/hyperlink" Target="http://paperpile.com/b/zx7l4h/5yag" TargetMode="External"/><Relationship Id="rId36" Type="http://schemas.openxmlformats.org/officeDocument/2006/relationships/hyperlink" Target="http://paperpile.com/b/zx7l4h/sC5e" TargetMode="External"/><Relationship Id="rId39" Type="http://schemas.openxmlformats.org/officeDocument/2006/relationships/hyperlink" Target="http://paperpile.com/b/zx7l4h/5yag" TargetMode="External"/><Relationship Id="rId38" Type="http://schemas.openxmlformats.org/officeDocument/2006/relationships/hyperlink" Target="http://paperpile.com/b/zx7l4h/5yag" TargetMode="External"/><Relationship Id="rId62" Type="http://schemas.openxmlformats.org/officeDocument/2006/relationships/hyperlink" Target="http://paperpile.com/b/zx7l4h/X3lU" TargetMode="External"/><Relationship Id="rId61" Type="http://schemas.openxmlformats.org/officeDocument/2006/relationships/hyperlink" Target="http://paperpile.com/b/zx7l4h/4SdH" TargetMode="External"/><Relationship Id="rId20" Type="http://schemas.openxmlformats.org/officeDocument/2006/relationships/hyperlink" Target="https://paperpile.com/c/zx7l4h/ZRYh" TargetMode="External"/><Relationship Id="rId64" Type="http://schemas.openxmlformats.org/officeDocument/2006/relationships/hyperlink" Target="http://paperpile.com/b/zx7l4h/X3lU" TargetMode="External"/><Relationship Id="rId63" Type="http://schemas.openxmlformats.org/officeDocument/2006/relationships/hyperlink" Target="http://paperpile.com/b/zx7l4h/X3lU" TargetMode="External"/><Relationship Id="rId22" Type="http://schemas.openxmlformats.org/officeDocument/2006/relationships/image" Target="media/image2.png"/><Relationship Id="rId66" Type="http://schemas.openxmlformats.org/officeDocument/2006/relationships/hyperlink" Target="http://paperpile.com/b/zx7l4h/X3lU" TargetMode="External"/><Relationship Id="rId21" Type="http://schemas.openxmlformats.org/officeDocument/2006/relationships/hyperlink" Target="https://paperpile.com/c/zx7l4h/QSLw" TargetMode="External"/><Relationship Id="rId65" Type="http://schemas.openxmlformats.org/officeDocument/2006/relationships/hyperlink" Target="http://paperpile.com/b/zx7l4h/X3lU" TargetMode="External"/><Relationship Id="rId24" Type="http://schemas.openxmlformats.org/officeDocument/2006/relationships/image" Target="media/image1.png"/><Relationship Id="rId68" Type="http://schemas.openxmlformats.org/officeDocument/2006/relationships/hyperlink" Target="http://paperpile.com/b/zx7l4h/ZRYh" TargetMode="External"/><Relationship Id="rId23" Type="http://schemas.openxmlformats.org/officeDocument/2006/relationships/image" Target="media/image3.png"/><Relationship Id="rId67" Type="http://schemas.openxmlformats.org/officeDocument/2006/relationships/hyperlink" Target="http://paperpile.com/b/zx7l4h/ZRYh" TargetMode="External"/><Relationship Id="rId60" Type="http://schemas.openxmlformats.org/officeDocument/2006/relationships/hyperlink" Target="http://paperpile.com/b/zx7l4h/4SdH" TargetMode="External"/><Relationship Id="rId26" Type="http://schemas.openxmlformats.org/officeDocument/2006/relationships/hyperlink" Target="http://paperpile.com/b/zx7l4h/VWoR" TargetMode="External"/><Relationship Id="rId25" Type="http://schemas.openxmlformats.org/officeDocument/2006/relationships/hyperlink" Target="http://paperpile.com/b/zx7l4h/VWoR" TargetMode="External"/><Relationship Id="rId69" Type="http://schemas.openxmlformats.org/officeDocument/2006/relationships/hyperlink" Target="http://paperpile.com/b/zx7l4h/ZRYh" TargetMode="External"/><Relationship Id="rId28" Type="http://schemas.openxmlformats.org/officeDocument/2006/relationships/hyperlink" Target="http://paperpile.com/b/zx7l4h/Ia6r" TargetMode="External"/><Relationship Id="rId27" Type="http://schemas.openxmlformats.org/officeDocument/2006/relationships/hyperlink" Target="http://paperpile.com/b/zx7l4h/VWoR" TargetMode="External"/><Relationship Id="rId29" Type="http://schemas.openxmlformats.org/officeDocument/2006/relationships/hyperlink" Target="http://paperpile.com/b/zx7l4h/klwX" TargetMode="External"/><Relationship Id="rId51" Type="http://schemas.openxmlformats.org/officeDocument/2006/relationships/hyperlink" Target="http://paperpile.com/b/zx7l4h/KmZA" TargetMode="External"/><Relationship Id="rId50" Type="http://schemas.openxmlformats.org/officeDocument/2006/relationships/hyperlink" Target="http://paperpile.com/b/zx7l4h/KmZA" TargetMode="External"/><Relationship Id="rId53" Type="http://schemas.openxmlformats.org/officeDocument/2006/relationships/hyperlink" Target="http://paperpile.com/b/zx7l4h/OnWa" TargetMode="External"/><Relationship Id="rId52" Type="http://schemas.openxmlformats.org/officeDocument/2006/relationships/hyperlink" Target="http://paperpile.com/b/zx7l4h/KmZA" TargetMode="External"/><Relationship Id="rId11" Type="http://schemas.openxmlformats.org/officeDocument/2006/relationships/hyperlink" Target="https://paperpile.com/c/zx7l4h/sC5e" TargetMode="External"/><Relationship Id="rId55" Type="http://schemas.openxmlformats.org/officeDocument/2006/relationships/hyperlink" Target="http://paperpile.com/b/zx7l4h/OnWa" TargetMode="External"/><Relationship Id="rId10" Type="http://schemas.openxmlformats.org/officeDocument/2006/relationships/hyperlink" Target="https://paperpile.com/c/zx7l4h/klwX" TargetMode="External"/><Relationship Id="rId54" Type="http://schemas.openxmlformats.org/officeDocument/2006/relationships/hyperlink" Target="http://paperpile.com/b/zx7l4h/OnWa" TargetMode="External"/><Relationship Id="rId13" Type="http://schemas.openxmlformats.org/officeDocument/2006/relationships/hyperlink" Target="https://paperpile.com/c/zx7l4h/5yag" TargetMode="External"/><Relationship Id="rId57" Type="http://schemas.openxmlformats.org/officeDocument/2006/relationships/hyperlink" Target="http://paperpile.com/b/zx7l4h/4SdH" TargetMode="External"/><Relationship Id="rId12" Type="http://schemas.openxmlformats.org/officeDocument/2006/relationships/hyperlink" Target="https://paperpile.com/c/zx7l4h/sC5e" TargetMode="External"/><Relationship Id="rId56" Type="http://schemas.openxmlformats.org/officeDocument/2006/relationships/hyperlink" Target="http://paperpile.com/b/zx7l4h/VgMh" TargetMode="External"/><Relationship Id="rId15" Type="http://schemas.openxmlformats.org/officeDocument/2006/relationships/hyperlink" Target="https://paperpile.com/c/zx7l4h/vdEo" TargetMode="External"/><Relationship Id="rId59" Type="http://schemas.openxmlformats.org/officeDocument/2006/relationships/hyperlink" Target="http://paperpile.com/b/zx7l4h/4SdH" TargetMode="External"/><Relationship Id="rId14" Type="http://schemas.openxmlformats.org/officeDocument/2006/relationships/hyperlink" Target="https://paperpile.com/c/zx7l4h/sC5e" TargetMode="External"/><Relationship Id="rId58" Type="http://schemas.openxmlformats.org/officeDocument/2006/relationships/hyperlink" Target="http://paperpile.com/b/zx7l4h/4SdH" TargetMode="External"/><Relationship Id="rId17" Type="http://schemas.openxmlformats.org/officeDocument/2006/relationships/hyperlink" Target="https://paperpile.com/c/zx7l4h/KmZA" TargetMode="External"/><Relationship Id="rId16" Type="http://schemas.openxmlformats.org/officeDocument/2006/relationships/hyperlink" Target="https://paperpile.com/c/zx7l4h/Aj5i" TargetMode="External"/><Relationship Id="rId19" Type="http://schemas.openxmlformats.org/officeDocument/2006/relationships/hyperlink" Target="https://paperpile.com/c/zx7l4h/VgMh+4SdH+X3lU" TargetMode="External"/><Relationship Id="rId18" Type="http://schemas.openxmlformats.org/officeDocument/2006/relationships/hyperlink" Target="https://paperpile.com/c/zx7l4h/OnW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