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C6CD9">
      <w:pPr>
        <w:spacing w:after="240"/>
        <w:jc w:val="center"/>
        <w:rPr>
          <w:b/>
          <w:bCs/>
          <w:color w:val="0000FF"/>
          <w:sz w:val="32"/>
          <w:szCs w:val="32"/>
        </w:rPr>
      </w:pPr>
      <w:bookmarkStart w:id="0" w:name="_GoBack"/>
      <w:r>
        <w:rPr>
          <w:b/>
          <w:bCs/>
          <w:color w:val="0000FF"/>
          <w:sz w:val="32"/>
          <w:szCs w:val="32"/>
        </w:rPr>
        <w:t>Supplementary Information</w:t>
      </w:r>
    </w:p>
    <w:bookmarkEnd w:id="0"/>
    <w:p w14:paraId="0FFD3927">
      <w:pPr>
        <w:jc w:val="center"/>
      </w:pPr>
      <w:r>
        <w:rPr>
          <w:rFonts w:ascii="Arial" w:hAnsi="Arial" w:eastAsia="Arial"/>
          <w:b/>
          <w:sz w:val="26"/>
        </w:rPr>
        <w:t>How digital transformation reshapes organisational governance for sustainability: a socio-technical case study of Haier Smart Home</w:t>
      </w:r>
    </w:p>
    <w:p w14:paraId="39EB5E96">
      <w:pPr>
        <w:pStyle w:val="3"/>
        <w:rPr>
          <w:color w:val="auto"/>
        </w:rPr>
      </w:pPr>
      <w:r>
        <w:rPr>
          <w:rFonts w:ascii="Times New Roman" w:hAnsi="Times New Roman" w:eastAsia="Times New Roman"/>
          <w:color w:val="auto"/>
        </w:rPr>
        <w:t>Table S1. Interview sample composition and role coverage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2"/>
        <w:gridCol w:w="3812"/>
        <w:gridCol w:w="3812"/>
        <w:gridCol w:w="3812"/>
      </w:tblGrid>
      <w:tr w14:paraId="3F2F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12" w:type="dxa"/>
            <w:shd w:val="clear" w:color="auto" w:fill="E7EEF7"/>
            <w:tcMar>
              <w:top w:w="70" w:type="dxa"/>
              <w:left w:w="85" w:type="dxa"/>
              <w:bottom w:w="70" w:type="dxa"/>
              <w:right w:w="85" w:type="dxa"/>
            </w:tcMar>
            <w:vAlign w:val="center"/>
          </w:tcPr>
          <w:p w14:paraId="533EE533">
            <w:pPr>
              <w:spacing w:before="0" w:after="0" w:line="240" w:lineRule="auto"/>
            </w:pPr>
            <w:r>
              <w:rPr>
                <w:rFonts w:ascii="Times New Roman" w:hAnsi="Times New Roman" w:eastAsia="Times New Roman"/>
                <w:b/>
                <w:sz w:val="17"/>
              </w:rPr>
              <w:t>Code Group</w:t>
            </w:r>
          </w:p>
        </w:tc>
        <w:tc>
          <w:tcPr>
            <w:tcW w:w="3812" w:type="dxa"/>
            <w:shd w:val="clear" w:color="auto" w:fill="E7EEF7"/>
            <w:tcMar>
              <w:top w:w="70" w:type="dxa"/>
              <w:left w:w="85" w:type="dxa"/>
              <w:bottom w:w="70" w:type="dxa"/>
              <w:right w:w="85" w:type="dxa"/>
            </w:tcMar>
            <w:vAlign w:val="center"/>
          </w:tcPr>
          <w:p w14:paraId="51FB078D">
            <w:pPr>
              <w:spacing w:before="0" w:after="0" w:line="240" w:lineRule="auto"/>
            </w:pPr>
            <w:r>
              <w:rPr>
                <w:rFonts w:ascii="Times New Roman" w:hAnsi="Times New Roman" w:eastAsia="Times New Roman"/>
                <w:b/>
                <w:sz w:val="17"/>
              </w:rPr>
              <w:t>Role Coverage</w:t>
            </w:r>
          </w:p>
        </w:tc>
        <w:tc>
          <w:tcPr>
            <w:tcW w:w="3812" w:type="dxa"/>
            <w:shd w:val="clear" w:color="auto" w:fill="E7EEF7"/>
            <w:tcMar>
              <w:top w:w="70" w:type="dxa"/>
              <w:left w:w="85" w:type="dxa"/>
              <w:bottom w:w="70" w:type="dxa"/>
              <w:right w:w="85" w:type="dxa"/>
            </w:tcMar>
            <w:vAlign w:val="center"/>
          </w:tcPr>
          <w:p w14:paraId="49877B11">
            <w:pPr>
              <w:spacing w:before="0" w:after="0" w:line="240" w:lineRule="auto"/>
            </w:pPr>
            <w:r>
              <w:rPr>
                <w:rFonts w:ascii="Times New Roman" w:hAnsi="Times New Roman" w:eastAsia="Times New Roman"/>
                <w:b/>
                <w:sz w:val="17"/>
              </w:rPr>
              <w:t>Participant Count (n)</w:t>
            </w:r>
          </w:p>
        </w:tc>
        <w:tc>
          <w:tcPr>
            <w:tcW w:w="3812" w:type="dxa"/>
            <w:shd w:val="clear" w:color="auto" w:fill="E7EEF7"/>
            <w:tcMar>
              <w:top w:w="70" w:type="dxa"/>
              <w:left w:w="85" w:type="dxa"/>
              <w:bottom w:w="70" w:type="dxa"/>
              <w:right w:w="85" w:type="dxa"/>
            </w:tcMar>
            <w:vAlign w:val="center"/>
          </w:tcPr>
          <w:p w14:paraId="0445A7F6">
            <w:pPr>
              <w:spacing w:before="0" w:after="0" w:line="240" w:lineRule="auto"/>
            </w:pPr>
            <w:r>
              <w:rPr>
                <w:rFonts w:ascii="Times New Roman" w:hAnsi="Times New Roman" w:eastAsia="Times New Roman"/>
                <w:b/>
                <w:sz w:val="17"/>
              </w:rPr>
              <w:t>Primary Evidence Contribution</w:t>
            </w:r>
          </w:p>
        </w:tc>
      </w:tr>
      <w:tr w14:paraId="234C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37C2F3A4">
            <w:pPr>
              <w:spacing w:before="0" w:after="0" w:line="240" w:lineRule="auto"/>
              <w:jc w:val="left"/>
            </w:pPr>
            <w:r>
              <w:rPr>
                <w:rFonts w:ascii="Times New Roman" w:hAnsi="Times New Roman" w:eastAsia="Times New Roman"/>
                <w:b w:val="0"/>
                <w:sz w:val="17"/>
              </w:rPr>
              <w:t>M1–M7</w:t>
            </w:r>
          </w:p>
        </w:tc>
        <w:tc>
          <w:tcPr>
            <w:tcW w:w="3812" w:type="dxa"/>
            <w:tcMar>
              <w:top w:w="70" w:type="dxa"/>
              <w:left w:w="85" w:type="dxa"/>
              <w:bottom w:w="70" w:type="dxa"/>
              <w:right w:w="85" w:type="dxa"/>
            </w:tcMar>
            <w:vAlign w:val="center"/>
          </w:tcPr>
          <w:p w14:paraId="72271166">
            <w:pPr>
              <w:spacing w:before="0" w:after="0" w:line="240" w:lineRule="auto"/>
              <w:jc w:val="left"/>
            </w:pPr>
            <w:r>
              <w:rPr>
                <w:rFonts w:ascii="Times New Roman" w:hAnsi="Times New Roman" w:eastAsia="Times New Roman"/>
                <w:b w:val="0"/>
                <w:sz w:val="17"/>
              </w:rPr>
              <w:t>Senior executives, strategic and HR-platform leaders, business-unit leadership, and a RenDanHeYi expert</w:t>
            </w:r>
          </w:p>
        </w:tc>
        <w:tc>
          <w:tcPr>
            <w:tcW w:w="3812" w:type="dxa"/>
            <w:tcMar>
              <w:top w:w="70" w:type="dxa"/>
              <w:left w:w="85" w:type="dxa"/>
              <w:bottom w:w="70" w:type="dxa"/>
              <w:right w:w="85" w:type="dxa"/>
            </w:tcMar>
            <w:vAlign w:val="center"/>
          </w:tcPr>
          <w:p w14:paraId="7DEECAA3">
            <w:pPr>
              <w:spacing w:before="0" w:after="0" w:line="240" w:lineRule="auto"/>
              <w:jc w:val="center"/>
            </w:pPr>
            <w:r>
              <w:rPr>
                <w:rFonts w:ascii="Times New Roman" w:hAnsi="Times New Roman" w:eastAsia="Times New Roman"/>
                <w:b w:val="0"/>
                <w:sz w:val="17"/>
              </w:rPr>
              <w:t>7</w:t>
            </w:r>
          </w:p>
        </w:tc>
        <w:tc>
          <w:tcPr>
            <w:tcW w:w="3812" w:type="dxa"/>
            <w:tcMar>
              <w:top w:w="70" w:type="dxa"/>
              <w:left w:w="85" w:type="dxa"/>
              <w:bottom w:w="70" w:type="dxa"/>
              <w:right w:w="85" w:type="dxa"/>
            </w:tcMar>
            <w:vAlign w:val="center"/>
          </w:tcPr>
          <w:p w14:paraId="0D8264B6">
            <w:pPr>
              <w:spacing w:before="0" w:after="0" w:line="240" w:lineRule="auto"/>
            </w:pPr>
            <w:r>
              <w:rPr>
                <w:rFonts w:ascii="Times New Roman" w:hAnsi="Times New Roman" w:eastAsia="Times New Roman"/>
                <w:b w:val="0"/>
                <w:sz w:val="17"/>
              </w:rPr>
              <w:t>Strategic intent, organizational design, HR platformization, and model interpretation</w:t>
            </w:r>
          </w:p>
        </w:tc>
      </w:tr>
      <w:tr w14:paraId="248E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1B81F982">
            <w:pPr>
              <w:spacing w:before="0" w:after="0" w:line="240" w:lineRule="auto"/>
              <w:jc w:val="left"/>
            </w:pPr>
            <w:r>
              <w:rPr>
                <w:rFonts w:ascii="Times New Roman" w:hAnsi="Times New Roman" w:eastAsia="Times New Roman"/>
                <w:b w:val="0"/>
                <w:sz w:val="17"/>
              </w:rPr>
              <w:t>T1–T11</w:t>
            </w:r>
          </w:p>
        </w:tc>
        <w:tc>
          <w:tcPr>
            <w:tcW w:w="3812" w:type="dxa"/>
            <w:tcMar>
              <w:top w:w="70" w:type="dxa"/>
              <w:left w:w="85" w:type="dxa"/>
              <w:bottom w:w="70" w:type="dxa"/>
              <w:right w:w="85" w:type="dxa"/>
            </w:tcMar>
            <w:vAlign w:val="center"/>
          </w:tcPr>
          <w:p w14:paraId="097C71AF">
            <w:pPr>
              <w:spacing w:before="0" w:after="0" w:line="240" w:lineRule="auto"/>
              <w:jc w:val="left"/>
            </w:pPr>
            <w:r>
              <w:rPr>
                <w:rFonts w:ascii="Times New Roman" w:hAnsi="Times New Roman" w:eastAsia="Times New Roman"/>
                <w:b w:val="0"/>
                <w:sz w:val="17"/>
              </w:rPr>
              <w:t>Chain-group, platform, regional, industry, finance, HR, and functional leaders</w:t>
            </w:r>
          </w:p>
        </w:tc>
        <w:tc>
          <w:tcPr>
            <w:tcW w:w="3812" w:type="dxa"/>
            <w:tcMar>
              <w:top w:w="70" w:type="dxa"/>
              <w:left w:w="85" w:type="dxa"/>
              <w:bottom w:w="70" w:type="dxa"/>
              <w:right w:w="85" w:type="dxa"/>
            </w:tcMar>
            <w:vAlign w:val="center"/>
          </w:tcPr>
          <w:p w14:paraId="2822BB7D">
            <w:pPr>
              <w:spacing w:before="0" w:after="0" w:line="240" w:lineRule="auto"/>
              <w:jc w:val="center"/>
            </w:pPr>
            <w:r>
              <w:rPr>
                <w:rFonts w:ascii="Times New Roman" w:hAnsi="Times New Roman" w:eastAsia="Times New Roman"/>
                <w:b w:val="0"/>
                <w:sz w:val="17"/>
              </w:rPr>
              <w:t>11</w:t>
            </w:r>
          </w:p>
        </w:tc>
        <w:tc>
          <w:tcPr>
            <w:tcW w:w="3812" w:type="dxa"/>
            <w:tcMar>
              <w:top w:w="70" w:type="dxa"/>
              <w:left w:w="85" w:type="dxa"/>
              <w:bottom w:w="70" w:type="dxa"/>
              <w:right w:w="85" w:type="dxa"/>
            </w:tcMar>
            <w:vAlign w:val="center"/>
          </w:tcPr>
          <w:p w14:paraId="3F377CEC">
            <w:pPr>
              <w:spacing w:before="0" w:after="0" w:line="240" w:lineRule="auto"/>
            </w:pPr>
            <w:r>
              <w:rPr>
                <w:rFonts w:ascii="Times New Roman" w:hAnsi="Times New Roman" w:eastAsia="Times New Roman"/>
                <w:b w:val="0"/>
                <w:sz w:val="17"/>
              </w:rPr>
              <w:t>Mechanism operation, cross-unit coordination, performance accountability, and value sharing</w:t>
            </w:r>
          </w:p>
        </w:tc>
      </w:tr>
      <w:tr w14:paraId="312F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7BD21EA1">
            <w:pPr>
              <w:spacing w:before="0" w:after="0" w:line="240" w:lineRule="auto"/>
              <w:jc w:val="left"/>
            </w:pPr>
            <w:r>
              <w:rPr>
                <w:rFonts w:ascii="Times New Roman" w:hAnsi="Times New Roman" w:eastAsia="Times New Roman"/>
                <w:b w:val="0"/>
                <w:sz w:val="17"/>
              </w:rPr>
              <w:t>E1–E17</w:t>
            </w:r>
          </w:p>
        </w:tc>
        <w:tc>
          <w:tcPr>
            <w:tcW w:w="3812" w:type="dxa"/>
            <w:tcMar>
              <w:top w:w="70" w:type="dxa"/>
              <w:left w:w="85" w:type="dxa"/>
              <w:bottom w:w="70" w:type="dxa"/>
              <w:right w:w="85" w:type="dxa"/>
            </w:tcMar>
            <w:vAlign w:val="center"/>
          </w:tcPr>
          <w:p w14:paraId="6089BE6F">
            <w:pPr>
              <w:spacing w:before="0" w:after="0" w:line="240" w:lineRule="auto"/>
              <w:jc w:val="left"/>
            </w:pPr>
            <w:r>
              <w:rPr>
                <w:rFonts w:ascii="Times New Roman" w:hAnsi="Times New Roman" w:eastAsia="Times New Roman"/>
                <w:b w:val="0"/>
                <w:sz w:val="17"/>
              </w:rPr>
              <w:t>Frontline creators and personnel in R&amp;D, manufacturing, supply chains, sales, service, logistics, digital operations, and overseas marketing</w:t>
            </w:r>
          </w:p>
        </w:tc>
        <w:tc>
          <w:tcPr>
            <w:tcW w:w="3812" w:type="dxa"/>
            <w:tcMar>
              <w:top w:w="70" w:type="dxa"/>
              <w:left w:w="85" w:type="dxa"/>
              <w:bottom w:w="70" w:type="dxa"/>
              <w:right w:w="85" w:type="dxa"/>
            </w:tcMar>
            <w:vAlign w:val="center"/>
          </w:tcPr>
          <w:p w14:paraId="40EC62C7">
            <w:pPr>
              <w:spacing w:before="0" w:after="0" w:line="240" w:lineRule="auto"/>
              <w:jc w:val="center"/>
            </w:pPr>
            <w:r>
              <w:rPr>
                <w:rFonts w:ascii="Times New Roman" w:hAnsi="Times New Roman" w:eastAsia="Times New Roman"/>
                <w:b w:val="0"/>
                <w:sz w:val="17"/>
              </w:rPr>
              <w:t>17</w:t>
            </w:r>
          </w:p>
        </w:tc>
        <w:tc>
          <w:tcPr>
            <w:tcW w:w="3812" w:type="dxa"/>
            <w:tcMar>
              <w:top w:w="70" w:type="dxa"/>
              <w:left w:w="85" w:type="dxa"/>
              <w:bottom w:w="70" w:type="dxa"/>
              <w:right w:w="85" w:type="dxa"/>
            </w:tcMar>
            <w:vAlign w:val="center"/>
          </w:tcPr>
          <w:p w14:paraId="765FF5D3">
            <w:pPr>
              <w:spacing w:before="0" w:after="0" w:line="240" w:lineRule="auto"/>
            </w:pPr>
            <w:r>
              <w:rPr>
                <w:rFonts w:ascii="Times New Roman" w:hAnsi="Times New Roman" w:eastAsia="Times New Roman"/>
                <w:b w:val="0"/>
                <w:sz w:val="17"/>
              </w:rPr>
              <w:t>Operational experience, user interaction, digital-tool use, collaboration tensions, and adaptation</w:t>
            </w:r>
          </w:p>
        </w:tc>
      </w:tr>
      <w:tr w14:paraId="6E61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23275043">
            <w:pPr>
              <w:spacing w:before="0" w:after="0" w:line="240" w:lineRule="auto"/>
              <w:jc w:val="left"/>
            </w:pPr>
            <w:r>
              <w:rPr>
                <w:rFonts w:ascii="Times New Roman" w:hAnsi="Times New Roman" w:eastAsia="Times New Roman"/>
                <w:b w:val="0"/>
                <w:sz w:val="17"/>
              </w:rPr>
              <w:t>Total</w:t>
            </w:r>
          </w:p>
        </w:tc>
        <w:tc>
          <w:tcPr>
            <w:tcW w:w="3812" w:type="dxa"/>
            <w:tcMar>
              <w:top w:w="70" w:type="dxa"/>
              <w:left w:w="85" w:type="dxa"/>
              <w:bottom w:w="70" w:type="dxa"/>
              <w:right w:w="85" w:type="dxa"/>
            </w:tcMar>
            <w:vAlign w:val="center"/>
          </w:tcPr>
          <w:p w14:paraId="54089453">
            <w:pPr>
              <w:spacing w:before="0" w:after="0" w:line="240" w:lineRule="auto"/>
              <w:jc w:val="left"/>
            </w:pPr>
            <w:r>
              <w:rPr>
                <w:rFonts w:ascii="Times New Roman" w:hAnsi="Times New Roman" w:eastAsia="Times New Roman"/>
                <w:b w:val="0"/>
                <w:sz w:val="17"/>
              </w:rPr>
              <w:t>All role categories</w:t>
            </w:r>
          </w:p>
        </w:tc>
        <w:tc>
          <w:tcPr>
            <w:tcW w:w="3812" w:type="dxa"/>
            <w:tcMar>
              <w:top w:w="70" w:type="dxa"/>
              <w:left w:w="85" w:type="dxa"/>
              <w:bottom w:w="70" w:type="dxa"/>
              <w:right w:w="85" w:type="dxa"/>
            </w:tcMar>
            <w:vAlign w:val="center"/>
          </w:tcPr>
          <w:p w14:paraId="14E8F8A1">
            <w:pPr>
              <w:spacing w:before="0" w:after="0" w:line="240" w:lineRule="auto"/>
              <w:jc w:val="center"/>
            </w:pPr>
            <w:r>
              <w:rPr>
                <w:rFonts w:ascii="Times New Roman" w:hAnsi="Times New Roman" w:eastAsia="Times New Roman"/>
                <w:b w:val="0"/>
                <w:sz w:val="17"/>
              </w:rPr>
              <w:t>35</w:t>
            </w:r>
          </w:p>
        </w:tc>
        <w:tc>
          <w:tcPr>
            <w:tcW w:w="3812" w:type="dxa"/>
            <w:tcMar>
              <w:top w:w="70" w:type="dxa"/>
              <w:left w:w="85" w:type="dxa"/>
              <w:bottom w:w="70" w:type="dxa"/>
              <w:right w:w="85" w:type="dxa"/>
            </w:tcMar>
            <w:vAlign w:val="center"/>
          </w:tcPr>
          <w:p w14:paraId="514A4B8A">
            <w:pPr>
              <w:spacing w:before="0" w:after="0" w:line="240" w:lineRule="auto"/>
            </w:pPr>
            <w:r>
              <w:rPr>
                <w:rFonts w:ascii="Times New Roman" w:hAnsi="Times New Roman" w:eastAsia="Times New Roman"/>
                <w:b w:val="0"/>
                <w:sz w:val="17"/>
              </w:rPr>
              <w:t>Mechanism development and triangulation</w:t>
            </w:r>
          </w:p>
        </w:tc>
      </w:tr>
    </w:tbl>
    <w:p w14:paraId="72E00C3C">
      <w:pPr>
        <w:jc w:val="both"/>
      </w:pPr>
      <w:r>
        <w:rPr>
          <w:rFonts w:ascii="Times New Roman" w:hAnsi="Times New Roman" w:eastAsia="Times New Roman"/>
          <w:i/>
        </w:rPr>
        <w:t>Note: Counts were reconciled against the anonymized participant roster. All 35 coded records are present in the consolidated Chinese-language transcript archive. Interviews were conducted through Tencent Meeting from November 2025 to March 2026. The participant log records 65-112 min per interview (mean 80.1 min; 2805 min in total). Direct identifiers are excluded.</w:t>
      </w:r>
    </w:p>
    <w:p w14:paraId="2FCA3311">
      <w:pPr>
        <w:pStyle w:val="3"/>
      </w:pPr>
      <w:r>
        <w:rPr>
          <w:rFonts w:ascii="Times New Roman" w:hAnsi="Times New Roman" w:eastAsia="Times New Roman"/>
        </w:rPr>
        <w:t>Table S2. Representative interview quotations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050"/>
        <w:gridCol w:w="3050"/>
        <w:gridCol w:w="3050"/>
        <w:gridCol w:w="3050"/>
      </w:tblGrid>
      <w:tr w14:paraId="68EC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50" w:type="dxa"/>
            <w:shd w:val="clear" w:color="auto" w:fill="E7EEF7"/>
            <w:tcMar>
              <w:top w:w="70" w:type="dxa"/>
              <w:left w:w="85" w:type="dxa"/>
              <w:bottom w:w="70" w:type="dxa"/>
              <w:right w:w="85" w:type="dxa"/>
            </w:tcMar>
            <w:vAlign w:val="center"/>
          </w:tcPr>
          <w:p w14:paraId="2532014C">
            <w:pPr>
              <w:spacing w:before="0" w:after="0" w:line="240" w:lineRule="auto"/>
            </w:pPr>
            <w:r>
              <w:rPr>
                <w:rFonts w:ascii="Times New Roman" w:hAnsi="Times New Roman" w:eastAsia="Times New Roman"/>
                <w:b/>
                <w:sz w:val="17"/>
              </w:rPr>
              <w:t>Interview ID</w:t>
            </w:r>
          </w:p>
        </w:tc>
        <w:tc>
          <w:tcPr>
            <w:tcW w:w="3050" w:type="dxa"/>
            <w:shd w:val="clear" w:color="auto" w:fill="E7EEF7"/>
            <w:tcMar>
              <w:top w:w="70" w:type="dxa"/>
              <w:left w:w="85" w:type="dxa"/>
              <w:bottom w:w="70" w:type="dxa"/>
              <w:right w:w="85" w:type="dxa"/>
            </w:tcMar>
            <w:vAlign w:val="center"/>
          </w:tcPr>
          <w:p w14:paraId="2FC3D76A">
            <w:pPr>
              <w:spacing w:before="0" w:after="0" w:line="240" w:lineRule="auto"/>
            </w:pPr>
            <w:r>
              <w:rPr>
                <w:rFonts w:ascii="Times New Roman" w:hAnsi="Times New Roman" w:eastAsia="Times New Roman"/>
                <w:b/>
                <w:sz w:val="17"/>
              </w:rPr>
              <w:t>Role Category</w:t>
            </w:r>
          </w:p>
        </w:tc>
        <w:tc>
          <w:tcPr>
            <w:tcW w:w="3050" w:type="dxa"/>
            <w:shd w:val="clear" w:color="auto" w:fill="E7EEF7"/>
            <w:tcMar>
              <w:top w:w="70" w:type="dxa"/>
              <w:left w:w="85" w:type="dxa"/>
              <w:bottom w:w="70" w:type="dxa"/>
              <w:right w:w="85" w:type="dxa"/>
            </w:tcMar>
            <w:vAlign w:val="center"/>
          </w:tcPr>
          <w:p w14:paraId="237EE27D">
            <w:pPr>
              <w:spacing w:before="0" w:after="0" w:line="240" w:lineRule="auto"/>
            </w:pPr>
            <w:r>
              <w:rPr>
                <w:rFonts w:ascii="Times New Roman" w:hAnsi="Times New Roman" w:eastAsia="Times New Roman"/>
                <w:b/>
                <w:sz w:val="17"/>
              </w:rPr>
              <w:t>Interview Date</w:t>
            </w:r>
          </w:p>
        </w:tc>
        <w:tc>
          <w:tcPr>
            <w:tcW w:w="3050" w:type="dxa"/>
            <w:shd w:val="clear" w:color="auto" w:fill="E7EEF7"/>
            <w:tcMar>
              <w:top w:w="70" w:type="dxa"/>
              <w:left w:w="85" w:type="dxa"/>
              <w:bottom w:w="70" w:type="dxa"/>
              <w:right w:w="85" w:type="dxa"/>
            </w:tcMar>
            <w:vAlign w:val="center"/>
          </w:tcPr>
          <w:p w14:paraId="6109035B">
            <w:pPr>
              <w:spacing w:before="0" w:after="0" w:line="240" w:lineRule="auto"/>
            </w:pPr>
            <w:r>
              <w:rPr>
                <w:rFonts w:ascii="Times New Roman" w:hAnsi="Times New Roman" w:eastAsia="Times New Roman"/>
                <w:b/>
                <w:sz w:val="17"/>
              </w:rPr>
              <w:t>Evidence Theme</w:t>
            </w:r>
          </w:p>
        </w:tc>
        <w:tc>
          <w:tcPr>
            <w:tcW w:w="3050" w:type="dxa"/>
            <w:shd w:val="clear" w:color="auto" w:fill="E7EEF7"/>
            <w:tcMar>
              <w:top w:w="70" w:type="dxa"/>
              <w:left w:w="85" w:type="dxa"/>
              <w:bottom w:w="70" w:type="dxa"/>
              <w:right w:w="85" w:type="dxa"/>
            </w:tcMar>
            <w:vAlign w:val="center"/>
          </w:tcPr>
          <w:p w14:paraId="7D7B5610">
            <w:pPr>
              <w:spacing w:before="0" w:after="0" w:line="240" w:lineRule="auto"/>
            </w:pPr>
            <w:r>
              <w:rPr>
                <w:rFonts w:ascii="Times New Roman" w:hAnsi="Times New Roman" w:eastAsia="Times New Roman"/>
                <w:b/>
                <w:sz w:val="17"/>
              </w:rPr>
              <w:t>Representative Quotation</w:t>
            </w:r>
          </w:p>
        </w:tc>
      </w:tr>
      <w:tr w14:paraId="06CA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20ECFA3F">
            <w:pPr>
              <w:spacing w:before="0" w:after="0" w:line="240" w:lineRule="auto"/>
            </w:pPr>
            <w:r>
              <w:rPr>
                <w:rFonts w:ascii="Times New Roman" w:hAnsi="Times New Roman" w:eastAsia="Times New Roman"/>
                <w:b w:val="0"/>
                <w:sz w:val="17"/>
              </w:rPr>
              <w:t>M1</w:t>
            </w:r>
          </w:p>
        </w:tc>
        <w:tc>
          <w:tcPr>
            <w:tcW w:w="3050" w:type="dxa"/>
            <w:tcMar>
              <w:top w:w="70" w:type="dxa"/>
              <w:left w:w="85" w:type="dxa"/>
              <w:bottom w:w="70" w:type="dxa"/>
              <w:right w:w="85" w:type="dxa"/>
            </w:tcMar>
            <w:vAlign w:val="center"/>
          </w:tcPr>
          <w:p w14:paraId="6226D4F3">
            <w:pPr>
              <w:spacing w:before="0" w:after="0" w:line="240" w:lineRule="auto"/>
            </w:pPr>
            <w:r>
              <w:rPr>
                <w:rFonts w:ascii="Times New Roman" w:hAnsi="Times New Roman" w:eastAsia="Times New Roman"/>
                <w:b w:val="0"/>
                <w:sz w:val="17"/>
              </w:rPr>
              <w:t>Senior executive</w:t>
            </w:r>
          </w:p>
        </w:tc>
        <w:tc>
          <w:tcPr>
            <w:tcW w:w="3050" w:type="dxa"/>
            <w:tcMar>
              <w:top w:w="70" w:type="dxa"/>
              <w:left w:w="85" w:type="dxa"/>
              <w:bottom w:w="70" w:type="dxa"/>
              <w:right w:w="85" w:type="dxa"/>
            </w:tcMar>
            <w:vAlign w:val="center"/>
          </w:tcPr>
          <w:p w14:paraId="3771FC16">
            <w:pPr>
              <w:spacing w:before="0" w:after="0" w:line="240" w:lineRule="auto"/>
            </w:pPr>
            <w:r>
              <w:rPr>
                <w:rFonts w:ascii="Times New Roman" w:hAnsi="Times New Roman" w:eastAsia="Times New Roman"/>
                <w:b w:val="0"/>
                <w:sz w:val="17"/>
              </w:rPr>
              <w:t>2025/11/12</w:t>
            </w:r>
          </w:p>
        </w:tc>
        <w:tc>
          <w:tcPr>
            <w:tcW w:w="3050" w:type="dxa"/>
            <w:tcMar>
              <w:top w:w="70" w:type="dxa"/>
              <w:left w:w="85" w:type="dxa"/>
              <w:bottom w:w="70" w:type="dxa"/>
              <w:right w:w="85" w:type="dxa"/>
            </w:tcMar>
            <w:vAlign w:val="center"/>
          </w:tcPr>
          <w:p w14:paraId="317A3F90">
            <w:pPr>
              <w:spacing w:before="0" w:after="0" w:line="240" w:lineRule="auto"/>
            </w:pPr>
            <w:r>
              <w:rPr>
                <w:rFonts w:ascii="Times New Roman" w:hAnsi="Times New Roman" w:eastAsia="Times New Roman"/>
                <w:b w:val="0"/>
                <w:sz w:val="17"/>
              </w:rPr>
              <w:t>Strategic positioning of digital transformation</w:t>
            </w:r>
          </w:p>
        </w:tc>
        <w:tc>
          <w:tcPr>
            <w:tcW w:w="3050" w:type="dxa"/>
            <w:tcMar>
              <w:top w:w="70" w:type="dxa"/>
              <w:left w:w="85" w:type="dxa"/>
              <w:bottom w:w="70" w:type="dxa"/>
              <w:right w:w="85" w:type="dxa"/>
            </w:tcMar>
            <w:vAlign w:val="center"/>
          </w:tcPr>
          <w:p w14:paraId="6C740AD3">
            <w:pPr>
              <w:spacing w:before="0" w:after="0" w:line="240" w:lineRule="auto"/>
            </w:pPr>
            <w:r>
              <w:rPr>
                <w:rFonts w:ascii="Times New Roman" w:hAnsi="Times New Roman" w:eastAsia="Times New Roman"/>
                <w:b w:val="0"/>
                <w:sz w:val="17"/>
              </w:rPr>
              <w:t>“Digitalization is our infrastructure; RenDanHeYi is our operating rule; ecosystemization is the destination.”</w:t>
            </w:r>
          </w:p>
        </w:tc>
      </w:tr>
      <w:tr w14:paraId="57F1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13AAB0D8">
            <w:pPr>
              <w:spacing w:before="0" w:after="0" w:line="240" w:lineRule="auto"/>
            </w:pPr>
            <w:r>
              <w:rPr>
                <w:rFonts w:ascii="Times New Roman" w:hAnsi="Times New Roman" w:eastAsia="Times New Roman"/>
                <w:b w:val="0"/>
                <w:sz w:val="17"/>
              </w:rPr>
              <w:t>M1</w:t>
            </w:r>
          </w:p>
        </w:tc>
        <w:tc>
          <w:tcPr>
            <w:tcW w:w="3050" w:type="dxa"/>
            <w:tcMar>
              <w:top w:w="70" w:type="dxa"/>
              <w:left w:w="85" w:type="dxa"/>
              <w:bottom w:w="70" w:type="dxa"/>
              <w:right w:w="85" w:type="dxa"/>
            </w:tcMar>
            <w:vAlign w:val="center"/>
          </w:tcPr>
          <w:p w14:paraId="34841B41">
            <w:pPr>
              <w:spacing w:before="0" w:after="0" w:line="240" w:lineRule="auto"/>
            </w:pPr>
            <w:r>
              <w:rPr>
                <w:rFonts w:ascii="Times New Roman" w:hAnsi="Times New Roman" w:eastAsia="Times New Roman"/>
                <w:b w:val="0"/>
                <w:sz w:val="17"/>
              </w:rPr>
              <w:t>Senior executive</w:t>
            </w:r>
          </w:p>
        </w:tc>
        <w:tc>
          <w:tcPr>
            <w:tcW w:w="3050" w:type="dxa"/>
            <w:tcMar>
              <w:top w:w="70" w:type="dxa"/>
              <w:left w:w="85" w:type="dxa"/>
              <w:bottom w:w="70" w:type="dxa"/>
              <w:right w:w="85" w:type="dxa"/>
            </w:tcMar>
            <w:vAlign w:val="center"/>
          </w:tcPr>
          <w:p w14:paraId="3B9DE10C">
            <w:pPr>
              <w:spacing w:before="0" w:after="0" w:line="240" w:lineRule="auto"/>
            </w:pPr>
            <w:r>
              <w:rPr>
                <w:rFonts w:ascii="Times New Roman" w:hAnsi="Times New Roman" w:eastAsia="Times New Roman"/>
                <w:b w:val="0"/>
                <w:sz w:val="17"/>
              </w:rPr>
              <w:t>2025/11/12</w:t>
            </w:r>
          </w:p>
        </w:tc>
        <w:tc>
          <w:tcPr>
            <w:tcW w:w="3050" w:type="dxa"/>
            <w:tcMar>
              <w:top w:w="70" w:type="dxa"/>
              <w:left w:w="85" w:type="dxa"/>
              <w:bottom w:w="70" w:type="dxa"/>
              <w:right w:w="85" w:type="dxa"/>
            </w:tcMar>
            <w:vAlign w:val="center"/>
          </w:tcPr>
          <w:p w14:paraId="08E4D849">
            <w:pPr>
              <w:spacing w:before="0" w:after="0" w:line="240" w:lineRule="auto"/>
            </w:pPr>
            <w:r>
              <w:rPr>
                <w:rFonts w:ascii="Times New Roman" w:hAnsi="Times New Roman" w:eastAsia="Times New Roman"/>
                <w:b w:val="0"/>
                <w:sz w:val="17"/>
              </w:rPr>
              <w:t>Dynamic strategic alignment</w:t>
            </w:r>
          </w:p>
        </w:tc>
        <w:tc>
          <w:tcPr>
            <w:tcW w:w="3050" w:type="dxa"/>
            <w:tcMar>
              <w:top w:w="70" w:type="dxa"/>
              <w:left w:w="85" w:type="dxa"/>
              <w:bottom w:w="70" w:type="dxa"/>
              <w:right w:w="85" w:type="dxa"/>
            </w:tcMar>
            <w:vAlign w:val="center"/>
          </w:tcPr>
          <w:p w14:paraId="7358978F">
            <w:pPr>
              <w:spacing w:before="0" w:after="0" w:line="240" w:lineRule="auto"/>
            </w:pPr>
            <w:r>
              <w:rPr>
                <w:rFonts w:ascii="Times New Roman" w:hAnsi="Times New Roman" w:eastAsia="Times New Roman"/>
                <w:b w:val="0"/>
                <w:sz w:val="17"/>
              </w:rPr>
              <w:t>“The essence of our reform is a shift from top-down control to bottom-up user-value creation.”</w:t>
            </w:r>
          </w:p>
        </w:tc>
      </w:tr>
      <w:tr w14:paraId="790B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18815A9F">
            <w:pPr>
              <w:spacing w:before="0" w:after="0" w:line="240" w:lineRule="auto"/>
            </w:pPr>
            <w:r>
              <w:rPr>
                <w:rFonts w:ascii="Times New Roman" w:hAnsi="Times New Roman" w:eastAsia="Times New Roman"/>
                <w:b w:val="0"/>
                <w:sz w:val="17"/>
              </w:rPr>
              <w:t>M1</w:t>
            </w:r>
          </w:p>
        </w:tc>
        <w:tc>
          <w:tcPr>
            <w:tcW w:w="3050" w:type="dxa"/>
            <w:tcMar>
              <w:top w:w="70" w:type="dxa"/>
              <w:left w:w="85" w:type="dxa"/>
              <w:bottom w:w="70" w:type="dxa"/>
              <w:right w:w="85" w:type="dxa"/>
            </w:tcMar>
            <w:vAlign w:val="center"/>
          </w:tcPr>
          <w:p w14:paraId="2D336CCB">
            <w:pPr>
              <w:spacing w:before="0" w:after="0" w:line="240" w:lineRule="auto"/>
            </w:pPr>
            <w:r>
              <w:rPr>
                <w:rFonts w:ascii="Times New Roman" w:hAnsi="Times New Roman" w:eastAsia="Times New Roman"/>
                <w:b w:val="0"/>
                <w:sz w:val="17"/>
              </w:rPr>
              <w:t>Senior executive</w:t>
            </w:r>
          </w:p>
        </w:tc>
        <w:tc>
          <w:tcPr>
            <w:tcW w:w="3050" w:type="dxa"/>
            <w:tcMar>
              <w:top w:w="70" w:type="dxa"/>
              <w:left w:w="85" w:type="dxa"/>
              <w:bottom w:w="70" w:type="dxa"/>
              <w:right w:w="85" w:type="dxa"/>
            </w:tcMar>
            <w:vAlign w:val="center"/>
          </w:tcPr>
          <w:p w14:paraId="4FF7A8C6">
            <w:pPr>
              <w:spacing w:before="0" w:after="0" w:line="240" w:lineRule="auto"/>
            </w:pPr>
            <w:r>
              <w:rPr>
                <w:rFonts w:ascii="Times New Roman" w:hAnsi="Times New Roman" w:eastAsia="Times New Roman"/>
                <w:b w:val="0"/>
                <w:sz w:val="17"/>
              </w:rPr>
              <w:t>2025/11/12</w:t>
            </w:r>
          </w:p>
        </w:tc>
        <w:tc>
          <w:tcPr>
            <w:tcW w:w="3050" w:type="dxa"/>
            <w:tcMar>
              <w:top w:w="70" w:type="dxa"/>
              <w:left w:w="85" w:type="dxa"/>
              <w:bottom w:w="70" w:type="dxa"/>
              <w:right w:w="85" w:type="dxa"/>
            </w:tcMar>
            <w:vAlign w:val="center"/>
          </w:tcPr>
          <w:p w14:paraId="6EC2FB0C">
            <w:pPr>
              <w:spacing w:before="0" w:after="0" w:line="240" w:lineRule="auto"/>
            </w:pPr>
            <w:r>
              <w:rPr>
                <w:rFonts w:ascii="Times New Roman" w:hAnsi="Times New Roman" w:eastAsia="Times New Roman"/>
                <w:b w:val="0"/>
                <w:sz w:val="17"/>
              </w:rPr>
              <w:t>User-value-based incentives</w:t>
            </w:r>
          </w:p>
        </w:tc>
        <w:tc>
          <w:tcPr>
            <w:tcW w:w="3050" w:type="dxa"/>
            <w:tcMar>
              <w:top w:w="70" w:type="dxa"/>
              <w:left w:w="85" w:type="dxa"/>
              <w:bottom w:w="70" w:type="dxa"/>
              <w:right w:w="85" w:type="dxa"/>
            </w:tcMar>
            <w:vAlign w:val="center"/>
          </w:tcPr>
          <w:p w14:paraId="52747000">
            <w:pPr>
              <w:spacing w:before="0" w:after="0" w:line="240" w:lineRule="auto"/>
            </w:pPr>
            <w:r>
              <w:rPr>
                <w:rFonts w:ascii="Times New Roman" w:hAnsi="Times New Roman" w:eastAsia="Times New Roman"/>
                <w:b w:val="0"/>
                <w:sz w:val="17"/>
              </w:rPr>
              <w:t>“Employees used to look to their leaders for evaluation; now their income, promotion, and opportunities are all linked to user value.”</w:t>
            </w:r>
          </w:p>
        </w:tc>
      </w:tr>
      <w:tr w14:paraId="5B68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76858532">
            <w:pPr>
              <w:spacing w:before="0" w:after="0" w:line="240" w:lineRule="auto"/>
            </w:pPr>
            <w:r>
              <w:rPr>
                <w:rFonts w:ascii="Times New Roman" w:hAnsi="Times New Roman" w:eastAsia="Times New Roman"/>
                <w:b w:val="0"/>
                <w:sz w:val="17"/>
              </w:rPr>
              <w:t>M2</w:t>
            </w:r>
          </w:p>
        </w:tc>
        <w:tc>
          <w:tcPr>
            <w:tcW w:w="3050" w:type="dxa"/>
            <w:tcMar>
              <w:top w:w="70" w:type="dxa"/>
              <w:left w:w="85" w:type="dxa"/>
              <w:bottom w:w="70" w:type="dxa"/>
              <w:right w:w="85" w:type="dxa"/>
            </w:tcMar>
            <w:vAlign w:val="center"/>
          </w:tcPr>
          <w:p w14:paraId="0D3B16FA">
            <w:pPr>
              <w:spacing w:before="0" w:after="0" w:line="240" w:lineRule="auto"/>
            </w:pPr>
            <w:r>
              <w:rPr>
                <w:rFonts w:ascii="Times New Roman" w:hAnsi="Times New Roman" w:eastAsia="Times New Roman"/>
                <w:b w:val="0"/>
                <w:sz w:val="17"/>
              </w:rPr>
              <w:t>Senior executive</w:t>
            </w:r>
          </w:p>
        </w:tc>
        <w:tc>
          <w:tcPr>
            <w:tcW w:w="3050" w:type="dxa"/>
            <w:tcMar>
              <w:top w:w="70" w:type="dxa"/>
              <w:left w:w="85" w:type="dxa"/>
              <w:bottom w:w="70" w:type="dxa"/>
              <w:right w:w="85" w:type="dxa"/>
            </w:tcMar>
            <w:vAlign w:val="center"/>
          </w:tcPr>
          <w:p w14:paraId="34856970">
            <w:pPr>
              <w:spacing w:before="0" w:after="0" w:line="240" w:lineRule="auto"/>
            </w:pPr>
            <w:r>
              <w:rPr>
                <w:rFonts w:ascii="Times New Roman" w:hAnsi="Times New Roman" w:eastAsia="Times New Roman"/>
                <w:b w:val="0"/>
                <w:sz w:val="17"/>
              </w:rPr>
              <w:t>2025/11/27</w:t>
            </w:r>
          </w:p>
        </w:tc>
        <w:tc>
          <w:tcPr>
            <w:tcW w:w="3050" w:type="dxa"/>
            <w:tcMar>
              <w:top w:w="70" w:type="dxa"/>
              <w:left w:w="85" w:type="dxa"/>
              <w:bottom w:w="70" w:type="dxa"/>
              <w:right w:w="85" w:type="dxa"/>
            </w:tcMar>
            <w:vAlign w:val="center"/>
          </w:tcPr>
          <w:p w14:paraId="47DD59A5">
            <w:pPr>
              <w:spacing w:before="0" w:after="0" w:line="240" w:lineRule="auto"/>
            </w:pPr>
            <w:r>
              <w:rPr>
                <w:rFonts w:ascii="Times New Roman" w:hAnsi="Times New Roman" w:eastAsia="Times New Roman"/>
                <w:b w:val="0"/>
                <w:sz w:val="17"/>
              </w:rPr>
              <w:t>Digital infrastructure</w:t>
            </w:r>
          </w:p>
        </w:tc>
        <w:tc>
          <w:tcPr>
            <w:tcW w:w="3050" w:type="dxa"/>
            <w:tcMar>
              <w:top w:w="70" w:type="dxa"/>
              <w:left w:w="85" w:type="dxa"/>
              <w:bottom w:w="70" w:type="dxa"/>
              <w:right w:w="85" w:type="dxa"/>
            </w:tcMar>
            <w:vAlign w:val="center"/>
          </w:tcPr>
          <w:p w14:paraId="6E833E90">
            <w:pPr>
              <w:spacing w:before="0" w:after="0" w:line="240" w:lineRule="auto"/>
            </w:pPr>
            <w:r>
              <w:rPr>
                <w:rFonts w:ascii="Times New Roman" w:hAnsi="Times New Roman" w:eastAsia="Times New Roman"/>
                <w:b w:val="0"/>
                <w:sz w:val="17"/>
              </w:rPr>
              <w:t>“Without digitalization, there would be no Haier Smart Home as it is today, and RenDanHeYi could not be implemented.”</w:t>
            </w:r>
          </w:p>
        </w:tc>
      </w:tr>
      <w:tr w14:paraId="104E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5121C5CC">
            <w:pPr>
              <w:spacing w:before="0" w:after="0" w:line="240" w:lineRule="auto"/>
            </w:pPr>
            <w:r>
              <w:rPr>
                <w:rFonts w:ascii="Times New Roman" w:hAnsi="Times New Roman" w:eastAsia="Times New Roman"/>
                <w:b w:val="0"/>
                <w:sz w:val="17"/>
              </w:rPr>
              <w:t>M2</w:t>
            </w:r>
          </w:p>
        </w:tc>
        <w:tc>
          <w:tcPr>
            <w:tcW w:w="3050" w:type="dxa"/>
            <w:tcMar>
              <w:top w:w="70" w:type="dxa"/>
              <w:left w:w="85" w:type="dxa"/>
              <w:bottom w:w="70" w:type="dxa"/>
              <w:right w:w="85" w:type="dxa"/>
            </w:tcMar>
            <w:vAlign w:val="center"/>
          </w:tcPr>
          <w:p w14:paraId="320A96F2">
            <w:pPr>
              <w:spacing w:before="0" w:after="0" w:line="240" w:lineRule="auto"/>
            </w:pPr>
            <w:r>
              <w:rPr>
                <w:rFonts w:ascii="Times New Roman" w:hAnsi="Times New Roman" w:eastAsia="Times New Roman"/>
                <w:b w:val="0"/>
                <w:sz w:val="17"/>
              </w:rPr>
              <w:t>Senior executive</w:t>
            </w:r>
          </w:p>
        </w:tc>
        <w:tc>
          <w:tcPr>
            <w:tcW w:w="3050" w:type="dxa"/>
            <w:tcMar>
              <w:top w:w="70" w:type="dxa"/>
              <w:left w:w="85" w:type="dxa"/>
              <w:bottom w:w="70" w:type="dxa"/>
              <w:right w:w="85" w:type="dxa"/>
            </w:tcMar>
            <w:vAlign w:val="center"/>
          </w:tcPr>
          <w:p w14:paraId="75495D38">
            <w:pPr>
              <w:spacing w:before="0" w:after="0" w:line="240" w:lineRule="auto"/>
            </w:pPr>
            <w:r>
              <w:rPr>
                <w:rFonts w:ascii="Times New Roman" w:hAnsi="Times New Roman" w:eastAsia="Times New Roman"/>
                <w:b w:val="0"/>
                <w:sz w:val="17"/>
              </w:rPr>
              <w:t>2025/11/27</w:t>
            </w:r>
          </w:p>
        </w:tc>
        <w:tc>
          <w:tcPr>
            <w:tcW w:w="3050" w:type="dxa"/>
            <w:tcMar>
              <w:top w:w="70" w:type="dxa"/>
              <w:left w:w="85" w:type="dxa"/>
              <w:bottom w:w="70" w:type="dxa"/>
              <w:right w:w="85" w:type="dxa"/>
            </w:tcMar>
            <w:vAlign w:val="center"/>
          </w:tcPr>
          <w:p w14:paraId="3CF2973C">
            <w:pPr>
              <w:spacing w:before="0" w:after="0" w:line="240" w:lineRule="auto"/>
            </w:pPr>
            <w:r>
              <w:rPr>
                <w:rFonts w:ascii="Times New Roman" w:hAnsi="Times New Roman" w:eastAsia="Times New Roman"/>
                <w:b w:val="0"/>
                <w:sz w:val="17"/>
              </w:rPr>
              <w:t>Chain-group collaboration</w:t>
            </w:r>
          </w:p>
        </w:tc>
        <w:tc>
          <w:tcPr>
            <w:tcW w:w="3050" w:type="dxa"/>
            <w:tcMar>
              <w:top w:w="70" w:type="dxa"/>
              <w:left w:w="85" w:type="dxa"/>
              <w:bottom w:w="70" w:type="dxa"/>
              <w:right w:w="85" w:type="dxa"/>
            </w:tcMar>
            <w:vAlign w:val="center"/>
          </w:tcPr>
          <w:p w14:paraId="3E1ACEF2">
            <w:pPr>
              <w:spacing w:before="0" w:after="0" w:line="240" w:lineRule="auto"/>
            </w:pPr>
            <w:r>
              <w:rPr>
                <w:rFonts w:ascii="Times New Roman" w:hAnsi="Times New Roman" w:eastAsia="Times New Roman"/>
                <w:b w:val="0"/>
                <w:sz w:val="17"/>
              </w:rPr>
              <w:t>“When users need a whole-home solution, the chain group receives the order, designs, matches, delivers, and serves as one unit, and the value is shared among participants.”</w:t>
            </w:r>
          </w:p>
        </w:tc>
      </w:tr>
      <w:tr w14:paraId="4DB6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3A9C4FC9">
            <w:pPr>
              <w:spacing w:before="0" w:after="0" w:line="240" w:lineRule="auto"/>
            </w:pPr>
            <w:r>
              <w:rPr>
                <w:rFonts w:ascii="Times New Roman" w:hAnsi="Times New Roman" w:eastAsia="Times New Roman"/>
                <w:b w:val="0"/>
                <w:sz w:val="17"/>
              </w:rPr>
              <w:t>M3</w:t>
            </w:r>
          </w:p>
        </w:tc>
        <w:tc>
          <w:tcPr>
            <w:tcW w:w="3050" w:type="dxa"/>
            <w:tcMar>
              <w:top w:w="70" w:type="dxa"/>
              <w:left w:w="85" w:type="dxa"/>
              <w:bottom w:w="70" w:type="dxa"/>
              <w:right w:w="85" w:type="dxa"/>
            </w:tcMar>
            <w:vAlign w:val="center"/>
          </w:tcPr>
          <w:p w14:paraId="6DBF140F">
            <w:pPr>
              <w:spacing w:before="0" w:after="0" w:line="240" w:lineRule="auto"/>
            </w:pPr>
            <w:r>
              <w:rPr>
                <w:rFonts w:ascii="Times New Roman" w:hAnsi="Times New Roman" w:eastAsia="Times New Roman"/>
                <w:b w:val="0"/>
                <w:sz w:val="17"/>
              </w:rPr>
              <w:t>HR platform leader</w:t>
            </w:r>
          </w:p>
        </w:tc>
        <w:tc>
          <w:tcPr>
            <w:tcW w:w="3050" w:type="dxa"/>
            <w:tcMar>
              <w:top w:w="70" w:type="dxa"/>
              <w:left w:w="85" w:type="dxa"/>
              <w:bottom w:w="70" w:type="dxa"/>
              <w:right w:w="85" w:type="dxa"/>
            </w:tcMar>
            <w:vAlign w:val="center"/>
          </w:tcPr>
          <w:p w14:paraId="77CDC4B0">
            <w:pPr>
              <w:spacing w:before="0" w:after="0" w:line="240" w:lineRule="auto"/>
            </w:pPr>
            <w:r>
              <w:rPr>
                <w:rFonts w:ascii="Times New Roman" w:hAnsi="Times New Roman" w:eastAsia="Times New Roman"/>
                <w:b w:val="0"/>
                <w:sz w:val="17"/>
              </w:rPr>
              <w:t>2025/12/10</w:t>
            </w:r>
          </w:p>
        </w:tc>
        <w:tc>
          <w:tcPr>
            <w:tcW w:w="3050" w:type="dxa"/>
            <w:tcMar>
              <w:top w:w="70" w:type="dxa"/>
              <w:left w:w="85" w:type="dxa"/>
              <w:bottom w:w="70" w:type="dxa"/>
              <w:right w:w="85" w:type="dxa"/>
            </w:tcMar>
            <w:vAlign w:val="center"/>
          </w:tcPr>
          <w:p w14:paraId="3E9FEEF8">
            <w:pPr>
              <w:spacing w:before="0" w:after="0" w:line="240" w:lineRule="auto"/>
            </w:pPr>
            <w:r>
              <w:rPr>
                <w:rFonts w:ascii="Times New Roman" w:hAnsi="Times New Roman" w:eastAsia="Times New Roman"/>
                <w:b w:val="0"/>
                <w:sz w:val="17"/>
              </w:rPr>
              <w:t>HR platformization</w:t>
            </w:r>
          </w:p>
        </w:tc>
        <w:tc>
          <w:tcPr>
            <w:tcW w:w="3050" w:type="dxa"/>
            <w:tcMar>
              <w:top w:w="70" w:type="dxa"/>
              <w:left w:w="85" w:type="dxa"/>
              <w:bottom w:w="70" w:type="dxa"/>
              <w:right w:w="85" w:type="dxa"/>
            </w:tcMar>
            <w:vAlign w:val="center"/>
          </w:tcPr>
          <w:p w14:paraId="0003C30D">
            <w:pPr>
              <w:spacing w:before="0" w:after="0" w:line="240" w:lineRule="auto"/>
            </w:pPr>
            <w:r>
              <w:rPr>
                <w:rFonts w:ascii="Times New Roman" w:hAnsi="Times New Roman" w:eastAsia="Times New Roman"/>
                <w:b w:val="0"/>
                <w:sz w:val="17"/>
              </w:rPr>
              <w:t>“The HR platform has no hierarchy or approval power; it only has service power and empowerment power.”</w:t>
            </w:r>
          </w:p>
        </w:tc>
      </w:tr>
      <w:tr w14:paraId="2C87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6EC65D99">
            <w:pPr>
              <w:spacing w:before="0" w:after="0" w:line="240" w:lineRule="auto"/>
            </w:pPr>
            <w:r>
              <w:rPr>
                <w:rFonts w:ascii="Times New Roman" w:hAnsi="Times New Roman" w:eastAsia="Times New Roman"/>
                <w:b w:val="0"/>
                <w:sz w:val="17"/>
              </w:rPr>
              <w:t>M3</w:t>
            </w:r>
          </w:p>
        </w:tc>
        <w:tc>
          <w:tcPr>
            <w:tcW w:w="3050" w:type="dxa"/>
            <w:tcMar>
              <w:top w:w="70" w:type="dxa"/>
              <w:left w:w="85" w:type="dxa"/>
              <w:bottom w:w="70" w:type="dxa"/>
              <w:right w:w="85" w:type="dxa"/>
            </w:tcMar>
            <w:vAlign w:val="center"/>
          </w:tcPr>
          <w:p w14:paraId="6FB5CDF1">
            <w:pPr>
              <w:spacing w:before="0" w:after="0" w:line="240" w:lineRule="auto"/>
            </w:pPr>
            <w:r>
              <w:rPr>
                <w:rFonts w:ascii="Times New Roman" w:hAnsi="Times New Roman" w:eastAsia="Times New Roman"/>
                <w:b w:val="0"/>
                <w:sz w:val="17"/>
              </w:rPr>
              <w:t>HR platform leader</w:t>
            </w:r>
          </w:p>
        </w:tc>
        <w:tc>
          <w:tcPr>
            <w:tcW w:w="3050" w:type="dxa"/>
            <w:tcMar>
              <w:top w:w="70" w:type="dxa"/>
              <w:left w:w="85" w:type="dxa"/>
              <w:bottom w:w="70" w:type="dxa"/>
              <w:right w:w="85" w:type="dxa"/>
            </w:tcMar>
            <w:vAlign w:val="center"/>
          </w:tcPr>
          <w:p w14:paraId="1A78756D">
            <w:pPr>
              <w:spacing w:before="0" w:after="0" w:line="240" w:lineRule="auto"/>
            </w:pPr>
            <w:r>
              <w:rPr>
                <w:rFonts w:ascii="Times New Roman" w:hAnsi="Times New Roman" w:eastAsia="Times New Roman"/>
                <w:b w:val="0"/>
                <w:sz w:val="17"/>
              </w:rPr>
              <w:t>2025/12/10</w:t>
            </w:r>
          </w:p>
        </w:tc>
        <w:tc>
          <w:tcPr>
            <w:tcW w:w="3050" w:type="dxa"/>
            <w:tcMar>
              <w:top w:w="70" w:type="dxa"/>
              <w:left w:w="85" w:type="dxa"/>
              <w:bottom w:w="70" w:type="dxa"/>
              <w:right w:w="85" w:type="dxa"/>
            </w:tcMar>
            <w:vAlign w:val="center"/>
          </w:tcPr>
          <w:p w14:paraId="3D3FA7AD">
            <w:pPr>
              <w:spacing w:before="0" w:after="0" w:line="240" w:lineRule="auto"/>
            </w:pPr>
            <w:r>
              <w:rPr>
                <w:rFonts w:ascii="Times New Roman" w:hAnsi="Times New Roman" w:eastAsia="Times New Roman"/>
                <w:b w:val="0"/>
                <w:sz w:val="17"/>
              </w:rPr>
              <w:t>Dynamic resource reconfiguration</w:t>
            </w:r>
          </w:p>
        </w:tc>
        <w:tc>
          <w:tcPr>
            <w:tcW w:w="3050" w:type="dxa"/>
            <w:tcMar>
              <w:top w:w="70" w:type="dxa"/>
              <w:left w:w="85" w:type="dxa"/>
              <w:bottom w:w="70" w:type="dxa"/>
              <w:right w:w="85" w:type="dxa"/>
            </w:tcMar>
            <w:vAlign w:val="center"/>
          </w:tcPr>
          <w:p w14:paraId="61B69ED1">
            <w:pPr>
              <w:spacing w:before="0" w:after="0" w:line="240" w:lineRule="auto"/>
            </w:pPr>
            <w:r>
              <w:rPr>
                <w:rFonts w:ascii="Times New Roman" w:hAnsi="Times New Roman" w:eastAsia="Times New Roman"/>
                <w:b w:val="0"/>
                <w:sz w:val="17"/>
              </w:rPr>
              <w:t>“Through the Haidayuan talent platform and the HR data middle platform, people and orders are matched in real time.”</w:t>
            </w:r>
          </w:p>
        </w:tc>
      </w:tr>
      <w:tr w14:paraId="3499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3BBB276D">
            <w:pPr>
              <w:spacing w:before="0" w:after="0" w:line="240" w:lineRule="auto"/>
            </w:pPr>
            <w:r>
              <w:rPr>
                <w:rFonts w:ascii="Times New Roman" w:hAnsi="Times New Roman" w:eastAsia="Times New Roman"/>
                <w:b w:val="0"/>
                <w:sz w:val="17"/>
              </w:rPr>
              <w:t>M3</w:t>
            </w:r>
          </w:p>
        </w:tc>
        <w:tc>
          <w:tcPr>
            <w:tcW w:w="3050" w:type="dxa"/>
            <w:tcMar>
              <w:top w:w="70" w:type="dxa"/>
              <w:left w:w="85" w:type="dxa"/>
              <w:bottom w:w="70" w:type="dxa"/>
              <w:right w:w="85" w:type="dxa"/>
            </w:tcMar>
            <w:vAlign w:val="center"/>
          </w:tcPr>
          <w:p w14:paraId="428B597E">
            <w:pPr>
              <w:spacing w:before="0" w:after="0" w:line="240" w:lineRule="auto"/>
            </w:pPr>
            <w:r>
              <w:rPr>
                <w:rFonts w:ascii="Times New Roman" w:hAnsi="Times New Roman" w:eastAsia="Times New Roman"/>
                <w:b w:val="0"/>
                <w:sz w:val="17"/>
              </w:rPr>
              <w:t>HR platform leader</w:t>
            </w:r>
          </w:p>
        </w:tc>
        <w:tc>
          <w:tcPr>
            <w:tcW w:w="3050" w:type="dxa"/>
            <w:tcMar>
              <w:top w:w="70" w:type="dxa"/>
              <w:left w:w="85" w:type="dxa"/>
              <w:bottom w:w="70" w:type="dxa"/>
              <w:right w:w="85" w:type="dxa"/>
            </w:tcMar>
            <w:vAlign w:val="center"/>
          </w:tcPr>
          <w:p w14:paraId="57AD9073">
            <w:pPr>
              <w:spacing w:before="0" w:after="0" w:line="240" w:lineRule="auto"/>
            </w:pPr>
            <w:r>
              <w:rPr>
                <w:rFonts w:ascii="Times New Roman" w:hAnsi="Times New Roman" w:eastAsia="Times New Roman"/>
                <w:b w:val="0"/>
                <w:sz w:val="17"/>
              </w:rPr>
              <w:t>2025/12/10</w:t>
            </w:r>
          </w:p>
        </w:tc>
        <w:tc>
          <w:tcPr>
            <w:tcW w:w="3050" w:type="dxa"/>
            <w:tcMar>
              <w:top w:w="70" w:type="dxa"/>
              <w:left w:w="85" w:type="dxa"/>
              <w:bottom w:w="70" w:type="dxa"/>
              <w:right w:w="85" w:type="dxa"/>
            </w:tcMar>
            <w:vAlign w:val="center"/>
          </w:tcPr>
          <w:p w14:paraId="3B80A54F">
            <w:pPr>
              <w:spacing w:before="0" w:after="0" w:line="240" w:lineRule="auto"/>
            </w:pPr>
            <w:r>
              <w:rPr>
                <w:rFonts w:ascii="Times New Roman" w:hAnsi="Times New Roman" w:eastAsia="Times New Roman"/>
                <w:b w:val="0"/>
                <w:sz w:val="17"/>
              </w:rPr>
              <w:t>User-paid compensation</w:t>
            </w:r>
          </w:p>
        </w:tc>
        <w:tc>
          <w:tcPr>
            <w:tcW w:w="3050" w:type="dxa"/>
            <w:tcMar>
              <w:top w:w="70" w:type="dxa"/>
              <w:left w:w="85" w:type="dxa"/>
              <w:bottom w:w="70" w:type="dxa"/>
              <w:right w:w="85" w:type="dxa"/>
            </w:tcMar>
            <w:vAlign w:val="center"/>
          </w:tcPr>
          <w:p w14:paraId="7CCF50A3">
            <w:pPr>
              <w:spacing w:before="0" w:after="0" w:line="240" w:lineRule="auto"/>
            </w:pPr>
            <w:r>
              <w:rPr>
                <w:rFonts w:ascii="Times New Roman" w:hAnsi="Times New Roman" w:eastAsia="Times New Roman"/>
                <w:b w:val="0"/>
                <w:sz w:val="17"/>
              </w:rPr>
              <w:t>“Without user value, there is no compensation return. This is an iron rule.”</w:t>
            </w:r>
          </w:p>
        </w:tc>
      </w:tr>
      <w:tr w14:paraId="7578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249CCF0B">
            <w:pPr>
              <w:spacing w:before="0" w:after="0" w:line="240" w:lineRule="auto"/>
            </w:pPr>
            <w:r>
              <w:rPr>
                <w:rFonts w:ascii="Times New Roman" w:hAnsi="Times New Roman" w:eastAsia="Times New Roman"/>
                <w:b w:val="0"/>
                <w:sz w:val="17"/>
              </w:rPr>
              <w:t>M4</w:t>
            </w:r>
          </w:p>
        </w:tc>
        <w:tc>
          <w:tcPr>
            <w:tcW w:w="3050" w:type="dxa"/>
            <w:tcMar>
              <w:top w:w="70" w:type="dxa"/>
              <w:left w:w="85" w:type="dxa"/>
              <w:bottom w:w="70" w:type="dxa"/>
              <w:right w:w="85" w:type="dxa"/>
            </w:tcMar>
            <w:vAlign w:val="center"/>
          </w:tcPr>
          <w:p w14:paraId="3486868D">
            <w:pPr>
              <w:spacing w:before="0" w:after="0" w:line="240" w:lineRule="auto"/>
            </w:pPr>
            <w:r>
              <w:rPr>
                <w:rFonts w:ascii="Times New Roman" w:hAnsi="Times New Roman" w:eastAsia="Times New Roman"/>
                <w:b w:val="0"/>
                <w:sz w:val="17"/>
              </w:rPr>
              <w:t>Business unit leader</w:t>
            </w:r>
          </w:p>
        </w:tc>
        <w:tc>
          <w:tcPr>
            <w:tcW w:w="3050" w:type="dxa"/>
            <w:tcMar>
              <w:top w:w="70" w:type="dxa"/>
              <w:left w:w="85" w:type="dxa"/>
              <w:bottom w:w="70" w:type="dxa"/>
              <w:right w:w="85" w:type="dxa"/>
            </w:tcMar>
            <w:vAlign w:val="center"/>
          </w:tcPr>
          <w:p w14:paraId="170FEDEC">
            <w:pPr>
              <w:spacing w:before="0" w:after="0" w:line="240" w:lineRule="auto"/>
            </w:pPr>
            <w:r>
              <w:rPr>
                <w:rFonts w:ascii="Times New Roman" w:hAnsi="Times New Roman" w:eastAsia="Times New Roman"/>
                <w:b w:val="0"/>
                <w:sz w:val="17"/>
              </w:rPr>
              <w:t>2025/12/26</w:t>
            </w:r>
          </w:p>
        </w:tc>
        <w:tc>
          <w:tcPr>
            <w:tcW w:w="3050" w:type="dxa"/>
            <w:tcMar>
              <w:top w:w="70" w:type="dxa"/>
              <w:left w:w="85" w:type="dxa"/>
              <w:bottom w:w="70" w:type="dxa"/>
              <w:right w:w="85" w:type="dxa"/>
            </w:tcMar>
            <w:vAlign w:val="center"/>
          </w:tcPr>
          <w:p w14:paraId="18315FF0">
            <w:pPr>
              <w:spacing w:before="0" w:after="0" w:line="240" w:lineRule="auto"/>
            </w:pPr>
            <w:r>
              <w:rPr>
                <w:rFonts w:ascii="Times New Roman" w:hAnsi="Times New Roman" w:eastAsia="Times New Roman"/>
                <w:b w:val="0"/>
                <w:sz w:val="17"/>
              </w:rPr>
              <w:t>Digital transformation in manufacturing</w:t>
            </w:r>
          </w:p>
        </w:tc>
        <w:tc>
          <w:tcPr>
            <w:tcW w:w="3050" w:type="dxa"/>
            <w:tcMar>
              <w:top w:w="70" w:type="dxa"/>
              <w:left w:w="85" w:type="dxa"/>
              <w:bottom w:w="70" w:type="dxa"/>
              <w:right w:w="85" w:type="dxa"/>
            </w:tcMar>
            <w:vAlign w:val="center"/>
          </w:tcPr>
          <w:p w14:paraId="35292B22">
            <w:pPr>
              <w:spacing w:before="0" w:after="0" w:line="240" w:lineRule="auto"/>
            </w:pPr>
            <w:r>
              <w:rPr>
                <w:rFonts w:ascii="Times New Roman" w:hAnsi="Times New Roman" w:eastAsia="Times New Roman"/>
                <w:b w:val="0"/>
                <w:sz w:val="17"/>
              </w:rPr>
              <w:t>“Digitalization enables us to accurately capture every user pain point in laundry and garment care.”</w:t>
            </w:r>
          </w:p>
        </w:tc>
      </w:tr>
      <w:tr w14:paraId="0CB3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10EC94E2">
            <w:pPr>
              <w:spacing w:before="0" w:after="0" w:line="240" w:lineRule="auto"/>
            </w:pPr>
            <w:r>
              <w:rPr>
                <w:rFonts w:ascii="Times New Roman" w:hAnsi="Times New Roman" w:eastAsia="Times New Roman"/>
                <w:b w:val="0"/>
                <w:sz w:val="17"/>
              </w:rPr>
              <w:t>T2</w:t>
            </w:r>
          </w:p>
        </w:tc>
        <w:tc>
          <w:tcPr>
            <w:tcW w:w="3050" w:type="dxa"/>
            <w:tcMar>
              <w:top w:w="70" w:type="dxa"/>
              <w:left w:w="85" w:type="dxa"/>
              <w:bottom w:w="70" w:type="dxa"/>
              <w:right w:w="85" w:type="dxa"/>
            </w:tcMar>
            <w:vAlign w:val="center"/>
          </w:tcPr>
          <w:p w14:paraId="1A18810C">
            <w:pPr>
              <w:spacing w:before="0" w:after="0" w:line="240" w:lineRule="auto"/>
            </w:pPr>
            <w:r>
              <w:rPr>
                <w:rFonts w:ascii="Times New Roman" w:hAnsi="Times New Roman" w:eastAsia="Times New Roman"/>
                <w:b w:val="0"/>
                <w:sz w:val="17"/>
              </w:rPr>
              <w:t>Chain-group leader</w:t>
            </w:r>
          </w:p>
        </w:tc>
        <w:tc>
          <w:tcPr>
            <w:tcW w:w="3050" w:type="dxa"/>
            <w:tcMar>
              <w:top w:w="70" w:type="dxa"/>
              <w:left w:w="85" w:type="dxa"/>
              <w:bottom w:w="70" w:type="dxa"/>
              <w:right w:w="85" w:type="dxa"/>
            </w:tcMar>
            <w:vAlign w:val="center"/>
          </w:tcPr>
          <w:p w14:paraId="5B138AE6">
            <w:pPr>
              <w:spacing w:before="0" w:after="0" w:line="240" w:lineRule="auto"/>
            </w:pPr>
            <w:r>
              <w:rPr>
                <w:rFonts w:ascii="Times New Roman" w:hAnsi="Times New Roman" w:eastAsia="Times New Roman"/>
                <w:b w:val="0"/>
                <w:sz w:val="17"/>
              </w:rPr>
              <w:t>2025/11/14</w:t>
            </w:r>
          </w:p>
        </w:tc>
        <w:tc>
          <w:tcPr>
            <w:tcW w:w="3050" w:type="dxa"/>
            <w:tcMar>
              <w:top w:w="70" w:type="dxa"/>
              <w:left w:w="85" w:type="dxa"/>
              <w:bottom w:w="70" w:type="dxa"/>
              <w:right w:w="85" w:type="dxa"/>
            </w:tcMar>
            <w:vAlign w:val="center"/>
          </w:tcPr>
          <w:p w14:paraId="7AD5BF68">
            <w:pPr>
              <w:spacing w:before="0" w:after="0" w:line="240" w:lineRule="auto"/>
            </w:pPr>
            <w:r>
              <w:rPr>
                <w:rFonts w:ascii="Times New Roman" w:hAnsi="Times New Roman" w:eastAsia="Times New Roman"/>
                <w:b w:val="0"/>
                <w:sz w:val="17"/>
              </w:rPr>
              <w:t>Order-based operation</w:t>
            </w:r>
          </w:p>
        </w:tc>
        <w:tc>
          <w:tcPr>
            <w:tcW w:w="3050" w:type="dxa"/>
            <w:tcMar>
              <w:top w:w="70" w:type="dxa"/>
              <w:left w:w="85" w:type="dxa"/>
              <w:bottom w:w="70" w:type="dxa"/>
              <w:right w:w="85" w:type="dxa"/>
            </w:tcMar>
            <w:vAlign w:val="center"/>
          </w:tcPr>
          <w:p w14:paraId="5B2EDFC2">
            <w:pPr>
              <w:spacing w:before="0" w:after="0" w:line="240" w:lineRule="auto"/>
            </w:pPr>
            <w:r>
              <w:rPr>
                <w:rFonts w:ascii="Times New Roman" w:hAnsi="Times New Roman" w:eastAsia="Times New Roman"/>
                <w:b w:val="0"/>
                <w:sz w:val="17"/>
              </w:rPr>
              <w:t>“There are no tasks assigned by superiors; there are only value orders required by users.”</w:t>
            </w:r>
          </w:p>
        </w:tc>
      </w:tr>
      <w:tr w14:paraId="52E9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559517C3">
            <w:pPr>
              <w:spacing w:before="0" w:after="0" w:line="240" w:lineRule="auto"/>
            </w:pPr>
            <w:r>
              <w:rPr>
                <w:rFonts w:ascii="Times New Roman" w:hAnsi="Times New Roman" w:eastAsia="Times New Roman"/>
                <w:b w:val="0"/>
                <w:sz w:val="17"/>
              </w:rPr>
              <w:t>T2</w:t>
            </w:r>
          </w:p>
        </w:tc>
        <w:tc>
          <w:tcPr>
            <w:tcW w:w="3050" w:type="dxa"/>
            <w:tcMar>
              <w:top w:w="70" w:type="dxa"/>
              <w:left w:w="85" w:type="dxa"/>
              <w:bottom w:w="70" w:type="dxa"/>
              <w:right w:w="85" w:type="dxa"/>
            </w:tcMar>
            <w:vAlign w:val="center"/>
          </w:tcPr>
          <w:p w14:paraId="7D795062">
            <w:pPr>
              <w:spacing w:before="0" w:after="0" w:line="240" w:lineRule="auto"/>
            </w:pPr>
            <w:r>
              <w:rPr>
                <w:rFonts w:ascii="Times New Roman" w:hAnsi="Times New Roman" w:eastAsia="Times New Roman"/>
                <w:b w:val="0"/>
                <w:sz w:val="17"/>
              </w:rPr>
              <w:t>Chain-group leader</w:t>
            </w:r>
          </w:p>
        </w:tc>
        <w:tc>
          <w:tcPr>
            <w:tcW w:w="3050" w:type="dxa"/>
            <w:tcMar>
              <w:top w:w="70" w:type="dxa"/>
              <w:left w:w="85" w:type="dxa"/>
              <w:bottom w:w="70" w:type="dxa"/>
              <w:right w:w="85" w:type="dxa"/>
            </w:tcMar>
            <w:vAlign w:val="center"/>
          </w:tcPr>
          <w:p w14:paraId="3C1C8440">
            <w:pPr>
              <w:spacing w:before="0" w:after="0" w:line="240" w:lineRule="auto"/>
            </w:pPr>
            <w:r>
              <w:rPr>
                <w:rFonts w:ascii="Times New Roman" w:hAnsi="Times New Roman" w:eastAsia="Times New Roman"/>
                <w:b w:val="0"/>
                <w:sz w:val="17"/>
              </w:rPr>
              <w:t>2025/11/14</w:t>
            </w:r>
          </w:p>
        </w:tc>
        <w:tc>
          <w:tcPr>
            <w:tcW w:w="3050" w:type="dxa"/>
            <w:tcMar>
              <w:top w:w="70" w:type="dxa"/>
              <w:left w:w="85" w:type="dxa"/>
              <w:bottom w:w="70" w:type="dxa"/>
              <w:right w:w="85" w:type="dxa"/>
            </w:tcMar>
            <w:vAlign w:val="center"/>
          </w:tcPr>
          <w:p w14:paraId="1D5D6670">
            <w:pPr>
              <w:spacing w:before="0" w:after="0" w:line="240" w:lineRule="auto"/>
            </w:pPr>
            <w:r>
              <w:rPr>
                <w:rFonts w:ascii="Times New Roman" w:hAnsi="Times New Roman" w:eastAsia="Times New Roman"/>
                <w:b w:val="0"/>
                <w:sz w:val="17"/>
              </w:rPr>
              <w:t>Chain-group contract governance</w:t>
            </w:r>
          </w:p>
        </w:tc>
        <w:tc>
          <w:tcPr>
            <w:tcW w:w="3050" w:type="dxa"/>
            <w:tcMar>
              <w:top w:w="70" w:type="dxa"/>
              <w:left w:w="85" w:type="dxa"/>
              <w:bottom w:w="70" w:type="dxa"/>
              <w:right w:w="85" w:type="dxa"/>
            </w:tcMar>
            <w:vAlign w:val="center"/>
          </w:tcPr>
          <w:p w14:paraId="393A0EE6">
            <w:pPr>
              <w:spacing w:before="0" w:after="0" w:line="240" w:lineRule="auto"/>
            </w:pPr>
            <w:r>
              <w:rPr>
                <w:rFonts w:ascii="Times New Roman" w:hAnsi="Times New Roman" w:eastAsia="Times New Roman"/>
                <w:b w:val="0"/>
                <w:sz w:val="17"/>
              </w:rPr>
              <w:t>“Collaboration does not rely on administrative instructions; it relies on chain-group contracts.”</w:t>
            </w:r>
          </w:p>
        </w:tc>
      </w:tr>
      <w:tr w14:paraId="1F11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0" w:type="dxa"/>
            <w:tcMar>
              <w:top w:w="70" w:type="dxa"/>
              <w:left w:w="85" w:type="dxa"/>
              <w:bottom w:w="70" w:type="dxa"/>
              <w:right w:w="85" w:type="dxa"/>
            </w:tcMar>
            <w:vAlign w:val="center"/>
          </w:tcPr>
          <w:p w14:paraId="36BCD404">
            <w:pPr>
              <w:spacing w:before="0" w:after="0" w:line="240" w:lineRule="auto"/>
            </w:pPr>
            <w:r>
              <w:rPr>
                <w:rFonts w:ascii="Times New Roman" w:hAnsi="Times New Roman" w:eastAsia="Times New Roman"/>
                <w:b w:val="0"/>
                <w:sz w:val="17"/>
              </w:rPr>
              <w:t>M5</w:t>
            </w:r>
          </w:p>
        </w:tc>
        <w:tc>
          <w:tcPr>
            <w:tcW w:w="3050" w:type="dxa"/>
            <w:tcMar>
              <w:top w:w="70" w:type="dxa"/>
              <w:left w:w="85" w:type="dxa"/>
              <w:bottom w:w="70" w:type="dxa"/>
              <w:right w:w="85" w:type="dxa"/>
            </w:tcMar>
            <w:vAlign w:val="center"/>
          </w:tcPr>
          <w:p w14:paraId="43F6AE85">
            <w:pPr>
              <w:spacing w:before="0" w:after="0" w:line="240" w:lineRule="auto"/>
            </w:pPr>
            <w:r>
              <w:rPr>
                <w:rFonts w:ascii="Times New Roman" w:hAnsi="Times New Roman" w:eastAsia="Times New Roman"/>
                <w:b w:val="0"/>
                <w:sz w:val="17"/>
              </w:rPr>
              <w:t>External expert</w:t>
            </w:r>
          </w:p>
        </w:tc>
        <w:tc>
          <w:tcPr>
            <w:tcW w:w="3050" w:type="dxa"/>
            <w:tcMar>
              <w:top w:w="70" w:type="dxa"/>
              <w:left w:w="85" w:type="dxa"/>
              <w:bottom w:w="70" w:type="dxa"/>
              <w:right w:w="85" w:type="dxa"/>
            </w:tcMar>
            <w:vAlign w:val="center"/>
          </w:tcPr>
          <w:p w14:paraId="3C1A4DF2">
            <w:pPr>
              <w:spacing w:before="0" w:after="0" w:line="240" w:lineRule="auto"/>
            </w:pPr>
            <w:r>
              <w:rPr>
                <w:rFonts w:ascii="Times New Roman" w:hAnsi="Times New Roman" w:eastAsia="Times New Roman"/>
                <w:b w:val="0"/>
                <w:sz w:val="17"/>
              </w:rPr>
              <w:t>2026/1/9</w:t>
            </w:r>
          </w:p>
        </w:tc>
        <w:tc>
          <w:tcPr>
            <w:tcW w:w="3050" w:type="dxa"/>
            <w:tcMar>
              <w:top w:w="70" w:type="dxa"/>
              <w:left w:w="85" w:type="dxa"/>
              <w:bottom w:w="70" w:type="dxa"/>
              <w:right w:w="85" w:type="dxa"/>
            </w:tcMar>
            <w:vAlign w:val="center"/>
          </w:tcPr>
          <w:p w14:paraId="460517BB">
            <w:pPr>
              <w:spacing w:before="0" w:after="0" w:line="240" w:lineRule="auto"/>
            </w:pPr>
            <w:r>
              <w:rPr>
                <w:rFonts w:ascii="Times New Roman" w:hAnsi="Times New Roman" w:eastAsia="Times New Roman"/>
                <w:b w:val="0"/>
                <w:sz w:val="17"/>
              </w:rPr>
              <w:t>Theoretical interpretation of order-based assembly and disassembly</w:t>
            </w:r>
          </w:p>
        </w:tc>
        <w:tc>
          <w:tcPr>
            <w:tcW w:w="3050" w:type="dxa"/>
            <w:tcMar>
              <w:top w:w="70" w:type="dxa"/>
              <w:left w:w="85" w:type="dxa"/>
              <w:bottom w:w="70" w:type="dxa"/>
              <w:right w:w="85" w:type="dxa"/>
            </w:tcMar>
            <w:vAlign w:val="center"/>
          </w:tcPr>
          <w:p w14:paraId="6F4FCCCA">
            <w:pPr>
              <w:spacing w:before="0" w:after="0" w:line="240" w:lineRule="auto"/>
            </w:pPr>
            <w:r>
              <w:rPr>
                <w:rFonts w:ascii="Times New Roman" w:hAnsi="Times New Roman" w:eastAsia="Times New Roman"/>
                <w:b w:val="0"/>
                <w:sz w:val="17"/>
              </w:rPr>
              <w:t>“Talent resources shift from being owned by the enterprise to being shared by the platform, and from superior assignment to market selection.”</w:t>
            </w:r>
          </w:p>
        </w:tc>
      </w:tr>
    </w:tbl>
    <w:p w14:paraId="542190A7">
      <w:pPr>
        <w:jc w:val="both"/>
      </w:pPr>
      <w:r>
        <w:rPr>
          <w:rFonts w:ascii="Times New Roman" w:hAnsi="Times New Roman" w:eastAsia="Times New Roman"/>
          <w:i/>
        </w:rPr>
        <w:t>Note: Quotations are English translations of the archived Chinese transcripts. Coded identifiers are used to protect participants.</w:t>
      </w:r>
    </w:p>
    <w:p w14:paraId="3FA08F75">
      <w:pPr>
        <w:pStyle w:val="3"/>
      </w:pPr>
      <w:r>
        <w:rPr>
          <w:rFonts w:ascii="Times New Roman" w:hAnsi="Times New Roman" w:eastAsia="Times New Roman"/>
        </w:rPr>
        <w:t>Table S3. Coding framework and audit trail</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2"/>
        <w:gridCol w:w="3812"/>
        <w:gridCol w:w="3812"/>
        <w:gridCol w:w="3812"/>
      </w:tblGrid>
      <w:tr w14:paraId="5E22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12" w:type="dxa"/>
            <w:shd w:val="clear" w:color="auto" w:fill="E7EEF7"/>
            <w:tcMar>
              <w:top w:w="70" w:type="dxa"/>
              <w:left w:w="85" w:type="dxa"/>
              <w:bottom w:w="70" w:type="dxa"/>
              <w:right w:w="85" w:type="dxa"/>
            </w:tcMar>
            <w:vAlign w:val="center"/>
          </w:tcPr>
          <w:p w14:paraId="5F441B8C">
            <w:pPr>
              <w:spacing w:before="0" w:after="0" w:line="240" w:lineRule="auto"/>
            </w:pPr>
            <w:r>
              <w:rPr>
                <w:rFonts w:ascii="Times New Roman" w:hAnsi="Times New Roman" w:eastAsia="Times New Roman"/>
                <w:b/>
                <w:sz w:val="17"/>
              </w:rPr>
              <w:t>First-Order Evidence</w:t>
            </w:r>
          </w:p>
        </w:tc>
        <w:tc>
          <w:tcPr>
            <w:tcW w:w="3812" w:type="dxa"/>
            <w:shd w:val="clear" w:color="auto" w:fill="E7EEF7"/>
            <w:tcMar>
              <w:top w:w="70" w:type="dxa"/>
              <w:left w:w="85" w:type="dxa"/>
              <w:bottom w:w="70" w:type="dxa"/>
              <w:right w:w="85" w:type="dxa"/>
            </w:tcMar>
            <w:vAlign w:val="center"/>
          </w:tcPr>
          <w:p w14:paraId="2AA25B4F">
            <w:pPr>
              <w:spacing w:before="0" w:after="0" w:line="240" w:lineRule="auto"/>
            </w:pPr>
            <w:r>
              <w:rPr>
                <w:rFonts w:ascii="Times New Roman" w:hAnsi="Times New Roman" w:eastAsia="Times New Roman"/>
                <w:b/>
                <w:sz w:val="17"/>
              </w:rPr>
              <w:t>Second-Order Theme</w:t>
            </w:r>
          </w:p>
        </w:tc>
        <w:tc>
          <w:tcPr>
            <w:tcW w:w="3812" w:type="dxa"/>
            <w:shd w:val="clear" w:color="auto" w:fill="E7EEF7"/>
            <w:tcMar>
              <w:top w:w="70" w:type="dxa"/>
              <w:left w:w="85" w:type="dxa"/>
              <w:bottom w:w="70" w:type="dxa"/>
              <w:right w:w="85" w:type="dxa"/>
            </w:tcMar>
            <w:vAlign w:val="center"/>
          </w:tcPr>
          <w:p w14:paraId="57C0A6B7">
            <w:pPr>
              <w:spacing w:before="0" w:after="0" w:line="240" w:lineRule="auto"/>
            </w:pPr>
            <w:r>
              <w:rPr>
                <w:rFonts w:ascii="Times New Roman" w:hAnsi="Times New Roman" w:eastAsia="Times New Roman"/>
                <w:b/>
                <w:sz w:val="17"/>
              </w:rPr>
              <w:t>Aggregate Dimension</w:t>
            </w:r>
          </w:p>
        </w:tc>
        <w:tc>
          <w:tcPr>
            <w:tcW w:w="3812" w:type="dxa"/>
            <w:shd w:val="clear" w:color="auto" w:fill="E7EEF7"/>
            <w:tcMar>
              <w:top w:w="70" w:type="dxa"/>
              <w:left w:w="85" w:type="dxa"/>
              <w:bottom w:w="70" w:type="dxa"/>
              <w:right w:w="85" w:type="dxa"/>
            </w:tcMar>
            <w:vAlign w:val="center"/>
          </w:tcPr>
          <w:p w14:paraId="45BE90A1">
            <w:pPr>
              <w:spacing w:before="0" w:after="0" w:line="240" w:lineRule="auto"/>
            </w:pPr>
            <w:r>
              <w:rPr>
                <w:rFonts w:ascii="Times New Roman" w:hAnsi="Times New Roman" w:eastAsia="Times New Roman"/>
                <w:b/>
                <w:sz w:val="17"/>
              </w:rPr>
              <w:t>Audit-Trail Use</w:t>
            </w:r>
          </w:p>
        </w:tc>
      </w:tr>
      <w:tr w14:paraId="5E7E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4BDA1972">
            <w:pPr>
              <w:spacing w:before="0" w:after="0" w:line="240" w:lineRule="auto"/>
            </w:pPr>
            <w:r>
              <w:rPr>
                <w:rFonts w:ascii="Times New Roman" w:hAnsi="Times New Roman" w:eastAsia="Times New Roman"/>
                <w:b w:val="0"/>
                <w:sz w:val="17"/>
              </w:rPr>
              <w:t>User needs, scenario requirements, market opportunities, and user pain points</w:t>
            </w:r>
          </w:p>
        </w:tc>
        <w:tc>
          <w:tcPr>
            <w:tcW w:w="3812" w:type="dxa"/>
            <w:tcMar>
              <w:top w:w="70" w:type="dxa"/>
              <w:left w:w="85" w:type="dxa"/>
              <w:bottom w:w="70" w:type="dxa"/>
              <w:right w:w="85" w:type="dxa"/>
            </w:tcMar>
            <w:vAlign w:val="center"/>
          </w:tcPr>
          <w:p w14:paraId="20C5611F">
            <w:pPr>
              <w:spacing w:before="0" w:after="0" w:line="240" w:lineRule="auto"/>
            </w:pPr>
            <w:r>
              <w:rPr>
                <w:rFonts w:ascii="Times New Roman" w:hAnsi="Times New Roman" w:eastAsia="Times New Roman"/>
                <w:b w:val="0"/>
                <w:sz w:val="17"/>
              </w:rPr>
              <w:t>User-Signal Identification</w:t>
            </w:r>
          </w:p>
        </w:tc>
        <w:tc>
          <w:tcPr>
            <w:tcW w:w="3812" w:type="dxa"/>
            <w:tcMar>
              <w:top w:w="70" w:type="dxa"/>
              <w:left w:w="85" w:type="dxa"/>
              <w:bottom w:w="70" w:type="dxa"/>
              <w:right w:w="85" w:type="dxa"/>
            </w:tcMar>
            <w:vAlign w:val="center"/>
          </w:tcPr>
          <w:p w14:paraId="766DC876">
            <w:pPr>
              <w:spacing w:before="0" w:after="0" w:line="240" w:lineRule="auto"/>
            </w:pPr>
            <w:r>
              <w:rPr>
                <w:rFonts w:ascii="Times New Roman" w:hAnsi="Times New Roman" w:eastAsia="Times New Roman"/>
                <w:b w:val="0"/>
                <w:sz w:val="17"/>
              </w:rPr>
              <w:t>Digital-Transformation Triggers</w:t>
            </w:r>
          </w:p>
        </w:tc>
        <w:tc>
          <w:tcPr>
            <w:tcW w:w="3812" w:type="dxa"/>
            <w:tcMar>
              <w:top w:w="70" w:type="dxa"/>
              <w:left w:w="85" w:type="dxa"/>
              <w:bottom w:w="70" w:type="dxa"/>
              <w:right w:w="85" w:type="dxa"/>
            </w:tcMar>
            <w:vAlign w:val="center"/>
          </w:tcPr>
          <w:p w14:paraId="485AFEBD">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39D4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3ABACD47">
            <w:pPr>
              <w:spacing w:before="0" w:after="0" w:line="240" w:lineRule="auto"/>
            </w:pPr>
            <w:r>
              <w:rPr>
                <w:rFonts w:ascii="Times New Roman" w:hAnsi="Times New Roman" w:eastAsia="Times New Roman"/>
                <w:b w:val="0"/>
                <w:sz w:val="17"/>
              </w:rPr>
              <w:t>HR platforms, HR shared service centers, talent data, business support, and decentralized authority</w:t>
            </w:r>
          </w:p>
        </w:tc>
        <w:tc>
          <w:tcPr>
            <w:tcW w:w="3812" w:type="dxa"/>
            <w:tcMar>
              <w:top w:w="70" w:type="dxa"/>
              <w:left w:w="85" w:type="dxa"/>
              <w:bottom w:w="70" w:type="dxa"/>
              <w:right w:w="85" w:type="dxa"/>
            </w:tcMar>
            <w:vAlign w:val="center"/>
          </w:tcPr>
          <w:p w14:paraId="3C1A18C7">
            <w:pPr>
              <w:spacing w:before="0" w:after="0" w:line="240" w:lineRule="auto"/>
            </w:pPr>
            <w:r>
              <w:rPr>
                <w:rFonts w:ascii="Times New Roman" w:hAnsi="Times New Roman" w:eastAsia="Times New Roman"/>
                <w:b w:val="0"/>
                <w:sz w:val="17"/>
              </w:rPr>
              <w:t>HR Platformization</w:t>
            </w:r>
          </w:p>
        </w:tc>
        <w:tc>
          <w:tcPr>
            <w:tcW w:w="3812" w:type="dxa"/>
            <w:tcMar>
              <w:top w:w="70" w:type="dxa"/>
              <w:left w:w="85" w:type="dxa"/>
              <w:bottom w:w="70" w:type="dxa"/>
              <w:right w:w="85" w:type="dxa"/>
            </w:tcMar>
            <w:vAlign w:val="center"/>
          </w:tcPr>
          <w:p w14:paraId="658FF8DA">
            <w:pPr>
              <w:spacing w:before="0" w:after="0" w:line="240" w:lineRule="auto"/>
            </w:pPr>
            <w:r>
              <w:rPr>
                <w:rFonts w:ascii="Times New Roman" w:hAnsi="Times New Roman" w:eastAsia="Times New Roman"/>
                <w:b w:val="0"/>
                <w:sz w:val="17"/>
              </w:rPr>
              <w:t>Dynamic Strategic Alignment</w:t>
            </w:r>
          </w:p>
        </w:tc>
        <w:tc>
          <w:tcPr>
            <w:tcW w:w="3812" w:type="dxa"/>
            <w:tcMar>
              <w:top w:w="70" w:type="dxa"/>
              <w:left w:w="85" w:type="dxa"/>
              <w:bottom w:w="70" w:type="dxa"/>
              <w:right w:w="85" w:type="dxa"/>
            </w:tcMar>
            <w:vAlign w:val="center"/>
          </w:tcPr>
          <w:p w14:paraId="68E16D01">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7167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2AE1171A">
            <w:pPr>
              <w:spacing w:before="0" w:after="0" w:line="240" w:lineRule="auto"/>
            </w:pPr>
            <w:r>
              <w:rPr>
                <w:rFonts w:ascii="Times New Roman" w:hAnsi="Times New Roman" w:eastAsia="Times New Roman"/>
                <w:b w:val="0"/>
                <w:sz w:val="17"/>
              </w:rPr>
              <w:t>Capability tags, talent profiles, project records, and contribution histories</w:t>
            </w:r>
          </w:p>
        </w:tc>
        <w:tc>
          <w:tcPr>
            <w:tcW w:w="3812" w:type="dxa"/>
            <w:tcMar>
              <w:top w:w="70" w:type="dxa"/>
              <w:left w:w="85" w:type="dxa"/>
              <w:bottom w:w="70" w:type="dxa"/>
              <w:right w:w="85" w:type="dxa"/>
            </w:tcMar>
            <w:vAlign w:val="center"/>
          </w:tcPr>
          <w:p w14:paraId="7D47B5AE">
            <w:pPr>
              <w:spacing w:before="0" w:after="0" w:line="240" w:lineRule="auto"/>
            </w:pPr>
            <w:r>
              <w:rPr>
                <w:rFonts w:ascii="Times New Roman" w:hAnsi="Times New Roman" w:eastAsia="Times New Roman"/>
                <w:b w:val="0"/>
                <w:sz w:val="17"/>
              </w:rPr>
              <w:t>Talent Visibility</w:t>
            </w:r>
          </w:p>
        </w:tc>
        <w:tc>
          <w:tcPr>
            <w:tcW w:w="3812" w:type="dxa"/>
            <w:tcMar>
              <w:top w:w="70" w:type="dxa"/>
              <w:left w:w="85" w:type="dxa"/>
              <w:bottom w:w="70" w:type="dxa"/>
              <w:right w:w="85" w:type="dxa"/>
            </w:tcMar>
            <w:vAlign w:val="center"/>
          </w:tcPr>
          <w:p w14:paraId="2FA7D118">
            <w:pPr>
              <w:spacing w:before="0" w:after="0" w:line="240" w:lineRule="auto"/>
            </w:pPr>
            <w:r>
              <w:rPr>
                <w:rFonts w:ascii="Times New Roman" w:hAnsi="Times New Roman" w:eastAsia="Times New Roman"/>
                <w:b w:val="0"/>
                <w:sz w:val="17"/>
              </w:rPr>
              <w:t>Dynamic Resource Reconfiguration</w:t>
            </w:r>
          </w:p>
        </w:tc>
        <w:tc>
          <w:tcPr>
            <w:tcW w:w="3812" w:type="dxa"/>
            <w:tcMar>
              <w:top w:w="70" w:type="dxa"/>
              <w:left w:w="85" w:type="dxa"/>
              <w:bottom w:w="70" w:type="dxa"/>
              <w:right w:w="85" w:type="dxa"/>
            </w:tcMar>
            <w:vAlign w:val="center"/>
          </w:tcPr>
          <w:p w14:paraId="7BF3C381">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6981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667F9626">
            <w:pPr>
              <w:spacing w:before="0" w:after="0" w:line="240" w:lineRule="auto"/>
            </w:pPr>
            <w:r>
              <w:rPr>
                <w:rFonts w:ascii="Times New Roman" w:hAnsi="Times New Roman" w:eastAsia="Times New Roman"/>
                <w:b w:val="0"/>
                <w:sz w:val="17"/>
              </w:rPr>
              <w:t>Value orders, active participation, temporary team formation, and task completion</w:t>
            </w:r>
          </w:p>
        </w:tc>
        <w:tc>
          <w:tcPr>
            <w:tcW w:w="3812" w:type="dxa"/>
            <w:tcMar>
              <w:top w:w="70" w:type="dxa"/>
              <w:left w:w="85" w:type="dxa"/>
              <w:bottom w:w="70" w:type="dxa"/>
              <w:right w:w="85" w:type="dxa"/>
            </w:tcMar>
            <w:vAlign w:val="center"/>
          </w:tcPr>
          <w:p w14:paraId="0DF39529">
            <w:pPr>
              <w:spacing w:before="0" w:after="0" w:line="240" w:lineRule="auto"/>
            </w:pPr>
            <w:r>
              <w:rPr>
                <w:rFonts w:ascii="Times New Roman" w:hAnsi="Times New Roman" w:eastAsia="Times New Roman"/>
                <w:b w:val="0"/>
                <w:sz w:val="17"/>
              </w:rPr>
              <w:t>Order-Based Assembly and Disassembly</w:t>
            </w:r>
          </w:p>
        </w:tc>
        <w:tc>
          <w:tcPr>
            <w:tcW w:w="3812" w:type="dxa"/>
            <w:tcMar>
              <w:top w:w="70" w:type="dxa"/>
              <w:left w:w="85" w:type="dxa"/>
              <w:bottom w:w="70" w:type="dxa"/>
              <w:right w:w="85" w:type="dxa"/>
            </w:tcMar>
            <w:vAlign w:val="center"/>
          </w:tcPr>
          <w:p w14:paraId="28ABD057">
            <w:pPr>
              <w:spacing w:before="0" w:after="0" w:line="240" w:lineRule="auto"/>
            </w:pPr>
            <w:r>
              <w:rPr>
                <w:rFonts w:ascii="Times New Roman" w:hAnsi="Times New Roman" w:eastAsia="Times New Roman"/>
                <w:b w:val="0"/>
                <w:sz w:val="17"/>
              </w:rPr>
              <w:t>Dynamic Resource Reconfiguration</w:t>
            </w:r>
          </w:p>
        </w:tc>
        <w:tc>
          <w:tcPr>
            <w:tcW w:w="3812" w:type="dxa"/>
            <w:tcMar>
              <w:top w:w="70" w:type="dxa"/>
              <w:left w:w="85" w:type="dxa"/>
              <w:bottom w:w="70" w:type="dxa"/>
              <w:right w:w="85" w:type="dxa"/>
            </w:tcMar>
            <w:vAlign w:val="center"/>
          </w:tcPr>
          <w:p w14:paraId="11DE9DA6">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4D44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523ACF94">
            <w:pPr>
              <w:spacing w:before="0" w:after="0" w:line="240" w:lineRule="auto"/>
            </w:pPr>
            <w:r>
              <w:rPr>
                <w:rFonts w:ascii="Times New Roman" w:hAnsi="Times New Roman" w:eastAsia="Times New Roman"/>
                <w:b w:val="0"/>
                <w:sz w:val="17"/>
              </w:rPr>
              <w:t>User feedback, order value, market outcomes, satisfaction, and service quality</w:t>
            </w:r>
          </w:p>
        </w:tc>
        <w:tc>
          <w:tcPr>
            <w:tcW w:w="3812" w:type="dxa"/>
            <w:tcMar>
              <w:top w:w="70" w:type="dxa"/>
              <w:left w:w="85" w:type="dxa"/>
              <w:bottom w:w="70" w:type="dxa"/>
              <w:right w:w="85" w:type="dxa"/>
            </w:tcMar>
            <w:vAlign w:val="center"/>
          </w:tcPr>
          <w:p w14:paraId="71C27325">
            <w:pPr>
              <w:spacing w:before="0" w:after="0" w:line="240" w:lineRule="auto"/>
            </w:pPr>
            <w:r>
              <w:rPr>
                <w:rFonts w:ascii="Times New Roman" w:hAnsi="Times New Roman" w:eastAsia="Times New Roman"/>
                <w:b w:val="0"/>
                <w:sz w:val="17"/>
              </w:rPr>
              <w:t>User-Value Measurement</w:t>
            </w:r>
          </w:p>
        </w:tc>
        <w:tc>
          <w:tcPr>
            <w:tcW w:w="3812" w:type="dxa"/>
            <w:tcMar>
              <w:top w:w="70" w:type="dxa"/>
              <w:left w:w="85" w:type="dxa"/>
              <w:bottom w:w="70" w:type="dxa"/>
              <w:right w:w="85" w:type="dxa"/>
            </w:tcMar>
            <w:vAlign w:val="center"/>
          </w:tcPr>
          <w:p w14:paraId="1B8A4189">
            <w:pPr>
              <w:spacing w:before="0" w:after="0" w:line="240" w:lineRule="auto"/>
            </w:pPr>
            <w:r>
              <w:rPr>
                <w:rFonts w:ascii="Times New Roman" w:hAnsi="Times New Roman" w:eastAsia="Times New Roman"/>
                <w:b w:val="0"/>
                <w:sz w:val="17"/>
              </w:rPr>
              <w:t>User-Value-Based Incentives</w:t>
            </w:r>
          </w:p>
        </w:tc>
        <w:tc>
          <w:tcPr>
            <w:tcW w:w="3812" w:type="dxa"/>
            <w:tcMar>
              <w:top w:w="70" w:type="dxa"/>
              <w:left w:w="85" w:type="dxa"/>
              <w:bottom w:w="70" w:type="dxa"/>
              <w:right w:w="85" w:type="dxa"/>
            </w:tcMar>
            <w:vAlign w:val="center"/>
          </w:tcPr>
          <w:p w14:paraId="3356A427">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5E3D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62BAAE98">
            <w:pPr>
              <w:spacing w:before="0" w:after="0" w:line="240" w:lineRule="auto"/>
            </w:pPr>
            <w:r>
              <w:rPr>
                <w:rFonts w:ascii="Times New Roman" w:hAnsi="Times New Roman" w:eastAsia="Times New Roman"/>
                <w:b w:val="0"/>
                <w:sz w:val="17"/>
              </w:rPr>
              <w:t>User-paid compensation, contribution-based rewards, and value sharing</w:t>
            </w:r>
          </w:p>
        </w:tc>
        <w:tc>
          <w:tcPr>
            <w:tcW w:w="3812" w:type="dxa"/>
            <w:tcMar>
              <w:top w:w="70" w:type="dxa"/>
              <w:left w:w="85" w:type="dxa"/>
              <w:bottom w:w="70" w:type="dxa"/>
              <w:right w:w="85" w:type="dxa"/>
            </w:tcMar>
            <w:vAlign w:val="center"/>
          </w:tcPr>
          <w:p w14:paraId="1ED37044">
            <w:pPr>
              <w:spacing w:before="0" w:after="0" w:line="240" w:lineRule="auto"/>
            </w:pPr>
            <w:r>
              <w:rPr>
                <w:rFonts w:ascii="Times New Roman" w:hAnsi="Times New Roman" w:eastAsia="Times New Roman"/>
                <w:b w:val="0"/>
                <w:sz w:val="17"/>
              </w:rPr>
              <w:t>Incentive Restructuring</w:t>
            </w:r>
          </w:p>
        </w:tc>
        <w:tc>
          <w:tcPr>
            <w:tcW w:w="3812" w:type="dxa"/>
            <w:tcMar>
              <w:top w:w="70" w:type="dxa"/>
              <w:left w:w="85" w:type="dxa"/>
              <w:bottom w:w="70" w:type="dxa"/>
              <w:right w:w="85" w:type="dxa"/>
            </w:tcMar>
            <w:vAlign w:val="center"/>
          </w:tcPr>
          <w:p w14:paraId="05B83BBC">
            <w:pPr>
              <w:spacing w:before="0" w:after="0" w:line="240" w:lineRule="auto"/>
            </w:pPr>
            <w:r>
              <w:rPr>
                <w:rFonts w:ascii="Times New Roman" w:hAnsi="Times New Roman" w:eastAsia="Times New Roman"/>
                <w:b w:val="0"/>
                <w:sz w:val="17"/>
              </w:rPr>
              <w:t>User-Value-Based Incentives</w:t>
            </w:r>
          </w:p>
        </w:tc>
        <w:tc>
          <w:tcPr>
            <w:tcW w:w="3812" w:type="dxa"/>
            <w:tcMar>
              <w:top w:w="70" w:type="dxa"/>
              <w:left w:w="85" w:type="dxa"/>
              <w:bottom w:w="70" w:type="dxa"/>
              <w:right w:w="85" w:type="dxa"/>
            </w:tcMar>
            <w:vAlign w:val="center"/>
          </w:tcPr>
          <w:p w14:paraId="6B4FCB4F">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2EEB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27B4725A">
            <w:pPr>
              <w:spacing w:before="0" w:after="0" w:line="240" w:lineRule="auto"/>
            </w:pPr>
            <w:r>
              <w:rPr>
                <w:rFonts w:ascii="Times New Roman" w:hAnsi="Times New Roman" w:eastAsia="Times New Roman"/>
                <w:b w:val="0"/>
                <w:sz w:val="17"/>
              </w:rPr>
              <w:t>Chain groups, micro-enterprises, functional platforms, and ecosystem partners</w:t>
            </w:r>
          </w:p>
        </w:tc>
        <w:tc>
          <w:tcPr>
            <w:tcW w:w="3812" w:type="dxa"/>
            <w:tcMar>
              <w:top w:w="70" w:type="dxa"/>
              <w:left w:w="85" w:type="dxa"/>
              <w:bottom w:w="70" w:type="dxa"/>
              <w:right w:w="85" w:type="dxa"/>
            </w:tcMar>
            <w:vAlign w:val="center"/>
          </w:tcPr>
          <w:p w14:paraId="5085B9EA">
            <w:pPr>
              <w:spacing w:before="0" w:after="0" w:line="240" w:lineRule="auto"/>
            </w:pPr>
            <w:r>
              <w:rPr>
                <w:rFonts w:ascii="Times New Roman" w:hAnsi="Times New Roman" w:eastAsia="Times New Roman"/>
                <w:b w:val="0"/>
                <w:sz w:val="17"/>
              </w:rPr>
              <w:t>Cross-Boundary Collaboration</w:t>
            </w:r>
          </w:p>
        </w:tc>
        <w:tc>
          <w:tcPr>
            <w:tcW w:w="3812" w:type="dxa"/>
            <w:tcMar>
              <w:top w:w="70" w:type="dxa"/>
              <w:left w:w="85" w:type="dxa"/>
              <w:bottom w:w="70" w:type="dxa"/>
              <w:right w:w="85" w:type="dxa"/>
            </w:tcMar>
            <w:vAlign w:val="center"/>
          </w:tcPr>
          <w:p w14:paraId="71144311">
            <w:pPr>
              <w:spacing w:before="0" w:after="0" w:line="240" w:lineRule="auto"/>
            </w:pPr>
            <w:r>
              <w:rPr>
                <w:rFonts w:ascii="Times New Roman" w:hAnsi="Times New Roman" w:eastAsia="Times New Roman"/>
                <w:b w:val="0"/>
                <w:sz w:val="17"/>
              </w:rPr>
              <w:t>Platform Governance</w:t>
            </w:r>
          </w:p>
        </w:tc>
        <w:tc>
          <w:tcPr>
            <w:tcW w:w="3812" w:type="dxa"/>
            <w:tcMar>
              <w:top w:w="70" w:type="dxa"/>
              <w:left w:w="85" w:type="dxa"/>
              <w:bottom w:w="70" w:type="dxa"/>
              <w:right w:w="85" w:type="dxa"/>
            </w:tcMar>
            <w:vAlign w:val="center"/>
          </w:tcPr>
          <w:p w14:paraId="1774EF6A">
            <w:pPr>
              <w:spacing w:before="0" w:after="0" w:line="240" w:lineRule="auto"/>
            </w:pPr>
            <w:r>
              <w:rPr>
                <w:rFonts w:ascii="Times New Roman" w:hAnsi="Times New Roman" w:eastAsia="Times New Roman"/>
                <w:b w:val="0"/>
                <w:sz w:val="17"/>
              </w:rPr>
              <w:t>Linked to coded transcript excerpts and triangulated with public documentary evidence.</w:t>
            </w:r>
          </w:p>
        </w:tc>
      </w:tr>
      <w:tr w14:paraId="7ACC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2" w:type="dxa"/>
            <w:tcMar>
              <w:top w:w="70" w:type="dxa"/>
              <w:left w:w="85" w:type="dxa"/>
              <w:bottom w:w="70" w:type="dxa"/>
              <w:right w:w="85" w:type="dxa"/>
            </w:tcMar>
            <w:vAlign w:val="center"/>
          </w:tcPr>
          <w:p w14:paraId="70BE133A">
            <w:pPr>
              <w:spacing w:before="0" w:after="0" w:line="240" w:lineRule="auto"/>
            </w:pPr>
            <w:r>
              <w:rPr>
                <w:rFonts w:ascii="Times New Roman" w:hAnsi="Times New Roman" w:eastAsia="Times New Roman"/>
                <w:b w:val="0"/>
                <w:sz w:val="17"/>
              </w:rPr>
              <w:t>Platform rules, process records, responsibility definition, and dispute resolution</w:t>
            </w:r>
          </w:p>
        </w:tc>
        <w:tc>
          <w:tcPr>
            <w:tcW w:w="3812" w:type="dxa"/>
            <w:tcMar>
              <w:top w:w="70" w:type="dxa"/>
              <w:left w:w="85" w:type="dxa"/>
              <w:bottom w:w="70" w:type="dxa"/>
              <w:right w:w="85" w:type="dxa"/>
            </w:tcMar>
            <w:vAlign w:val="center"/>
          </w:tcPr>
          <w:p w14:paraId="268D97D3">
            <w:pPr>
              <w:spacing w:before="0" w:after="0" w:line="240" w:lineRule="auto"/>
            </w:pPr>
            <w:r>
              <w:rPr>
                <w:rFonts w:ascii="Times New Roman" w:hAnsi="Times New Roman" w:eastAsia="Times New Roman"/>
                <w:b w:val="0"/>
                <w:sz w:val="17"/>
              </w:rPr>
              <w:t>Rule-Based Platform Governance</w:t>
            </w:r>
          </w:p>
        </w:tc>
        <w:tc>
          <w:tcPr>
            <w:tcW w:w="3812" w:type="dxa"/>
            <w:tcMar>
              <w:top w:w="70" w:type="dxa"/>
              <w:left w:w="85" w:type="dxa"/>
              <w:bottom w:w="70" w:type="dxa"/>
              <w:right w:w="85" w:type="dxa"/>
            </w:tcMar>
            <w:vAlign w:val="center"/>
          </w:tcPr>
          <w:p w14:paraId="7DBFBBD7">
            <w:pPr>
              <w:spacing w:before="0" w:after="0" w:line="240" w:lineRule="auto"/>
            </w:pPr>
            <w:r>
              <w:rPr>
                <w:rFonts w:ascii="Times New Roman" w:hAnsi="Times New Roman" w:eastAsia="Times New Roman"/>
                <w:b w:val="0"/>
                <w:sz w:val="17"/>
              </w:rPr>
              <w:t>Platform Governance</w:t>
            </w:r>
          </w:p>
        </w:tc>
        <w:tc>
          <w:tcPr>
            <w:tcW w:w="3812" w:type="dxa"/>
            <w:tcMar>
              <w:top w:w="70" w:type="dxa"/>
              <w:left w:w="85" w:type="dxa"/>
              <w:bottom w:w="70" w:type="dxa"/>
              <w:right w:w="85" w:type="dxa"/>
            </w:tcMar>
            <w:vAlign w:val="center"/>
          </w:tcPr>
          <w:p w14:paraId="4CA9FF61">
            <w:pPr>
              <w:spacing w:before="0" w:after="0" w:line="240" w:lineRule="auto"/>
            </w:pPr>
            <w:r>
              <w:rPr>
                <w:rFonts w:ascii="Times New Roman" w:hAnsi="Times New Roman" w:eastAsia="Times New Roman"/>
                <w:b w:val="0"/>
                <w:sz w:val="17"/>
              </w:rPr>
              <w:t>Linked to coded transcript excerpts and triangulated with public documentary evidence.</w:t>
            </w:r>
          </w:p>
        </w:tc>
      </w:tr>
    </w:tbl>
    <w:p w14:paraId="2D57670E">
      <w:pPr>
        <w:pStyle w:val="3"/>
      </w:pPr>
      <w:r>
        <w:rPr>
          <w:rFonts w:ascii="Times New Roman" w:hAnsi="Times New Roman" w:eastAsia="Times New Roman"/>
        </w:rPr>
        <w:t>Table S4. Negative and disconfirming interview evidence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542"/>
        <w:gridCol w:w="2542"/>
        <w:gridCol w:w="2542"/>
        <w:gridCol w:w="2542"/>
        <w:gridCol w:w="2542"/>
      </w:tblGrid>
      <w:tr w14:paraId="7469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42" w:type="dxa"/>
            <w:shd w:val="clear" w:color="auto" w:fill="E7EEF7"/>
            <w:tcMar>
              <w:top w:w="70" w:type="dxa"/>
              <w:left w:w="85" w:type="dxa"/>
              <w:bottom w:w="70" w:type="dxa"/>
              <w:right w:w="85" w:type="dxa"/>
            </w:tcMar>
            <w:vAlign w:val="center"/>
          </w:tcPr>
          <w:p w14:paraId="5F55B8D9">
            <w:pPr>
              <w:spacing w:before="0" w:after="0" w:line="240" w:lineRule="auto"/>
            </w:pPr>
            <w:r>
              <w:rPr>
                <w:rFonts w:ascii="Times New Roman" w:hAnsi="Times New Roman" w:eastAsia="Times New Roman"/>
                <w:b/>
                <w:sz w:val="17"/>
              </w:rPr>
              <w:t>Interview ID</w:t>
            </w:r>
          </w:p>
        </w:tc>
        <w:tc>
          <w:tcPr>
            <w:tcW w:w="2542" w:type="dxa"/>
            <w:shd w:val="clear" w:color="auto" w:fill="E7EEF7"/>
            <w:tcMar>
              <w:top w:w="70" w:type="dxa"/>
              <w:left w:w="85" w:type="dxa"/>
              <w:bottom w:w="70" w:type="dxa"/>
              <w:right w:w="85" w:type="dxa"/>
            </w:tcMar>
            <w:vAlign w:val="center"/>
          </w:tcPr>
          <w:p w14:paraId="31CB3879">
            <w:pPr>
              <w:spacing w:before="0" w:after="0" w:line="240" w:lineRule="auto"/>
            </w:pPr>
            <w:r>
              <w:rPr>
                <w:rFonts w:ascii="Times New Roman" w:hAnsi="Times New Roman" w:eastAsia="Times New Roman"/>
                <w:b/>
                <w:sz w:val="17"/>
              </w:rPr>
              <w:t>Role Category</w:t>
            </w:r>
          </w:p>
        </w:tc>
        <w:tc>
          <w:tcPr>
            <w:tcW w:w="2542" w:type="dxa"/>
            <w:shd w:val="clear" w:color="auto" w:fill="E7EEF7"/>
            <w:tcMar>
              <w:top w:w="70" w:type="dxa"/>
              <w:left w:w="85" w:type="dxa"/>
              <w:bottom w:w="70" w:type="dxa"/>
              <w:right w:w="85" w:type="dxa"/>
            </w:tcMar>
            <w:vAlign w:val="center"/>
          </w:tcPr>
          <w:p w14:paraId="57A890A3">
            <w:pPr>
              <w:spacing w:before="0" w:after="0" w:line="240" w:lineRule="auto"/>
            </w:pPr>
            <w:r>
              <w:rPr>
                <w:rFonts w:ascii="Times New Roman" w:hAnsi="Times New Roman" w:eastAsia="Times New Roman"/>
                <w:b/>
                <w:sz w:val="17"/>
              </w:rPr>
              <w:t>Interview Date</w:t>
            </w:r>
          </w:p>
        </w:tc>
        <w:tc>
          <w:tcPr>
            <w:tcW w:w="2542" w:type="dxa"/>
            <w:shd w:val="clear" w:color="auto" w:fill="E7EEF7"/>
            <w:tcMar>
              <w:top w:w="70" w:type="dxa"/>
              <w:left w:w="85" w:type="dxa"/>
              <w:bottom w:w="70" w:type="dxa"/>
              <w:right w:w="85" w:type="dxa"/>
            </w:tcMar>
            <w:vAlign w:val="center"/>
          </w:tcPr>
          <w:p w14:paraId="628A4C9D">
            <w:pPr>
              <w:spacing w:before="0" w:after="0" w:line="240" w:lineRule="auto"/>
            </w:pPr>
            <w:r>
              <w:rPr>
                <w:rFonts w:ascii="Times New Roman" w:hAnsi="Times New Roman" w:eastAsia="Times New Roman"/>
                <w:b/>
                <w:sz w:val="17"/>
              </w:rPr>
              <w:t>Disconfirming Theme</w:t>
            </w:r>
          </w:p>
        </w:tc>
        <w:tc>
          <w:tcPr>
            <w:tcW w:w="2542" w:type="dxa"/>
            <w:shd w:val="clear" w:color="auto" w:fill="E7EEF7"/>
            <w:tcMar>
              <w:top w:w="70" w:type="dxa"/>
              <w:left w:w="85" w:type="dxa"/>
              <w:bottom w:w="70" w:type="dxa"/>
              <w:right w:w="85" w:type="dxa"/>
            </w:tcMar>
            <w:vAlign w:val="center"/>
          </w:tcPr>
          <w:p w14:paraId="5DCD275F">
            <w:pPr>
              <w:spacing w:before="0" w:after="0" w:line="240" w:lineRule="auto"/>
            </w:pPr>
            <w:r>
              <w:rPr>
                <w:rFonts w:ascii="Times New Roman" w:hAnsi="Times New Roman" w:eastAsia="Times New Roman"/>
                <w:b/>
                <w:sz w:val="17"/>
              </w:rPr>
              <w:t>English Translation of Archived Chinese Evidence</w:t>
            </w:r>
          </w:p>
        </w:tc>
        <w:tc>
          <w:tcPr>
            <w:tcW w:w="2542" w:type="dxa"/>
            <w:shd w:val="clear" w:color="auto" w:fill="E7EEF7"/>
            <w:tcMar>
              <w:top w:w="70" w:type="dxa"/>
              <w:left w:w="85" w:type="dxa"/>
              <w:bottom w:w="70" w:type="dxa"/>
              <w:right w:w="85" w:type="dxa"/>
            </w:tcMar>
            <w:vAlign w:val="center"/>
          </w:tcPr>
          <w:p w14:paraId="3DA9F39E">
            <w:pPr>
              <w:spacing w:before="0" w:after="0" w:line="240" w:lineRule="auto"/>
            </w:pPr>
            <w:r>
              <w:rPr>
                <w:rFonts w:ascii="Times New Roman" w:hAnsi="Times New Roman" w:eastAsia="Times New Roman"/>
                <w:b/>
                <w:sz w:val="17"/>
              </w:rPr>
              <w:t>Analytical Qualification</w:t>
            </w:r>
          </w:p>
        </w:tc>
      </w:tr>
      <w:tr w14:paraId="24AD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161CFC49">
            <w:pPr>
              <w:spacing w:before="0" w:after="0" w:line="240" w:lineRule="auto"/>
            </w:pPr>
            <w:r>
              <w:rPr>
                <w:rFonts w:ascii="Times New Roman" w:hAnsi="Times New Roman" w:eastAsia="Times New Roman"/>
                <w:b w:val="0"/>
                <w:sz w:val="17"/>
              </w:rPr>
              <w:t>E9</w:t>
            </w:r>
          </w:p>
        </w:tc>
        <w:tc>
          <w:tcPr>
            <w:tcW w:w="2542" w:type="dxa"/>
            <w:tcMar>
              <w:top w:w="70" w:type="dxa"/>
              <w:left w:w="85" w:type="dxa"/>
              <w:bottom w:w="70" w:type="dxa"/>
              <w:right w:w="85" w:type="dxa"/>
            </w:tcMar>
            <w:vAlign w:val="center"/>
          </w:tcPr>
          <w:p w14:paraId="5C529A97">
            <w:pPr>
              <w:spacing w:before="0" w:after="0" w:line="240" w:lineRule="auto"/>
            </w:pPr>
            <w:r>
              <w:rPr>
                <w:rFonts w:ascii="Times New Roman" w:hAnsi="Times New Roman" w:eastAsia="Times New Roman"/>
                <w:b w:val="0"/>
                <w:sz w:val="17"/>
              </w:rPr>
              <w:t>Frontline installation-service creator</w:t>
            </w:r>
          </w:p>
        </w:tc>
        <w:tc>
          <w:tcPr>
            <w:tcW w:w="2542" w:type="dxa"/>
            <w:tcMar>
              <w:top w:w="70" w:type="dxa"/>
              <w:left w:w="85" w:type="dxa"/>
              <w:bottom w:w="70" w:type="dxa"/>
              <w:right w:w="85" w:type="dxa"/>
            </w:tcMar>
            <w:vAlign w:val="center"/>
          </w:tcPr>
          <w:p w14:paraId="7317572F">
            <w:pPr>
              <w:spacing w:before="0" w:after="0" w:line="240" w:lineRule="auto"/>
            </w:pPr>
            <w:r>
              <w:rPr>
                <w:rFonts w:ascii="Times New Roman" w:hAnsi="Times New Roman" w:eastAsia="Times New Roman"/>
                <w:b w:val="0"/>
                <w:sz w:val="17"/>
              </w:rPr>
              <w:t>27 January 2026</w:t>
            </w:r>
          </w:p>
        </w:tc>
        <w:tc>
          <w:tcPr>
            <w:tcW w:w="2542" w:type="dxa"/>
            <w:tcMar>
              <w:top w:w="70" w:type="dxa"/>
              <w:left w:w="85" w:type="dxa"/>
              <w:bottom w:w="70" w:type="dxa"/>
              <w:right w:w="85" w:type="dxa"/>
            </w:tcMar>
            <w:vAlign w:val="center"/>
          </w:tcPr>
          <w:p w14:paraId="36B2A475">
            <w:pPr>
              <w:spacing w:before="0" w:after="0" w:line="240" w:lineRule="auto"/>
            </w:pPr>
            <w:r>
              <w:rPr>
                <w:rFonts w:ascii="Times New Roman" w:hAnsi="Times New Roman" w:eastAsia="Times New Roman"/>
                <w:b w:val="0"/>
                <w:sz w:val="17"/>
              </w:rPr>
              <w:t>Income volatility and the need for a basic safeguard</w:t>
            </w:r>
          </w:p>
        </w:tc>
        <w:tc>
          <w:tcPr>
            <w:tcW w:w="2542" w:type="dxa"/>
            <w:tcMar>
              <w:top w:w="70" w:type="dxa"/>
              <w:left w:w="85" w:type="dxa"/>
              <w:bottom w:w="70" w:type="dxa"/>
              <w:right w:w="85" w:type="dxa"/>
            </w:tcMar>
            <w:vAlign w:val="center"/>
          </w:tcPr>
          <w:p w14:paraId="6287EA97">
            <w:pPr>
              <w:spacing w:before="0" w:after="0" w:line="240" w:lineRule="auto"/>
            </w:pPr>
            <w:r>
              <w:rPr>
                <w:rFonts w:ascii="Times New Roman" w:hAnsi="Times New Roman" w:eastAsia="Times New Roman"/>
                <w:b w:val="0"/>
                <w:sz w:val="17"/>
              </w:rPr>
              <w:t>"The basic guaranteed salary is intended to stabilize the livelihoods of long-serving frontline service staff ... and prevent experienced technicians from leaving when off-season order volumes make income unstable."</w:t>
            </w:r>
          </w:p>
        </w:tc>
        <w:tc>
          <w:tcPr>
            <w:tcW w:w="2542" w:type="dxa"/>
            <w:tcMar>
              <w:top w:w="70" w:type="dxa"/>
              <w:left w:w="85" w:type="dxa"/>
              <w:bottom w:w="70" w:type="dxa"/>
              <w:right w:w="85" w:type="dxa"/>
            </w:tcMar>
            <w:vAlign w:val="center"/>
          </w:tcPr>
          <w:p w14:paraId="74B5C5E7">
            <w:pPr>
              <w:spacing w:before="0" w:after="0" w:line="240" w:lineRule="auto"/>
            </w:pPr>
            <w:r>
              <w:rPr>
                <w:rFonts w:ascii="Times New Roman" w:hAnsi="Times New Roman" w:eastAsia="Times New Roman"/>
                <w:b w:val="0"/>
                <w:sz w:val="17"/>
              </w:rPr>
              <w:t>User-value-linked pay requires a basic income safeguard and cannot rely exclusively on variable orders or ratings.</w:t>
            </w:r>
          </w:p>
        </w:tc>
      </w:tr>
      <w:tr w14:paraId="2569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4BC25700">
            <w:pPr>
              <w:spacing w:before="0" w:after="0" w:line="240" w:lineRule="auto"/>
            </w:pPr>
            <w:r>
              <w:rPr>
                <w:rFonts w:ascii="Times New Roman" w:hAnsi="Times New Roman" w:eastAsia="Times New Roman"/>
                <w:b w:val="0"/>
                <w:sz w:val="17"/>
              </w:rPr>
              <w:t>E17</w:t>
            </w:r>
          </w:p>
        </w:tc>
        <w:tc>
          <w:tcPr>
            <w:tcW w:w="2542" w:type="dxa"/>
            <w:tcMar>
              <w:top w:w="70" w:type="dxa"/>
              <w:left w:w="85" w:type="dxa"/>
              <w:bottom w:w="70" w:type="dxa"/>
              <w:right w:w="85" w:type="dxa"/>
            </w:tcMar>
            <w:vAlign w:val="center"/>
          </w:tcPr>
          <w:p w14:paraId="73CE62F9">
            <w:pPr>
              <w:spacing w:before="0" w:after="0" w:line="240" w:lineRule="auto"/>
            </w:pPr>
            <w:r>
              <w:rPr>
                <w:rFonts w:ascii="Times New Roman" w:hAnsi="Times New Roman" w:eastAsia="Times New Roman"/>
                <w:b w:val="0"/>
                <w:sz w:val="17"/>
              </w:rPr>
              <w:t>Frontline market-operations manager</w:t>
            </w:r>
          </w:p>
        </w:tc>
        <w:tc>
          <w:tcPr>
            <w:tcW w:w="2542" w:type="dxa"/>
            <w:tcMar>
              <w:top w:w="70" w:type="dxa"/>
              <w:left w:w="85" w:type="dxa"/>
              <w:bottom w:w="70" w:type="dxa"/>
              <w:right w:w="85" w:type="dxa"/>
            </w:tcMar>
            <w:vAlign w:val="center"/>
          </w:tcPr>
          <w:p w14:paraId="1728D291">
            <w:pPr>
              <w:spacing w:before="0" w:after="0" w:line="240" w:lineRule="auto"/>
            </w:pPr>
            <w:r>
              <w:rPr>
                <w:rFonts w:ascii="Times New Roman" w:hAnsi="Times New Roman" w:eastAsia="Times New Roman"/>
                <w:b w:val="0"/>
                <w:sz w:val="17"/>
              </w:rPr>
              <w:t>11 March 2026</w:t>
            </w:r>
          </w:p>
        </w:tc>
        <w:tc>
          <w:tcPr>
            <w:tcW w:w="2542" w:type="dxa"/>
            <w:tcMar>
              <w:top w:w="70" w:type="dxa"/>
              <w:left w:w="85" w:type="dxa"/>
              <w:bottom w:w="70" w:type="dxa"/>
              <w:right w:w="85" w:type="dxa"/>
            </w:tcMar>
            <w:vAlign w:val="center"/>
          </w:tcPr>
          <w:p w14:paraId="7DD35082">
            <w:pPr>
              <w:spacing w:before="0" w:after="0" w:line="240" w:lineRule="auto"/>
            </w:pPr>
            <w:r>
              <w:rPr>
                <w:rFonts w:ascii="Times New Roman" w:hAnsi="Times New Roman" w:eastAsia="Times New Roman"/>
                <w:b w:val="0"/>
                <w:sz w:val="17"/>
              </w:rPr>
              <w:t>Cross-boundary coordination burden</w:t>
            </w:r>
          </w:p>
        </w:tc>
        <w:tc>
          <w:tcPr>
            <w:tcW w:w="2542" w:type="dxa"/>
            <w:tcMar>
              <w:top w:w="70" w:type="dxa"/>
              <w:left w:w="85" w:type="dxa"/>
              <w:bottom w:w="70" w:type="dxa"/>
              <w:right w:w="85" w:type="dxa"/>
            </w:tcMar>
            <w:vAlign w:val="center"/>
          </w:tcPr>
          <w:p w14:paraId="3807415F">
            <w:pPr>
              <w:spacing w:before="0" w:after="0" w:line="240" w:lineRule="auto"/>
            </w:pPr>
            <w:r>
              <w:rPr>
                <w:rFonts w:ascii="Times New Roman" w:hAnsi="Times New Roman" w:eastAsia="Times New Roman"/>
                <w:b w:val="0"/>
                <w:sz w:val="17"/>
              </w:rPr>
              <w:t>"The fourth challenge is coordination difficulty. We have to work with many departments and partners, each with different ideas and work rhythms. Sometimes coordination is exhausting ... we must communicate repeatedly and keep following up, which takes a great deal of effort."</w:t>
            </w:r>
          </w:p>
        </w:tc>
        <w:tc>
          <w:tcPr>
            <w:tcW w:w="2542" w:type="dxa"/>
            <w:tcMar>
              <w:top w:w="70" w:type="dxa"/>
              <w:left w:w="85" w:type="dxa"/>
              <w:bottom w:w="70" w:type="dxa"/>
              <w:right w:w="85" w:type="dxa"/>
            </w:tcMar>
            <w:vAlign w:val="center"/>
          </w:tcPr>
          <w:p w14:paraId="7A9068C2">
            <w:pPr>
              <w:spacing w:before="0" w:after="0" w:line="240" w:lineRule="auto"/>
            </w:pPr>
            <w:r>
              <w:rPr>
                <w:rFonts w:ascii="Times New Roman" w:hAnsi="Times New Roman" w:eastAsia="Times New Roman"/>
                <w:b w:val="0"/>
                <w:sz w:val="17"/>
              </w:rPr>
              <w:t>Digital connectivity does not eliminate conflicting priorities or the labor of cross-boundary follow-up.</w:t>
            </w:r>
          </w:p>
        </w:tc>
      </w:tr>
      <w:tr w14:paraId="68D3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53F57F88">
            <w:pPr>
              <w:spacing w:before="0" w:after="0" w:line="240" w:lineRule="auto"/>
            </w:pPr>
            <w:r>
              <w:rPr>
                <w:rFonts w:ascii="Times New Roman" w:hAnsi="Times New Roman" w:eastAsia="Times New Roman"/>
                <w:b w:val="0"/>
                <w:sz w:val="17"/>
              </w:rPr>
              <w:t>T1</w:t>
            </w:r>
          </w:p>
        </w:tc>
        <w:tc>
          <w:tcPr>
            <w:tcW w:w="2542" w:type="dxa"/>
            <w:tcMar>
              <w:top w:w="70" w:type="dxa"/>
              <w:left w:w="85" w:type="dxa"/>
              <w:bottom w:w="70" w:type="dxa"/>
              <w:right w:w="85" w:type="dxa"/>
            </w:tcMar>
            <w:vAlign w:val="center"/>
          </w:tcPr>
          <w:p w14:paraId="4BF08575">
            <w:pPr>
              <w:spacing w:before="0" w:after="0" w:line="240" w:lineRule="auto"/>
            </w:pPr>
            <w:r>
              <w:rPr>
                <w:rFonts w:ascii="Times New Roman" w:hAnsi="Times New Roman" w:eastAsia="Times New Roman"/>
                <w:b w:val="0"/>
                <w:sz w:val="17"/>
              </w:rPr>
              <w:t>Chain-group leader</w:t>
            </w:r>
          </w:p>
        </w:tc>
        <w:tc>
          <w:tcPr>
            <w:tcW w:w="2542" w:type="dxa"/>
            <w:tcMar>
              <w:top w:w="70" w:type="dxa"/>
              <w:left w:w="85" w:type="dxa"/>
              <w:bottom w:w="70" w:type="dxa"/>
              <w:right w:w="85" w:type="dxa"/>
            </w:tcMar>
            <w:vAlign w:val="center"/>
          </w:tcPr>
          <w:p w14:paraId="02F0CC55">
            <w:pPr>
              <w:spacing w:before="0" w:after="0" w:line="240" w:lineRule="auto"/>
            </w:pPr>
            <w:r>
              <w:rPr>
                <w:rFonts w:ascii="Times New Roman" w:hAnsi="Times New Roman" w:eastAsia="Times New Roman"/>
                <w:b w:val="0"/>
                <w:sz w:val="17"/>
              </w:rPr>
              <w:t>13 November 2025</w:t>
            </w:r>
          </w:p>
        </w:tc>
        <w:tc>
          <w:tcPr>
            <w:tcW w:w="2542" w:type="dxa"/>
            <w:tcMar>
              <w:top w:w="70" w:type="dxa"/>
              <w:left w:w="85" w:type="dxa"/>
              <w:bottom w:w="70" w:type="dxa"/>
              <w:right w:w="85" w:type="dxa"/>
            </w:tcMar>
            <w:vAlign w:val="center"/>
          </w:tcPr>
          <w:p w14:paraId="309E67F2">
            <w:pPr>
              <w:spacing w:before="0" w:after="0" w:line="240" w:lineRule="auto"/>
            </w:pPr>
            <w:r>
              <w:rPr>
                <w:rFonts w:ascii="Times New Roman" w:hAnsi="Times New Roman" w:eastAsia="Times New Roman"/>
                <w:b w:val="0"/>
                <w:sz w:val="17"/>
              </w:rPr>
              <w:t>Digitally intensified work pressure</w:t>
            </w:r>
          </w:p>
        </w:tc>
        <w:tc>
          <w:tcPr>
            <w:tcW w:w="2542" w:type="dxa"/>
            <w:tcMar>
              <w:top w:w="70" w:type="dxa"/>
              <w:left w:w="85" w:type="dxa"/>
              <w:bottom w:w="70" w:type="dxa"/>
              <w:right w:w="85" w:type="dxa"/>
            </w:tcMar>
            <w:vAlign w:val="center"/>
          </w:tcPr>
          <w:p w14:paraId="07E250B6">
            <w:pPr>
              <w:spacing w:before="0" w:after="0" w:line="240" w:lineRule="auto"/>
            </w:pPr>
            <w:r>
              <w:rPr>
                <w:rFonts w:ascii="Times New Roman" w:hAnsi="Times New Roman" w:eastAsia="Times New Roman"/>
                <w:b w:val="0"/>
                <w:sz w:val="17"/>
              </w:rPr>
              <w:t>"My biggest feeling is that the work shifted from tiring the mind to tiring the legs and the heart ... as a chain-group leader, I must constantly attend to user needs and resolve problems ... it is more exhausting than before."</w:t>
            </w:r>
          </w:p>
        </w:tc>
        <w:tc>
          <w:tcPr>
            <w:tcW w:w="2542" w:type="dxa"/>
            <w:tcMar>
              <w:top w:w="70" w:type="dxa"/>
              <w:left w:w="85" w:type="dxa"/>
              <w:bottom w:w="70" w:type="dxa"/>
              <w:right w:w="85" w:type="dxa"/>
            </w:tcMar>
            <w:vAlign w:val="center"/>
          </w:tcPr>
          <w:p w14:paraId="5ED28C59">
            <w:pPr>
              <w:spacing w:before="0" w:after="0" w:line="240" w:lineRule="auto"/>
            </w:pPr>
            <w:r>
              <w:rPr>
                <w:rFonts w:ascii="Times New Roman" w:hAnsi="Times New Roman" w:eastAsia="Times New Roman"/>
                <w:b w:val="0"/>
                <w:sz w:val="17"/>
              </w:rPr>
              <w:t>Continuous user-signal monitoring and problem resolution can increase physical and psychological work intensity.</w:t>
            </w:r>
          </w:p>
        </w:tc>
      </w:tr>
    </w:tbl>
    <w:p w14:paraId="1F585BFE">
      <w:pPr>
        <w:jc w:val="both"/>
      </w:pPr>
      <w:r>
        <w:rPr>
          <w:rFonts w:ascii="Times New Roman" w:hAnsi="Times New Roman" w:eastAsia="Times New Roman"/>
          <w:i/>
        </w:rPr>
        <w:t>Note: Ellipses shorten the translated quotations without changing their substantive meaning. The Chinese transcripts and coding records are retained under encrypted, restricted-access storage.</w:t>
      </w:r>
    </w:p>
    <w:p w14:paraId="1CF0490E">
      <w:pPr>
        <w:pStyle w:val="3"/>
      </w:pPr>
      <w:r>
        <w:rPr>
          <w:rFonts w:ascii="Times New Roman" w:hAnsi="Times New Roman" w:eastAsia="Times New Roman"/>
        </w:rPr>
        <w:t>Table S5. Documentary source inventory</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542"/>
        <w:gridCol w:w="2542"/>
        <w:gridCol w:w="2542"/>
        <w:gridCol w:w="2542"/>
        <w:gridCol w:w="2542"/>
      </w:tblGrid>
      <w:tr w14:paraId="25E4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42" w:type="dxa"/>
            <w:shd w:val="clear" w:color="auto" w:fill="E7EEF7"/>
            <w:tcMar>
              <w:top w:w="70" w:type="dxa"/>
              <w:left w:w="85" w:type="dxa"/>
              <w:bottom w:w="70" w:type="dxa"/>
              <w:right w:w="85" w:type="dxa"/>
            </w:tcMar>
            <w:vAlign w:val="center"/>
          </w:tcPr>
          <w:p w14:paraId="389D419B">
            <w:pPr>
              <w:spacing w:before="0" w:after="0" w:line="240" w:lineRule="auto"/>
            </w:pPr>
            <w:r>
              <w:rPr>
                <w:rFonts w:ascii="Times New Roman" w:hAnsi="Times New Roman" w:eastAsia="Times New Roman"/>
                <w:b/>
                <w:sz w:val="17"/>
              </w:rPr>
              <w:t>Source Type</w:t>
            </w:r>
          </w:p>
        </w:tc>
        <w:tc>
          <w:tcPr>
            <w:tcW w:w="2542" w:type="dxa"/>
            <w:shd w:val="clear" w:color="auto" w:fill="E7EEF7"/>
            <w:tcMar>
              <w:top w:w="70" w:type="dxa"/>
              <w:left w:w="85" w:type="dxa"/>
              <w:bottom w:w="70" w:type="dxa"/>
              <w:right w:w="85" w:type="dxa"/>
            </w:tcMar>
            <w:vAlign w:val="center"/>
          </w:tcPr>
          <w:p w14:paraId="08AE9E8F">
            <w:pPr>
              <w:spacing w:before="0" w:after="0" w:line="240" w:lineRule="auto"/>
            </w:pPr>
            <w:r>
              <w:rPr>
                <w:rFonts w:ascii="Times New Roman" w:hAnsi="Times New Roman" w:eastAsia="Times New Roman"/>
                <w:b/>
                <w:sz w:val="17"/>
              </w:rPr>
              <w:t>Document or Portal</w:t>
            </w:r>
          </w:p>
        </w:tc>
        <w:tc>
          <w:tcPr>
            <w:tcW w:w="2542" w:type="dxa"/>
            <w:shd w:val="clear" w:color="auto" w:fill="E7EEF7"/>
            <w:tcMar>
              <w:top w:w="70" w:type="dxa"/>
              <w:left w:w="85" w:type="dxa"/>
              <w:bottom w:w="70" w:type="dxa"/>
              <w:right w:w="85" w:type="dxa"/>
            </w:tcMar>
            <w:vAlign w:val="center"/>
          </w:tcPr>
          <w:p w14:paraId="2070571B">
            <w:pPr>
              <w:spacing w:before="0" w:after="0" w:line="240" w:lineRule="auto"/>
            </w:pPr>
            <w:r>
              <w:rPr>
                <w:rFonts w:ascii="Times New Roman" w:hAnsi="Times New Roman" w:eastAsia="Times New Roman"/>
                <w:b/>
                <w:sz w:val="17"/>
              </w:rPr>
              <w:t>Date</w:t>
            </w:r>
          </w:p>
        </w:tc>
        <w:tc>
          <w:tcPr>
            <w:tcW w:w="2542" w:type="dxa"/>
            <w:shd w:val="clear" w:color="auto" w:fill="E7EEF7"/>
            <w:tcMar>
              <w:top w:w="70" w:type="dxa"/>
              <w:left w:w="85" w:type="dxa"/>
              <w:bottom w:w="70" w:type="dxa"/>
              <w:right w:w="85" w:type="dxa"/>
            </w:tcMar>
            <w:vAlign w:val="center"/>
          </w:tcPr>
          <w:p w14:paraId="2B4CFC0C">
            <w:pPr>
              <w:spacing w:before="0" w:after="0" w:line="240" w:lineRule="auto"/>
            </w:pPr>
            <w:r>
              <w:rPr>
                <w:rFonts w:ascii="Times New Roman" w:hAnsi="Times New Roman" w:eastAsia="Times New Roman"/>
                <w:b/>
                <w:sz w:val="17"/>
              </w:rPr>
              <w:t>Public/Internal</w:t>
            </w:r>
          </w:p>
        </w:tc>
        <w:tc>
          <w:tcPr>
            <w:tcW w:w="2542" w:type="dxa"/>
            <w:shd w:val="clear" w:color="auto" w:fill="E7EEF7"/>
            <w:tcMar>
              <w:top w:w="70" w:type="dxa"/>
              <w:left w:w="85" w:type="dxa"/>
              <w:bottom w:w="70" w:type="dxa"/>
              <w:right w:w="85" w:type="dxa"/>
            </w:tcMar>
            <w:vAlign w:val="center"/>
          </w:tcPr>
          <w:p w14:paraId="051636F0">
            <w:pPr>
              <w:spacing w:before="0" w:after="0" w:line="240" w:lineRule="auto"/>
            </w:pPr>
            <w:r>
              <w:rPr>
                <w:rFonts w:ascii="Times New Roman" w:hAnsi="Times New Roman" w:eastAsia="Times New Roman"/>
                <w:b/>
                <w:sz w:val="17"/>
              </w:rPr>
              <w:t>URL or Archive Identifier</w:t>
            </w:r>
          </w:p>
        </w:tc>
        <w:tc>
          <w:tcPr>
            <w:tcW w:w="2542" w:type="dxa"/>
            <w:shd w:val="clear" w:color="auto" w:fill="E7EEF7"/>
            <w:tcMar>
              <w:top w:w="70" w:type="dxa"/>
              <w:left w:w="85" w:type="dxa"/>
              <w:bottom w:w="70" w:type="dxa"/>
              <w:right w:w="85" w:type="dxa"/>
            </w:tcMar>
            <w:vAlign w:val="center"/>
          </w:tcPr>
          <w:p w14:paraId="52ABB509">
            <w:pPr>
              <w:spacing w:before="0" w:after="0" w:line="240" w:lineRule="auto"/>
            </w:pPr>
            <w:r>
              <w:rPr>
                <w:rFonts w:ascii="Times New Roman" w:hAnsi="Times New Roman" w:eastAsia="Times New Roman"/>
                <w:b/>
                <w:sz w:val="17"/>
              </w:rPr>
              <w:t>Analytical Use</w:t>
            </w:r>
          </w:p>
        </w:tc>
      </w:tr>
      <w:tr w14:paraId="0412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09BF7856">
            <w:pPr>
              <w:spacing w:before="0" w:after="0" w:line="240" w:lineRule="auto"/>
            </w:pPr>
            <w:r>
              <w:rPr>
                <w:rFonts w:ascii="Times New Roman" w:hAnsi="Times New Roman" w:eastAsia="Times New Roman"/>
                <w:b w:val="0"/>
                <w:sz w:val="17"/>
              </w:rPr>
              <w:t>Annual report</w:t>
            </w:r>
          </w:p>
        </w:tc>
        <w:tc>
          <w:tcPr>
            <w:tcW w:w="2542" w:type="dxa"/>
            <w:tcMar>
              <w:top w:w="70" w:type="dxa"/>
              <w:left w:w="85" w:type="dxa"/>
              <w:bottom w:w="70" w:type="dxa"/>
              <w:right w:w="85" w:type="dxa"/>
            </w:tcMar>
            <w:vAlign w:val="center"/>
          </w:tcPr>
          <w:p w14:paraId="6E4B2129">
            <w:pPr>
              <w:spacing w:before="0" w:after="0" w:line="240" w:lineRule="auto"/>
            </w:pPr>
            <w:r>
              <w:rPr>
                <w:rFonts w:ascii="Times New Roman" w:hAnsi="Times New Roman" w:eastAsia="Times New Roman"/>
                <w:b w:val="0"/>
                <w:sz w:val="17"/>
              </w:rPr>
              <w:t>Haier Smart Home Annual Report 2021</w:t>
            </w:r>
          </w:p>
        </w:tc>
        <w:tc>
          <w:tcPr>
            <w:tcW w:w="2542" w:type="dxa"/>
            <w:tcMar>
              <w:top w:w="70" w:type="dxa"/>
              <w:left w:w="85" w:type="dxa"/>
              <w:bottom w:w="70" w:type="dxa"/>
              <w:right w:w="85" w:type="dxa"/>
            </w:tcMar>
            <w:vAlign w:val="center"/>
          </w:tcPr>
          <w:p w14:paraId="2F092666">
            <w:pPr>
              <w:spacing w:before="0" w:after="0" w:line="240" w:lineRule="auto"/>
            </w:pPr>
            <w:r>
              <w:rPr>
                <w:rFonts w:ascii="Times New Roman" w:hAnsi="Times New Roman" w:eastAsia="Times New Roman"/>
                <w:b w:val="0"/>
                <w:sz w:val="17"/>
              </w:rPr>
              <w:t>2022</w:t>
            </w:r>
          </w:p>
        </w:tc>
        <w:tc>
          <w:tcPr>
            <w:tcW w:w="2542" w:type="dxa"/>
            <w:tcMar>
              <w:top w:w="70" w:type="dxa"/>
              <w:left w:w="85" w:type="dxa"/>
              <w:bottom w:w="70" w:type="dxa"/>
              <w:right w:w="85" w:type="dxa"/>
            </w:tcMar>
            <w:vAlign w:val="center"/>
          </w:tcPr>
          <w:p w14:paraId="3C90E2E4">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545F5C12">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0002FE6F">
            <w:pPr>
              <w:spacing w:before="0" w:after="0" w:line="240" w:lineRule="auto"/>
            </w:pPr>
            <w:r>
              <w:rPr>
                <w:rFonts w:ascii="Times New Roman" w:hAnsi="Times New Roman" w:eastAsia="Times New Roman"/>
                <w:b w:val="0"/>
                <w:sz w:val="17"/>
              </w:rPr>
              <w:t>2021 baseline for strategy, governance, and financial context.</w:t>
            </w:r>
          </w:p>
        </w:tc>
      </w:tr>
      <w:tr w14:paraId="4B75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13CE0999">
            <w:pPr>
              <w:spacing w:before="0" w:after="0" w:line="240" w:lineRule="auto"/>
            </w:pPr>
            <w:r>
              <w:rPr>
                <w:rFonts w:ascii="Times New Roman" w:hAnsi="Times New Roman" w:eastAsia="Times New Roman"/>
                <w:b w:val="0"/>
                <w:sz w:val="17"/>
              </w:rPr>
              <w:t>Annual report</w:t>
            </w:r>
          </w:p>
        </w:tc>
        <w:tc>
          <w:tcPr>
            <w:tcW w:w="2542" w:type="dxa"/>
            <w:tcMar>
              <w:top w:w="70" w:type="dxa"/>
              <w:left w:w="85" w:type="dxa"/>
              <w:bottom w:w="70" w:type="dxa"/>
              <w:right w:w="85" w:type="dxa"/>
            </w:tcMar>
            <w:vAlign w:val="center"/>
          </w:tcPr>
          <w:p w14:paraId="559CBFB8">
            <w:pPr>
              <w:spacing w:before="0" w:after="0" w:line="240" w:lineRule="auto"/>
            </w:pPr>
            <w:r>
              <w:rPr>
                <w:rFonts w:ascii="Times New Roman" w:hAnsi="Times New Roman" w:eastAsia="Times New Roman"/>
                <w:b w:val="0"/>
                <w:sz w:val="17"/>
              </w:rPr>
              <w:t>Haier Smart Home Annual Report 2022</w:t>
            </w:r>
          </w:p>
        </w:tc>
        <w:tc>
          <w:tcPr>
            <w:tcW w:w="2542" w:type="dxa"/>
            <w:tcMar>
              <w:top w:w="70" w:type="dxa"/>
              <w:left w:w="85" w:type="dxa"/>
              <w:bottom w:w="70" w:type="dxa"/>
              <w:right w:w="85" w:type="dxa"/>
            </w:tcMar>
            <w:vAlign w:val="center"/>
          </w:tcPr>
          <w:p w14:paraId="6ECE30EA">
            <w:pPr>
              <w:spacing w:before="0" w:after="0" w:line="240" w:lineRule="auto"/>
            </w:pPr>
            <w:r>
              <w:rPr>
                <w:rFonts w:ascii="Times New Roman" w:hAnsi="Times New Roman" w:eastAsia="Times New Roman"/>
                <w:b w:val="0"/>
                <w:sz w:val="17"/>
              </w:rPr>
              <w:t>2023</w:t>
            </w:r>
          </w:p>
        </w:tc>
        <w:tc>
          <w:tcPr>
            <w:tcW w:w="2542" w:type="dxa"/>
            <w:tcMar>
              <w:top w:w="70" w:type="dxa"/>
              <w:left w:w="85" w:type="dxa"/>
              <w:bottom w:w="70" w:type="dxa"/>
              <w:right w:w="85" w:type="dxa"/>
            </w:tcMar>
            <w:vAlign w:val="center"/>
          </w:tcPr>
          <w:p w14:paraId="2C1EF737">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216E7AC3">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37144068">
            <w:pPr>
              <w:spacing w:before="0" w:after="0" w:line="240" w:lineRule="auto"/>
            </w:pPr>
            <w:r>
              <w:rPr>
                <w:rFonts w:ascii="Times New Roman" w:hAnsi="Times New Roman" w:eastAsia="Times New Roman"/>
                <w:b w:val="0"/>
                <w:sz w:val="17"/>
              </w:rPr>
              <w:t>Longitudinal context for digital and operating development.</w:t>
            </w:r>
          </w:p>
        </w:tc>
      </w:tr>
      <w:tr w14:paraId="6BCD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3F5E15A8">
            <w:pPr>
              <w:spacing w:before="0" w:after="0" w:line="240" w:lineRule="auto"/>
            </w:pPr>
            <w:r>
              <w:rPr>
                <w:rFonts w:ascii="Times New Roman" w:hAnsi="Times New Roman" w:eastAsia="Times New Roman"/>
                <w:b w:val="0"/>
                <w:sz w:val="17"/>
              </w:rPr>
              <w:t>Annual report</w:t>
            </w:r>
          </w:p>
        </w:tc>
        <w:tc>
          <w:tcPr>
            <w:tcW w:w="2542" w:type="dxa"/>
            <w:tcMar>
              <w:top w:w="70" w:type="dxa"/>
              <w:left w:w="85" w:type="dxa"/>
              <w:bottom w:w="70" w:type="dxa"/>
              <w:right w:w="85" w:type="dxa"/>
            </w:tcMar>
            <w:vAlign w:val="center"/>
          </w:tcPr>
          <w:p w14:paraId="25456C96">
            <w:pPr>
              <w:spacing w:before="0" w:after="0" w:line="240" w:lineRule="auto"/>
            </w:pPr>
            <w:r>
              <w:rPr>
                <w:rFonts w:ascii="Times New Roman" w:hAnsi="Times New Roman" w:eastAsia="Times New Roman"/>
                <w:b w:val="0"/>
                <w:sz w:val="17"/>
              </w:rPr>
              <w:t>Haier Smart Home Annual Report 2023</w:t>
            </w:r>
          </w:p>
        </w:tc>
        <w:tc>
          <w:tcPr>
            <w:tcW w:w="2542" w:type="dxa"/>
            <w:tcMar>
              <w:top w:w="70" w:type="dxa"/>
              <w:left w:w="85" w:type="dxa"/>
              <w:bottom w:w="70" w:type="dxa"/>
              <w:right w:w="85" w:type="dxa"/>
            </w:tcMar>
            <w:vAlign w:val="center"/>
          </w:tcPr>
          <w:p w14:paraId="2406D79E">
            <w:pPr>
              <w:spacing w:before="0" w:after="0" w:line="240" w:lineRule="auto"/>
            </w:pPr>
            <w:r>
              <w:rPr>
                <w:rFonts w:ascii="Times New Roman" w:hAnsi="Times New Roman" w:eastAsia="Times New Roman"/>
                <w:b w:val="0"/>
                <w:sz w:val="17"/>
              </w:rPr>
              <w:t>2024</w:t>
            </w:r>
          </w:p>
        </w:tc>
        <w:tc>
          <w:tcPr>
            <w:tcW w:w="2542" w:type="dxa"/>
            <w:tcMar>
              <w:top w:w="70" w:type="dxa"/>
              <w:left w:w="85" w:type="dxa"/>
              <w:bottom w:w="70" w:type="dxa"/>
              <w:right w:w="85" w:type="dxa"/>
            </w:tcMar>
            <w:vAlign w:val="center"/>
          </w:tcPr>
          <w:p w14:paraId="7F4F2557">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60619604">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50BEB9C7">
            <w:pPr>
              <w:spacing w:before="0" w:after="0" w:line="240" w:lineRule="auto"/>
            </w:pPr>
            <w:r>
              <w:rPr>
                <w:rFonts w:ascii="Times New Roman" w:hAnsi="Times New Roman" w:eastAsia="Times New Roman"/>
                <w:b w:val="0"/>
                <w:sz w:val="17"/>
              </w:rPr>
              <w:t>Evidence on dealer, logistics, service, and supply-chain digitalization.</w:t>
            </w:r>
          </w:p>
        </w:tc>
      </w:tr>
      <w:tr w14:paraId="0212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17FC1F36">
            <w:pPr>
              <w:spacing w:before="0" w:after="0" w:line="240" w:lineRule="auto"/>
            </w:pPr>
            <w:r>
              <w:rPr>
                <w:rFonts w:ascii="Times New Roman" w:hAnsi="Times New Roman" w:eastAsia="Times New Roman"/>
                <w:b w:val="0"/>
                <w:sz w:val="17"/>
              </w:rPr>
              <w:t>Annual report</w:t>
            </w:r>
          </w:p>
        </w:tc>
        <w:tc>
          <w:tcPr>
            <w:tcW w:w="2542" w:type="dxa"/>
            <w:tcMar>
              <w:top w:w="70" w:type="dxa"/>
              <w:left w:w="85" w:type="dxa"/>
              <w:bottom w:w="70" w:type="dxa"/>
              <w:right w:w="85" w:type="dxa"/>
            </w:tcMar>
            <w:vAlign w:val="center"/>
          </w:tcPr>
          <w:p w14:paraId="01F6BBC6">
            <w:pPr>
              <w:spacing w:before="0" w:after="0" w:line="240" w:lineRule="auto"/>
            </w:pPr>
            <w:r>
              <w:rPr>
                <w:rFonts w:ascii="Times New Roman" w:hAnsi="Times New Roman" w:eastAsia="Times New Roman"/>
                <w:b w:val="0"/>
                <w:sz w:val="17"/>
              </w:rPr>
              <w:t>Haier Smart Home Annual Report 2024</w:t>
            </w:r>
          </w:p>
        </w:tc>
        <w:tc>
          <w:tcPr>
            <w:tcW w:w="2542" w:type="dxa"/>
            <w:tcMar>
              <w:top w:w="70" w:type="dxa"/>
              <w:left w:w="85" w:type="dxa"/>
              <w:bottom w:w="70" w:type="dxa"/>
              <w:right w:w="85" w:type="dxa"/>
            </w:tcMar>
            <w:vAlign w:val="center"/>
          </w:tcPr>
          <w:p w14:paraId="4AA73EDA">
            <w:pPr>
              <w:spacing w:before="0" w:after="0" w:line="240" w:lineRule="auto"/>
            </w:pPr>
            <w:r>
              <w:rPr>
                <w:rFonts w:ascii="Times New Roman" w:hAnsi="Times New Roman" w:eastAsia="Times New Roman"/>
                <w:b w:val="0"/>
                <w:sz w:val="17"/>
              </w:rPr>
              <w:t>2025</w:t>
            </w:r>
          </w:p>
        </w:tc>
        <w:tc>
          <w:tcPr>
            <w:tcW w:w="2542" w:type="dxa"/>
            <w:tcMar>
              <w:top w:w="70" w:type="dxa"/>
              <w:left w:w="85" w:type="dxa"/>
              <w:bottom w:w="70" w:type="dxa"/>
              <w:right w:w="85" w:type="dxa"/>
            </w:tcMar>
            <w:vAlign w:val="center"/>
          </w:tcPr>
          <w:p w14:paraId="51C13C9C">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0FEA353F">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2C104509">
            <w:pPr>
              <w:spacing w:before="0" w:after="0" w:line="240" w:lineRule="auto"/>
            </w:pPr>
            <w:r>
              <w:rPr>
                <w:rFonts w:ascii="Times New Roman" w:hAnsi="Times New Roman" w:eastAsia="Times New Roman"/>
                <w:b w:val="0"/>
                <w:sz w:val="17"/>
              </w:rPr>
              <w:t>Evidence on deeper digital transformation and response-cycle improvement.</w:t>
            </w:r>
          </w:p>
        </w:tc>
      </w:tr>
      <w:tr w14:paraId="6AE2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65B97C1E">
            <w:pPr>
              <w:spacing w:before="0" w:after="0" w:line="240" w:lineRule="auto"/>
            </w:pPr>
            <w:r>
              <w:rPr>
                <w:rFonts w:ascii="Times New Roman" w:hAnsi="Times New Roman" w:eastAsia="Times New Roman"/>
                <w:b w:val="0"/>
                <w:sz w:val="17"/>
              </w:rPr>
              <w:t>Annual report</w:t>
            </w:r>
          </w:p>
        </w:tc>
        <w:tc>
          <w:tcPr>
            <w:tcW w:w="2542" w:type="dxa"/>
            <w:tcMar>
              <w:top w:w="70" w:type="dxa"/>
              <w:left w:w="85" w:type="dxa"/>
              <w:bottom w:w="70" w:type="dxa"/>
              <w:right w:w="85" w:type="dxa"/>
            </w:tcMar>
            <w:vAlign w:val="center"/>
          </w:tcPr>
          <w:p w14:paraId="5B7F74B4">
            <w:pPr>
              <w:spacing w:before="0" w:after="0" w:line="240" w:lineRule="auto"/>
            </w:pPr>
            <w:r>
              <w:rPr>
                <w:rFonts w:ascii="Times New Roman" w:hAnsi="Times New Roman" w:eastAsia="Times New Roman"/>
                <w:b w:val="0"/>
                <w:sz w:val="17"/>
              </w:rPr>
              <w:t>Haier Smart Home Annual Report 2025</w:t>
            </w:r>
          </w:p>
        </w:tc>
        <w:tc>
          <w:tcPr>
            <w:tcW w:w="2542" w:type="dxa"/>
            <w:tcMar>
              <w:top w:w="70" w:type="dxa"/>
              <w:left w:w="85" w:type="dxa"/>
              <w:bottom w:w="70" w:type="dxa"/>
              <w:right w:w="85" w:type="dxa"/>
            </w:tcMar>
            <w:vAlign w:val="center"/>
          </w:tcPr>
          <w:p w14:paraId="0444378B">
            <w:pPr>
              <w:spacing w:before="0" w:after="0" w:line="240" w:lineRule="auto"/>
            </w:pPr>
            <w:r>
              <w:rPr>
                <w:rFonts w:ascii="Times New Roman" w:hAnsi="Times New Roman" w:eastAsia="Times New Roman"/>
                <w:b w:val="0"/>
                <w:sz w:val="17"/>
              </w:rPr>
              <w:t>2026</w:t>
            </w:r>
          </w:p>
        </w:tc>
        <w:tc>
          <w:tcPr>
            <w:tcW w:w="2542" w:type="dxa"/>
            <w:tcMar>
              <w:top w:w="70" w:type="dxa"/>
              <w:left w:w="85" w:type="dxa"/>
              <w:bottom w:w="70" w:type="dxa"/>
              <w:right w:w="85" w:type="dxa"/>
            </w:tcMar>
            <w:vAlign w:val="center"/>
          </w:tcPr>
          <w:p w14:paraId="428D6D6D">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2D1F18C0">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42B8423A">
            <w:pPr>
              <w:spacing w:before="0" w:after="0" w:line="240" w:lineRule="auto"/>
            </w:pPr>
            <w:r>
              <w:rPr>
                <w:rFonts w:ascii="Times New Roman" w:hAnsi="Times New Roman" w:eastAsia="Times New Roman"/>
                <w:b w:val="0"/>
                <w:sz w:val="17"/>
              </w:rPr>
              <w:t>2025 financial, strategic, supply-chain, and AI-enabled R&amp;D context.</w:t>
            </w:r>
          </w:p>
        </w:tc>
      </w:tr>
      <w:tr w14:paraId="7671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1899E20D">
            <w:pPr>
              <w:spacing w:before="0" w:after="0" w:line="240" w:lineRule="auto"/>
            </w:pPr>
            <w:r>
              <w:rPr>
                <w:rFonts w:ascii="Times New Roman" w:hAnsi="Times New Roman" w:eastAsia="Times New Roman"/>
                <w:b w:val="0"/>
                <w:sz w:val="17"/>
              </w:rPr>
              <w:t>ESG report</w:t>
            </w:r>
          </w:p>
        </w:tc>
        <w:tc>
          <w:tcPr>
            <w:tcW w:w="2542" w:type="dxa"/>
            <w:tcMar>
              <w:top w:w="70" w:type="dxa"/>
              <w:left w:w="85" w:type="dxa"/>
              <w:bottom w:w="70" w:type="dxa"/>
              <w:right w:w="85" w:type="dxa"/>
            </w:tcMar>
            <w:vAlign w:val="center"/>
          </w:tcPr>
          <w:p w14:paraId="40817267">
            <w:pPr>
              <w:spacing w:before="0" w:after="0" w:line="240" w:lineRule="auto"/>
            </w:pPr>
            <w:r>
              <w:rPr>
                <w:rFonts w:ascii="Times New Roman" w:hAnsi="Times New Roman" w:eastAsia="Times New Roman"/>
                <w:b w:val="0"/>
                <w:sz w:val="17"/>
              </w:rPr>
              <w:t>Haier Smart Home Environmental, Social and Governance Report 2025</w:t>
            </w:r>
          </w:p>
        </w:tc>
        <w:tc>
          <w:tcPr>
            <w:tcW w:w="2542" w:type="dxa"/>
            <w:tcMar>
              <w:top w:w="70" w:type="dxa"/>
              <w:left w:w="85" w:type="dxa"/>
              <w:bottom w:w="70" w:type="dxa"/>
              <w:right w:w="85" w:type="dxa"/>
            </w:tcMar>
            <w:vAlign w:val="center"/>
          </w:tcPr>
          <w:p w14:paraId="468C9BFC">
            <w:pPr>
              <w:spacing w:before="0" w:after="0" w:line="240" w:lineRule="auto"/>
            </w:pPr>
            <w:r>
              <w:rPr>
                <w:rFonts w:ascii="Times New Roman" w:hAnsi="Times New Roman" w:eastAsia="Times New Roman"/>
                <w:b w:val="0"/>
                <w:sz w:val="17"/>
              </w:rPr>
              <w:t>2026</w:t>
            </w:r>
          </w:p>
        </w:tc>
        <w:tc>
          <w:tcPr>
            <w:tcW w:w="2542" w:type="dxa"/>
            <w:tcMar>
              <w:top w:w="70" w:type="dxa"/>
              <w:left w:w="85" w:type="dxa"/>
              <w:bottom w:w="70" w:type="dxa"/>
              <w:right w:w="85" w:type="dxa"/>
            </w:tcMar>
            <w:vAlign w:val="center"/>
          </w:tcPr>
          <w:p w14:paraId="4D97FB6F">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325315F2">
            <w:pPr>
              <w:spacing w:before="0" w:after="0" w:line="240" w:lineRule="auto"/>
            </w:pPr>
            <w:r>
              <w:rPr>
                <w:rFonts w:ascii="Times New Roman" w:hAnsi="Times New Roman" w:eastAsia="Times New Roman"/>
                <w:b w:val="0"/>
                <w:sz w:val="17"/>
              </w:rPr>
              <w:t>https://www.haier.com/global/csr/</w:t>
            </w:r>
          </w:p>
        </w:tc>
        <w:tc>
          <w:tcPr>
            <w:tcW w:w="2542" w:type="dxa"/>
            <w:tcMar>
              <w:top w:w="70" w:type="dxa"/>
              <w:left w:w="85" w:type="dxa"/>
              <w:bottom w:w="70" w:type="dxa"/>
              <w:right w:w="85" w:type="dxa"/>
            </w:tcMar>
            <w:vAlign w:val="center"/>
          </w:tcPr>
          <w:p w14:paraId="4BA1FD86">
            <w:pPr>
              <w:spacing w:before="0" w:after="0" w:line="240" w:lineRule="auto"/>
            </w:pPr>
            <w:r>
              <w:rPr>
                <w:rFonts w:ascii="Times New Roman" w:hAnsi="Times New Roman" w:eastAsia="Times New Roman"/>
                <w:b w:val="0"/>
                <w:sz w:val="17"/>
              </w:rPr>
              <w:t>Environmental, employee, supplier, circularity, and user-side sustainability context.</w:t>
            </w:r>
          </w:p>
        </w:tc>
      </w:tr>
      <w:tr w14:paraId="3EC3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6F42C905">
            <w:pPr>
              <w:spacing w:before="0" w:after="0" w:line="240" w:lineRule="auto"/>
            </w:pPr>
            <w:r>
              <w:rPr>
                <w:rFonts w:ascii="Times New Roman" w:hAnsi="Times New Roman" w:eastAsia="Times New Roman"/>
                <w:b w:val="0"/>
                <w:sz w:val="17"/>
              </w:rPr>
              <w:t>Disclosure portal</w:t>
            </w:r>
          </w:p>
        </w:tc>
        <w:tc>
          <w:tcPr>
            <w:tcW w:w="2542" w:type="dxa"/>
            <w:tcMar>
              <w:top w:w="70" w:type="dxa"/>
              <w:left w:w="85" w:type="dxa"/>
              <w:bottom w:w="70" w:type="dxa"/>
              <w:right w:w="85" w:type="dxa"/>
            </w:tcMar>
            <w:vAlign w:val="center"/>
          </w:tcPr>
          <w:p w14:paraId="4581C01B">
            <w:pPr>
              <w:spacing w:before="0" w:after="0" w:line="240" w:lineRule="auto"/>
            </w:pPr>
            <w:r>
              <w:rPr>
                <w:rFonts w:ascii="Times New Roman" w:hAnsi="Times New Roman" w:eastAsia="Times New Roman"/>
                <w:b w:val="0"/>
                <w:sz w:val="17"/>
              </w:rPr>
              <w:t>Haier Smart Home Investor Relations - Financial Reports</w:t>
            </w:r>
          </w:p>
        </w:tc>
        <w:tc>
          <w:tcPr>
            <w:tcW w:w="2542" w:type="dxa"/>
            <w:tcMar>
              <w:top w:w="70" w:type="dxa"/>
              <w:left w:w="85" w:type="dxa"/>
              <w:bottom w:w="70" w:type="dxa"/>
              <w:right w:w="85" w:type="dxa"/>
            </w:tcMar>
            <w:vAlign w:val="center"/>
          </w:tcPr>
          <w:p w14:paraId="6FD13111">
            <w:pPr>
              <w:spacing w:before="0" w:after="0" w:line="240" w:lineRule="auto"/>
            </w:pPr>
            <w:r>
              <w:rPr>
                <w:rFonts w:ascii="Times New Roman" w:hAnsi="Times New Roman" w:eastAsia="Times New Roman"/>
                <w:b w:val="0"/>
                <w:sz w:val="17"/>
              </w:rPr>
              <w:t>Accessed 18 July 2026</w:t>
            </w:r>
          </w:p>
        </w:tc>
        <w:tc>
          <w:tcPr>
            <w:tcW w:w="2542" w:type="dxa"/>
            <w:tcMar>
              <w:top w:w="70" w:type="dxa"/>
              <w:left w:w="85" w:type="dxa"/>
              <w:bottom w:w="70" w:type="dxa"/>
              <w:right w:w="85" w:type="dxa"/>
            </w:tcMar>
            <w:vAlign w:val="center"/>
          </w:tcPr>
          <w:p w14:paraId="3F2E86B9">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0A3E87F9">
            <w:pPr>
              <w:spacing w:before="0" w:after="0" w:line="240" w:lineRule="auto"/>
            </w:pPr>
            <w:r>
              <w:rPr>
                <w:rFonts w:ascii="Times New Roman" w:hAnsi="Times New Roman" w:eastAsia="Times New Roman"/>
                <w:b w:val="0"/>
                <w:sz w:val="17"/>
              </w:rPr>
              <w:t>https://smart-home.haier.com/en/investor-relations/#financial-reports</w:t>
            </w:r>
          </w:p>
        </w:tc>
        <w:tc>
          <w:tcPr>
            <w:tcW w:w="2542" w:type="dxa"/>
            <w:tcMar>
              <w:top w:w="70" w:type="dxa"/>
              <w:left w:w="85" w:type="dxa"/>
              <w:bottom w:w="70" w:type="dxa"/>
              <w:right w:w="85" w:type="dxa"/>
            </w:tcMar>
            <w:vAlign w:val="center"/>
          </w:tcPr>
          <w:p w14:paraId="33D074D7">
            <w:pPr>
              <w:spacing w:before="0" w:after="0" w:line="240" w:lineRule="auto"/>
            </w:pPr>
            <w:r>
              <w:rPr>
                <w:rFonts w:ascii="Times New Roman" w:hAnsi="Times New Roman" w:eastAsia="Times New Roman"/>
                <w:b w:val="0"/>
                <w:sz w:val="17"/>
              </w:rPr>
              <w:t>Verification and retrieval of annual reports.</w:t>
            </w:r>
          </w:p>
        </w:tc>
      </w:tr>
      <w:tr w14:paraId="4B1B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tcMar>
              <w:top w:w="70" w:type="dxa"/>
              <w:left w:w="85" w:type="dxa"/>
              <w:bottom w:w="70" w:type="dxa"/>
              <w:right w:w="85" w:type="dxa"/>
            </w:tcMar>
            <w:vAlign w:val="center"/>
          </w:tcPr>
          <w:p w14:paraId="613FB087">
            <w:pPr>
              <w:spacing w:before="0" w:after="0" w:line="240" w:lineRule="auto"/>
            </w:pPr>
            <w:r>
              <w:rPr>
                <w:rFonts w:ascii="Times New Roman" w:hAnsi="Times New Roman" w:eastAsia="Times New Roman"/>
                <w:b w:val="0"/>
                <w:sz w:val="17"/>
              </w:rPr>
              <w:t>Disclosure portal</w:t>
            </w:r>
          </w:p>
        </w:tc>
        <w:tc>
          <w:tcPr>
            <w:tcW w:w="2542" w:type="dxa"/>
            <w:tcMar>
              <w:top w:w="70" w:type="dxa"/>
              <w:left w:w="85" w:type="dxa"/>
              <w:bottom w:w="70" w:type="dxa"/>
              <w:right w:w="85" w:type="dxa"/>
            </w:tcMar>
            <w:vAlign w:val="center"/>
          </w:tcPr>
          <w:p w14:paraId="738A7E0D">
            <w:pPr>
              <w:spacing w:before="0" w:after="0" w:line="240" w:lineRule="auto"/>
            </w:pPr>
            <w:r>
              <w:rPr>
                <w:rFonts w:ascii="Times New Roman" w:hAnsi="Times New Roman" w:eastAsia="Times New Roman"/>
                <w:b w:val="0"/>
                <w:sz w:val="17"/>
              </w:rPr>
              <w:t>Haier Global Corporate Social Responsibility</w:t>
            </w:r>
          </w:p>
        </w:tc>
        <w:tc>
          <w:tcPr>
            <w:tcW w:w="2542" w:type="dxa"/>
            <w:tcMar>
              <w:top w:w="70" w:type="dxa"/>
              <w:left w:w="85" w:type="dxa"/>
              <w:bottom w:w="70" w:type="dxa"/>
              <w:right w:w="85" w:type="dxa"/>
            </w:tcMar>
            <w:vAlign w:val="center"/>
          </w:tcPr>
          <w:p w14:paraId="4A12874C">
            <w:pPr>
              <w:spacing w:before="0" w:after="0" w:line="240" w:lineRule="auto"/>
            </w:pPr>
            <w:r>
              <w:rPr>
                <w:rFonts w:ascii="Times New Roman" w:hAnsi="Times New Roman" w:eastAsia="Times New Roman"/>
                <w:b w:val="0"/>
                <w:sz w:val="17"/>
              </w:rPr>
              <w:t>Accessed 18 July 2026</w:t>
            </w:r>
          </w:p>
        </w:tc>
        <w:tc>
          <w:tcPr>
            <w:tcW w:w="2542" w:type="dxa"/>
            <w:tcMar>
              <w:top w:w="70" w:type="dxa"/>
              <w:left w:w="85" w:type="dxa"/>
              <w:bottom w:w="70" w:type="dxa"/>
              <w:right w:w="85" w:type="dxa"/>
            </w:tcMar>
            <w:vAlign w:val="center"/>
          </w:tcPr>
          <w:p w14:paraId="0758EC5A">
            <w:pPr>
              <w:spacing w:before="0" w:after="0" w:line="240" w:lineRule="auto"/>
            </w:pPr>
            <w:r>
              <w:rPr>
                <w:rFonts w:ascii="Times New Roman" w:hAnsi="Times New Roman" w:eastAsia="Times New Roman"/>
                <w:b w:val="0"/>
                <w:sz w:val="17"/>
              </w:rPr>
              <w:t>Public</w:t>
            </w:r>
          </w:p>
        </w:tc>
        <w:tc>
          <w:tcPr>
            <w:tcW w:w="2542" w:type="dxa"/>
            <w:tcMar>
              <w:top w:w="70" w:type="dxa"/>
              <w:left w:w="85" w:type="dxa"/>
              <w:bottom w:w="70" w:type="dxa"/>
              <w:right w:w="85" w:type="dxa"/>
            </w:tcMar>
            <w:vAlign w:val="center"/>
          </w:tcPr>
          <w:p w14:paraId="558F020E">
            <w:pPr>
              <w:spacing w:before="0" w:after="0" w:line="240" w:lineRule="auto"/>
            </w:pPr>
            <w:r>
              <w:rPr>
                <w:rFonts w:ascii="Times New Roman" w:hAnsi="Times New Roman" w:eastAsia="Times New Roman"/>
                <w:b w:val="0"/>
                <w:sz w:val="17"/>
              </w:rPr>
              <w:t>https://www.haier.com/global/csr/</w:t>
            </w:r>
          </w:p>
        </w:tc>
        <w:tc>
          <w:tcPr>
            <w:tcW w:w="2542" w:type="dxa"/>
            <w:tcMar>
              <w:top w:w="70" w:type="dxa"/>
              <w:left w:w="85" w:type="dxa"/>
              <w:bottom w:w="70" w:type="dxa"/>
              <w:right w:w="85" w:type="dxa"/>
            </w:tcMar>
            <w:vAlign w:val="center"/>
          </w:tcPr>
          <w:p w14:paraId="51758310">
            <w:pPr>
              <w:spacing w:before="0" w:after="0" w:line="240" w:lineRule="auto"/>
            </w:pPr>
            <w:r>
              <w:rPr>
                <w:rFonts w:ascii="Times New Roman" w:hAnsi="Times New Roman" w:eastAsia="Times New Roman"/>
                <w:b w:val="0"/>
                <w:sz w:val="17"/>
              </w:rPr>
              <w:t>Verification and retrieval of ESG disclosures.</w:t>
            </w:r>
          </w:p>
        </w:tc>
      </w:tr>
    </w:tbl>
    <w:p w14:paraId="2A8637EB">
      <w:pPr>
        <w:pStyle w:val="3"/>
      </w:pPr>
      <w:r>
        <w:rPr>
          <w:rFonts w:ascii="Times New Roman" w:hAnsi="Times New Roman" w:eastAsia="Times New Roman"/>
        </w:rPr>
        <w:t>Figure S1. Measurement framework for chain-group contract governance</w:t>
      </w:r>
    </w:p>
    <w:p w14:paraId="025C696E">
      <w:pPr>
        <w:jc w:val="both"/>
      </w:pPr>
      <w:r>
        <w:drawing>
          <wp:inline distT="0" distB="0" distL="114300" distR="114300">
            <wp:extent cx="6035040" cy="3352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035040" cy="3352190"/>
                    </a:xfrm>
                    <a:prstGeom prst="rect">
                      <a:avLst/>
                    </a:prstGeom>
                  </pic:spPr>
                </pic:pic>
              </a:graphicData>
            </a:graphic>
          </wp:inline>
        </w:drawing>
      </w:r>
    </w:p>
    <w:p w14:paraId="44DAA0E4">
      <w:pPr>
        <w:jc w:val="both"/>
      </w:pPr>
      <w:r>
        <w:rPr>
          <w:rFonts w:ascii="Times New Roman" w:hAnsi="Times New Roman" w:eastAsia="Times New Roman"/>
          <w:sz w:val="18"/>
        </w:rPr>
        <w:t>Figure S1. Qualitative measurement dimensions for chain-group contract governance. The dimensions are analytical and do not constitute causal validation.</w:t>
      </w:r>
    </w:p>
    <w:p w14:paraId="7E3B10BD">
      <w:pPr>
        <w:pStyle w:val="3"/>
      </w:pPr>
      <w:r>
        <w:rPr>
          <w:rFonts w:ascii="Times New Roman" w:hAnsi="Times New Roman" w:eastAsia="Times New Roman"/>
        </w:rPr>
        <w:t>File S1. Semi-structured interview protocol</w:t>
      </w:r>
    </w:p>
    <w:p w14:paraId="53F9C3F5">
      <w:pPr>
        <w:jc w:val="both"/>
      </w:pPr>
      <w:r>
        <w:rPr>
          <w:rFonts w:ascii="Times New Roman" w:hAnsi="Times New Roman" w:eastAsia="Times New Roman"/>
          <w:i/>
        </w:rPr>
        <w:t>This blank protocol records the interview domains used across the archived interview records. Question order and follow-up probes varied according to participant role and the organizational practice being discussed.</w:t>
      </w:r>
    </w:p>
    <w:p w14:paraId="67A279B6">
      <w:pPr>
        <w:jc w:val="both"/>
      </w:pPr>
      <w:r>
        <w:rPr>
          <w:rFonts w:ascii="Times New Roman" w:hAnsi="Times New Roman" w:eastAsia="Times New Roman"/>
        </w:rPr>
        <w:t>1. Please describe your role and involvement in Haier Smart Home's digital transformation.</w:t>
      </w:r>
    </w:p>
    <w:p w14:paraId="7222421D">
      <w:pPr>
        <w:jc w:val="both"/>
      </w:pPr>
      <w:r>
        <w:rPr>
          <w:rFonts w:ascii="Times New Roman" w:hAnsi="Times New Roman" w:eastAsia="Times New Roman"/>
        </w:rPr>
        <w:t>2. Which digital platforms, data systems, or AI tools are most relevant to your work?</w:t>
      </w:r>
    </w:p>
    <w:p w14:paraId="69DE5AAF">
      <w:pPr>
        <w:jc w:val="both"/>
      </w:pPr>
      <w:r>
        <w:rPr>
          <w:rFonts w:ascii="Times New Roman" w:hAnsi="Times New Roman" w:eastAsia="Times New Roman"/>
        </w:rPr>
        <w:t>3. How are user needs and market signals identified and translated into organizational action?</w:t>
      </w:r>
    </w:p>
    <w:p w14:paraId="1ADEA0A2">
      <w:pPr>
        <w:jc w:val="both"/>
      </w:pPr>
      <w:r>
        <w:rPr>
          <w:rFonts w:ascii="Times New Roman" w:hAnsi="Times New Roman" w:eastAsia="Times New Roman"/>
        </w:rPr>
        <w:t>4. How have HR platforms and decentralized authority affected strategy execution?</w:t>
      </w:r>
    </w:p>
    <w:p w14:paraId="0326209D">
      <w:pPr>
        <w:jc w:val="both"/>
      </w:pPr>
      <w:r>
        <w:rPr>
          <w:rFonts w:ascii="Times New Roman" w:hAnsi="Times New Roman" w:eastAsia="Times New Roman"/>
        </w:rPr>
        <w:t>5. How are employee capabilities recorded, matched, and reconfigured around value orders?</w:t>
      </w:r>
    </w:p>
    <w:p w14:paraId="75E25F05">
      <w:pPr>
        <w:jc w:val="both"/>
      </w:pPr>
      <w:r>
        <w:rPr>
          <w:rFonts w:ascii="Times New Roman" w:hAnsi="Times New Roman" w:eastAsia="Times New Roman"/>
        </w:rPr>
        <w:t>6. How does order-based assembly and disassembly operate in practice?</w:t>
      </w:r>
    </w:p>
    <w:p w14:paraId="20C9A2CF">
      <w:pPr>
        <w:jc w:val="both"/>
      </w:pPr>
      <w:r>
        <w:rPr>
          <w:rFonts w:ascii="Times New Roman" w:hAnsi="Times New Roman" w:eastAsia="Times New Roman"/>
        </w:rPr>
        <w:t>7. How are user value, contribution, compensation, and value sharing connected?</w:t>
      </w:r>
    </w:p>
    <w:p w14:paraId="096CD9CD">
      <w:pPr>
        <w:jc w:val="both"/>
      </w:pPr>
      <w:r>
        <w:rPr>
          <w:rFonts w:ascii="Times New Roman" w:hAnsi="Times New Roman" w:eastAsia="Times New Roman"/>
        </w:rPr>
        <w:t>8. How do chain-group contracts define goals, responsibilities, delivery, and benefit sharing?</w:t>
      </w:r>
    </w:p>
    <w:p w14:paraId="64F737CC">
      <w:pPr>
        <w:jc w:val="both"/>
      </w:pPr>
      <w:r>
        <w:rPr>
          <w:rFonts w:ascii="Times New Roman" w:hAnsi="Times New Roman" w:eastAsia="Times New Roman"/>
        </w:rPr>
        <w:t>9. What outcomes have improved, and what alternative explanations should be considered?</w:t>
      </w:r>
    </w:p>
    <w:p w14:paraId="704433A2">
      <w:pPr>
        <w:jc w:val="both"/>
      </w:pPr>
      <w:r>
        <w:rPr>
          <w:rFonts w:ascii="Times New Roman" w:hAnsi="Times New Roman" w:eastAsia="Times New Roman"/>
        </w:rPr>
        <w:t>10. What tensions or risks have emerged concerning income volatility, coordination, monitoring, privacy, fairness, or psychological pressure?</w:t>
      </w:r>
    </w:p>
    <w:p w14:paraId="776DB917">
      <w:pPr>
        <w:pStyle w:val="3"/>
      </w:pPr>
      <w:r>
        <w:rPr>
          <w:rFonts w:ascii="Times New Roman" w:hAnsi="Times New Roman" w:eastAsia="Times New Roman"/>
        </w:rPr>
        <w:t>File S2. Blank verbal informed-consent script</w:t>
      </w:r>
    </w:p>
    <w:p w14:paraId="772594C3">
      <w:pPr>
        <w:jc w:val="both"/>
      </w:pPr>
      <w:r>
        <w:t>This blank script records the consent information documented for the remote interviews. The study protocol and consent procedure were approved before data collection by the authors' institutional ethics committee. Full committee details, protocol code and signed documentation have been provided confidentially to the Editorial Office.</w:t>
      </w:r>
    </w:p>
    <w:p w14:paraId="0ED3B928">
      <w:pPr>
        <w:jc w:val="both"/>
      </w:pPr>
      <w:r>
        <w:rPr>
          <w:rFonts w:ascii="Times New Roman" w:hAnsi="Times New Roman" w:eastAsia="Times New Roman"/>
        </w:rPr>
        <w:t>You are invited to participate in an academic study of digital transformation and sustainable management in manufacturing.</w:t>
      </w:r>
    </w:p>
    <w:p w14:paraId="427195BA">
      <w:pPr>
        <w:jc w:val="both"/>
      </w:pPr>
      <w:r>
        <w:rPr>
          <w:rFonts w:ascii="Times New Roman" w:hAnsi="Times New Roman" w:eastAsia="Times New Roman"/>
        </w:rPr>
        <w:t>Participation is voluntary. You may decline to answer any question or stop the interview at any time without penalty.</w:t>
      </w:r>
    </w:p>
    <w:p w14:paraId="1EEE6A99">
      <w:pPr>
        <w:jc w:val="both"/>
      </w:pPr>
      <w:r>
        <w:rPr>
          <w:rFonts w:ascii="Times New Roman" w:hAnsi="Times New Roman" w:eastAsia="Times New Roman"/>
        </w:rPr>
        <w:t>With your permission, the Tencent Meeting interview will be recorded and transcribed for academic analysis.</w:t>
      </w:r>
    </w:p>
    <w:p w14:paraId="0D2B17CF">
      <w:pPr>
        <w:jc w:val="both"/>
      </w:pPr>
      <w:r>
        <w:rPr>
          <w:rFonts w:ascii="Times New Roman" w:hAnsi="Times New Roman" w:eastAsia="Times New Roman"/>
        </w:rPr>
        <w:t>Your name and direct personal identifiers will be removed. Findings will use coded identifiers and anonymized English translations of selected excerpts.</w:t>
      </w:r>
    </w:p>
    <w:p w14:paraId="51023C37">
      <w:pPr>
        <w:jc w:val="both"/>
      </w:pPr>
      <w:r>
        <w:rPr>
          <w:rFonts w:ascii="Times New Roman" w:hAnsi="Times New Roman" w:eastAsia="Times New Roman"/>
        </w:rPr>
        <w:t>The anonymized material may be used in academic publications and presentations.</w:t>
      </w:r>
    </w:p>
    <w:p w14:paraId="0819ACB9">
      <w:pPr>
        <w:jc w:val="both"/>
      </w:pPr>
      <w:r>
        <w:rPr>
          <w:rFonts w:ascii="Times New Roman" w:hAnsi="Times New Roman" w:eastAsia="Times New Roman"/>
        </w:rPr>
        <w:t>Recordings, transcripts, and coding files will be stored in encrypted, access-restricted form and used only for authorized research purposes.</w:t>
      </w:r>
    </w:p>
    <w:p w14:paraId="29867EB6">
      <w:pPr>
        <w:jc w:val="both"/>
      </w:pPr>
      <w:r>
        <w:rPr>
          <w:rFonts w:ascii="Times New Roman" w:hAnsi="Times New Roman" w:eastAsia="Times New Roman"/>
        </w:rPr>
        <w:t>Do you understand this information and verbally agree to participate?</w:t>
      </w:r>
    </w:p>
    <w:p w14:paraId="7137DBD4">
      <w:pPr>
        <w:pStyle w:val="3"/>
      </w:pPr>
      <w:r>
        <w:t>Use of artificial intelligence tools</w:t>
      </w:r>
    </w:p>
    <w:p w14:paraId="75BB15D1">
      <w:pPr>
        <w:jc w:val="both"/>
      </w:pPr>
      <w:r>
        <w:t>During manuscript preparation, ChatGPT and OpenAI Codex (OpenAI; accessed July 2026) were used for Chinese-English translation, language restructuring and preliminary conceptual brainstorming. They were not used for data collection, independent qualitative coding, theme determination, empirical findings or research conclusions. No generative-AI images are included. The authors reviewed and verified all outputs and retain full responsibility for the submitted material.</w:t>
      </w:r>
    </w:p>
    <w:sectPr>
      <w:pgSz w:w="16834" w:h="11909" w:orient="landscape"/>
      <w:pgMar w:top="792" w:right="792" w:bottom="792" w:left="79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3D5C39"/>
    <w:rsid w:val="793165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Times New Roman" w:hAnsi="Times New Roman" w:eastAsia="Times New Roman" w:cstheme="minorBidi"/>
      <w:sz w:val="22"/>
      <w:szCs w:val="22"/>
      <w:lang w:val="en-US" w:eastAsia="en-US" w:bidi="ar-SA"/>
    </w:rPr>
  </w:style>
  <w:style w:type="paragraph" w:styleId="3">
    <w:name w:val="heading 1"/>
    <w:basedOn w:val="1"/>
    <w:next w:val="1"/>
    <w:link w:val="138"/>
    <w:qFormat/>
    <w:uiPriority w:val="9"/>
    <w:pPr>
      <w:keepNext/>
      <w:keepLines/>
      <w:spacing w:before="200" w:after="80"/>
      <w:outlineLvl w:val="0"/>
    </w:pPr>
    <w:rPr>
      <w:rFonts w:asciiTheme="majorHAnsi" w:hAnsiTheme="majorHAnsi" w:eastAsiaTheme="majorEastAsia" w:cstheme="majorBidi"/>
      <w:b/>
      <w:bCs/>
      <w:color w:val="376092" w:themeColor="accent1" w:themeShade="BF"/>
      <w:sz w:val="26"/>
      <w:szCs w:val="28"/>
    </w:rPr>
  </w:style>
  <w:style w:type="paragraph" w:styleId="4">
    <w:name w:val="heading 2"/>
    <w:basedOn w:val="1"/>
    <w:next w:val="1"/>
    <w:link w:val="139"/>
    <w:unhideWhenUsed/>
    <w:qFormat/>
    <w:uiPriority w:val="9"/>
    <w:pPr>
      <w:keepNext/>
      <w:keepLines/>
      <w:spacing w:before="200" w:after="80"/>
      <w:outlineLvl w:val="1"/>
    </w:pPr>
    <w:rPr>
      <w:rFonts w:asciiTheme="majorHAnsi" w:hAnsiTheme="majorHAnsi" w:eastAsiaTheme="majorEastAsia" w:cstheme="majorBidi"/>
      <w:b/>
      <w:bCs/>
      <w:color w:val="4F81BD" w:themeColor="accent1"/>
      <w:sz w:val="24"/>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538</Words>
  <Characters>3555</Characters>
  <Lines>0</Lines>
  <Paragraphs>0</Paragraphs>
  <TotalTime>0</TotalTime>
  <ScaleCrop>false</ScaleCrop>
  <LinksUpToDate>false</LinksUpToDate>
  <CharactersWithSpaces>3993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Rómulo</dc:creator>
  <dc:description>generated by python-docx</dc:description>
  <cp:lastModifiedBy>Rómulo</cp:lastModifiedBy>
  <dcterms:modified xsi:type="dcterms:W3CDTF">2026-07-22T09:00:31Z</dcterms:modified>
  <dc:title>Supplementary Materials - Digital Transformation and Sustainable Management Model in Manufacturing: A Mechanism-Based Case Study of Haier Smart Home</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eyJoZGlkIjoiMzhjMGRlZjUxYzk1MDA0ZTMwMTBlZmEyMTI1NDc1ZWMiLCJ1c2VySWQiOiIyNjU0MjQ4NDQifQ==</vt:lpwstr>
  </property>
  <property fmtid="{D5CDD505-2E9C-101B-9397-08002B2CF9AE}" pid="3" name="KSOProductBuildVer">
    <vt:lpwstr>2052-12.1.0.26895</vt:lpwstr>
  </property>
  <property fmtid="{D5CDD505-2E9C-101B-9397-08002B2CF9AE}" pid="4" name="ICV">
    <vt:lpwstr>62702BF2CCCE41DD9EA40ECEAB21DE0E_12</vt:lpwstr>
  </property>
</Properties>
</file>