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24"/>
          <w:szCs w:val="24"/>
        </w:rPr>
        <w:t xml:space="preserve">Supplementary Table 3</w:t>
      </w:r>
    </w:p>
    <w:p>
      <w:pPr>
        <w:spacing w:after="200"/>
      </w:pPr>
      <w:r>
        <w:rPr>
          <w:i/>
          <w:iCs/>
          <w:sz w:val="22"/>
          <w:szCs w:val="22"/>
        </w:rPr>
        <w:t xml:space="preserve">Revisional one-anastomosis gastric bypass: frequency, timing, and index procedure, by sex</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1900"/>
        <w:gridCol w:w="1900"/>
        <w:gridCol w:w="1900"/>
        <w:gridCol w:w="1100"/>
      </w:tblGrid>
      <w:tr>
        <w:trPr>
          <w:tblHeader/>
        </w:trPr>
        <w:tc>
          <w:tcPr>
            <w:tcW w:type="dxa" w:w="2600"/>
            <w:shd w:fill="D9D9D9" w:val="clear"/>
          </w:tcPr>
          <w:p>
            <w:pPr>
              <w:jc w:val="left"/>
            </w:pPr>
            <w:r>
              <w:rPr>
                <w:b/>
                <w:bCs/>
                <w:sz w:val="20"/>
                <w:szCs w:val="20"/>
              </w:rPr>
              <w:t xml:space="preserve"/>
            </w:r>
          </w:p>
        </w:tc>
        <w:tc>
          <w:tcPr>
            <w:tcW w:type="dxa" w:w="1900"/>
            <w:shd w:fill="D9D9D9" w:val="clear"/>
          </w:tcPr>
          <w:p>
            <w:pPr>
              <w:jc w:val="center"/>
            </w:pPr>
            <w:r>
              <w:rPr>
                <w:b/>
                <w:bCs/>
                <w:sz w:val="20"/>
                <w:szCs w:val="20"/>
              </w:rPr>
              <w:t xml:space="preserve">Women</w:t>
            </w:r>
          </w:p>
        </w:tc>
        <w:tc>
          <w:tcPr>
            <w:tcW w:type="dxa" w:w="1900"/>
            <w:shd w:fill="D9D9D9" w:val="clear"/>
          </w:tcPr>
          <w:p>
            <w:pPr>
              <w:jc w:val="center"/>
            </w:pPr>
            <w:r>
              <w:rPr>
                <w:b/>
                <w:bCs/>
                <w:sz w:val="20"/>
                <w:szCs w:val="20"/>
              </w:rPr>
              <w:t xml:space="preserve">Men</w:t>
            </w:r>
          </w:p>
        </w:tc>
        <w:tc>
          <w:tcPr>
            <w:tcW w:type="dxa" w:w="1900"/>
            <w:shd w:fill="D9D9D9" w:val="clear"/>
          </w:tcPr>
          <w:p>
            <w:pPr>
              <w:jc w:val="center"/>
            </w:pPr>
            <w:r>
              <w:rPr>
                <w:b/>
                <w:bCs/>
                <w:sz w:val="20"/>
                <w:szCs w:val="20"/>
              </w:rPr>
              <w:t xml:space="preserve">Total</w:t>
            </w:r>
          </w:p>
        </w:tc>
        <w:tc>
          <w:tcPr>
            <w:tcW w:type="dxa" w:w="1100"/>
            <w:shd w:fill="D9D9D9" w:val="clear"/>
          </w:tcPr>
          <w:p>
            <w:pPr>
              <w:jc w:val="center"/>
            </w:pPr>
            <w:r>
              <w:rPr>
                <w:b/>
                <w:bCs/>
                <w:sz w:val="20"/>
                <w:szCs w:val="20"/>
              </w:rPr>
              <w:t xml:space="preserve">p value</w:t>
            </w:r>
          </w:p>
        </w:tc>
      </w:tr>
      <w:tr>
        <w:tc>
          <w:tcPr>
            <w:tcW w:type="dxa" w:w="9400"/>
            <w:gridSpan w:val="5"/>
            <w:shd w:fill="F2F2F2" w:val="clear"/>
          </w:tcPr>
          <w:p>
            <w:r>
              <w:rPr>
                <w:b/>
                <w:bCs/>
                <w:i/>
                <w:iCs/>
                <w:sz w:val="20"/>
                <w:szCs w:val="20"/>
              </w:rPr>
              <w:t xml:space="preserve">A. Frequency of revisional OAGB</w:t>
            </w:r>
          </w:p>
        </w:tc>
      </w:tr>
      <w:tr>
        <w:trPr>
          <w:tblHeader w:val="false"/>
        </w:trPr>
        <w:tc>
          <w:tcPr>
            <w:tcW w:type="dxa" w:w="2600"/>
          </w:tcPr>
          <w:p>
            <w:pPr>
              <w:jc w:val="left"/>
            </w:pPr>
            <w:r>
              <w:rPr>
                <w:b w:val="false"/>
                <w:bCs w:val="false"/>
                <w:sz w:val="20"/>
                <w:szCs w:val="20"/>
              </w:rPr>
              <w:t xml:space="preserve">Total cohort, n</w:t>
            </w:r>
          </w:p>
        </w:tc>
        <w:tc>
          <w:tcPr>
            <w:tcW w:type="dxa" w:w="1900"/>
          </w:tcPr>
          <w:p>
            <w:pPr>
              <w:jc w:val="center"/>
            </w:pPr>
            <w:r>
              <w:rPr>
                <w:b w:val="false"/>
                <w:bCs w:val="false"/>
                <w:sz w:val="20"/>
                <w:szCs w:val="20"/>
              </w:rPr>
              <w:t xml:space="preserve">133</w:t>
            </w:r>
          </w:p>
        </w:tc>
        <w:tc>
          <w:tcPr>
            <w:tcW w:type="dxa" w:w="1900"/>
          </w:tcPr>
          <w:p>
            <w:pPr>
              <w:jc w:val="center"/>
            </w:pPr>
            <w:r>
              <w:rPr>
                <w:b w:val="false"/>
                <w:bCs w:val="false"/>
                <w:sz w:val="20"/>
                <w:szCs w:val="20"/>
              </w:rPr>
              <w:t xml:space="preserve">54</w:t>
            </w:r>
          </w:p>
        </w:tc>
        <w:tc>
          <w:tcPr>
            <w:tcW w:type="dxa" w:w="1900"/>
          </w:tcPr>
          <w:p>
            <w:pPr>
              <w:jc w:val="center"/>
            </w:pPr>
            <w:r>
              <w:rPr>
                <w:b w:val="false"/>
                <w:bCs w:val="false"/>
                <w:sz w:val="20"/>
                <w:szCs w:val="20"/>
              </w:rPr>
              <w:t xml:space="preserve">187</w:t>
            </w:r>
          </w:p>
        </w:tc>
        <w:tc>
          <w:tcPr>
            <w:tcW w:type="dxa" w:w="1100"/>
          </w:tcPr>
          <w:p>
            <w:pPr>
              <w:jc w:val="center"/>
            </w:pPr>
            <w:r>
              <w:rPr>
                <w:b w:val="false"/>
                <w:bCs w:val="false"/>
                <w:sz w:val="20"/>
                <w:szCs w:val="20"/>
              </w:rPr>
              <w:t xml:space="preserve">—</w:t>
            </w:r>
          </w:p>
        </w:tc>
      </w:tr>
      <w:tr>
        <w:trPr>
          <w:tblHeader w:val="false"/>
        </w:trPr>
        <w:tc>
          <w:tcPr>
            <w:tcW w:type="dxa" w:w="2600"/>
          </w:tcPr>
          <w:p>
            <w:pPr>
              <w:jc w:val="left"/>
            </w:pPr>
            <w:r>
              <w:rPr>
                <w:b w:val="false"/>
                <w:bCs w:val="false"/>
                <w:sz w:val="20"/>
                <w:szCs w:val="20"/>
              </w:rPr>
              <w:t xml:space="preserve">Revisional OAGB, n (%)</w:t>
            </w:r>
          </w:p>
        </w:tc>
        <w:tc>
          <w:tcPr>
            <w:tcW w:type="dxa" w:w="1900"/>
          </w:tcPr>
          <w:p>
            <w:pPr>
              <w:jc w:val="center"/>
            </w:pPr>
            <w:r>
              <w:rPr>
                <w:b w:val="false"/>
                <w:bCs w:val="false"/>
                <w:sz w:val="20"/>
                <w:szCs w:val="20"/>
              </w:rPr>
              <w:t xml:space="preserve">34 (25.6)</w:t>
            </w:r>
          </w:p>
        </w:tc>
        <w:tc>
          <w:tcPr>
            <w:tcW w:type="dxa" w:w="1900"/>
          </w:tcPr>
          <w:p>
            <w:pPr>
              <w:jc w:val="center"/>
            </w:pPr>
            <w:r>
              <w:rPr>
                <w:b w:val="false"/>
                <w:bCs w:val="false"/>
                <w:sz w:val="20"/>
                <w:szCs w:val="20"/>
              </w:rPr>
              <w:t xml:space="preserve">11 (20.4)</w:t>
            </w:r>
          </w:p>
        </w:tc>
        <w:tc>
          <w:tcPr>
            <w:tcW w:type="dxa" w:w="1900"/>
          </w:tcPr>
          <w:p>
            <w:pPr>
              <w:jc w:val="center"/>
            </w:pPr>
            <w:r>
              <w:rPr>
                <w:b w:val="false"/>
                <w:bCs w:val="false"/>
                <w:sz w:val="20"/>
                <w:szCs w:val="20"/>
              </w:rPr>
              <w:t xml:space="preserve">45 (24.1)</w:t>
            </w:r>
          </w:p>
        </w:tc>
        <w:tc>
          <w:tcPr>
            <w:tcW w:type="dxa" w:w="1100"/>
          </w:tcPr>
          <w:p>
            <w:pPr>
              <w:jc w:val="center"/>
            </w:pPr>
            <w:r>
              <w:rPr>
                <w:b w:val="false"/>
                <w:bCs w:val="false"/>
                <w:sz w:val="20"/>
                <w:szCs w:val="20"/>
              </w:rPr>
              <w:t xml:space="preserve">0.573</w:t>
            </w:r>
          </w:p>
        </w:tc>
      </w:tr>
      <w:tr>
        <w:trPr>
          <w:tblHeader w:val="false"/>
        </w:trPr>
        <w:tc>
          <w:tcPr>
            <w:tcW w:type="dxa" w:w="2600"/>
          </w:tcPr>
          <w:p>
            <w:pPr>
              <w:jc w:val="left"/>
            </w:pPr>
            <w:r>
              <w:rPr>
                <w:b w:val="false"/>
                <w:bCs w:val="false"/>
                <w:sz w:val="20"/>
                <w:szCs w:val="20"/>
              </w:rPr>
              <w:t xml:space="preserve">Primary OAGB, n (%)</w:t>
            </w:r>
          </w:p>
        </w:tc>
        <w:tc>
          <w:tcPr>
            <w:tcW w:type="dxa" w:w="1900"/>
          </w:tcPr>
          <w:p>
            <w:pPr>
              <w:jc w:val="center"/>
            </w:pPr>
            <w:r>
              <w:rPr>
                <w:b w:val="false"/>
                <w:bCs w:val="false"/>
                <w:sz w:val="20"/>
                <w:szCs w:val="20"/>
              </w:rPr>
              <w:t xml:space="preserve">99 (74.4)</w:t>
            </w:r>
          </w:p>
        </w:tc>
        <w:tc>
          <w:tcPr>
            <w:tcW w:type="dxa" w:w="1900"/>
          </w:tcPr>
          <w:p>
            <w:pPr>
              <w:jc w:val="center"/>
            </w:pPr>
            <w:r>
              <w:rPr>
                <w:b w:val="false"/>
                <w:bCs w:val="false"/>
                <w:sz w:val="20"/>
                <w:szCs w:val="20"/>
              </w:rPr>
              <w:t xml:space="preserve">43 (79.6)</w:t>
            </w:r>
          </w:p>
        </w:tc>
        <w:tc>
          <w:tcPr>
            <w:tcW w:type="dxa" w:w="1900"/>
          </w:tcPr>
          <w:p>
            <w:pPr>
              <w:jc w:val="center"/>
            </w:pPr>
            <w:r>
              <w:rPr>
                <w:b w:val="false"/>
                <w:bCs w:val="false"/>
                <w:sz w:val="20"/>
                <w:szCs w:val="20"/>
              </w:rPr>
              <w:t xml:space="preserve">142 (75.9)</w:t>
            </w:r>
          </w:p>
        </w:tc>
        <w:tc>
          <w:tcPr>
            <w:tcW w:type="dxa" w:w="1100"/>
          </w:tcPr>
          <w:p>
            <w:pPr>
              <w:jc w:val="center"/>
            </w:pPr>
            <w:r>
              <w:rPr>
                <w:b w:val="false"/>
                <w:bCs w:val="false"/>
                <w:sz w:val="20"/>
                <w:szCs w:val="20"/>
              </w:rPr>
              <w:t xml:space="preserve"/>
            </w:r>
          </w:p>
        </w:tc>
      </w:tr>
      <w:tr>
        <w:tc>
          <w:tcPr>
            <w:tcW w:type="dxa" w:w="9400"/>
            <w:gridSpan w:val="5"/>
            <w:shd w:fill="F2F2F2" w:val="clear"/>
          </w:tcPr>
          <w:p>
            <w:r>
              <w:rPr>
                <w:b/>
                <w:bCs/>
                <w:i/>
                <w:iCs/>
                <w:sz w:val="20"/>
                <w:szCs w:val="20"/>
              </w:rPr>
              <w:t xml:space="preserve">B. Interval from index bariatric procedure to OAGB (years), revisional cases only</w:t>
            </w:r>
          </w:p>
        </w:tc>
      </w:tr>
      <w:tr>
        <w:trPr>
          <w:tblHeader w:val="false"/>
        </w:trPr>
        <w:tc>
          <w:tcPr>
            <w:tcW w:type="dxa" w:w="2600"/>
          </w:tcPr>
          <w:p>
            <w:pPr>
              <w:jc w:val="left"/>
            </w:pPr>
            <w:r>
              <w:rPr>
                <w:b w:val="false"/>
                <w:bCs w:val="false"/>
                <w:sz w:val="20"/>
                <w:szCs w:val="20"/>
              </w:rPr>
              <w:t xml:space="preserve">n</w:t>
            </w:r>
          </w:p>
        </w:tc>
        <w:tc>
          <w:tcPr>
            <w:tcW w:type="dxa" w:w="1900"/>
          </w:tcPr>
          <w:p>
            <w:pPr>
              <w:jc w:val="center"/>
            </w:pPr>
            <w:r>
              <w:rPr>
                <w:b w:val="false"/>
                <w:bCs w:val="false"/>
                <w:sz w:val="20"/>
                <w:szCs w:val="20"/>
              </w:rPr>
              <w:t xml:space="preserve">34</w:t>
            </w:r>
          </w:p>
        </w:tc>
        <w:tc>
          <w:tcPr>
            <w:tcW w:type="dxa" w:w="1900"/>
          </w:tcPr>
          <w:p>
            <w:pPr>
              <w:jc w:val="center"/>
            </w:pPr>
            <w:r>
              <w:rPr>
                <w:b w:val="false"/>
                <w:bCs w:val="false"/>
                <w:sz w:val="20"/>
                <w:szCs w:val="20"/>
              </w:rPr>
              <w:t xml:space="preserve">11</w:t>
            </w:r>
          </w:p>
        </w:tc>
        <w:tc>
          <w:tcPr>
            <w:tcW w:type="dxa" w:w="1900"/>
          </w:tcPr>
          <w:p>
            <w:pPr>
              <w:jc w:val="center"/>
            </w:pPr>
            <w:r>
              <w:rPr>
                <w:b w:val="false"/>
                <w:bCs w:val="false"/>
                <w:sz w:val="20"/>
                <w:szCs w:val="20"/>
              </w:rPr>
              <w:t xml:space="preserve">45</w:t>
            </w:r>
          </w:p>
        </w:tc>
        <w:tc>
          <w:tcPr>
            <w:tcW w:type="dxa" w:w="1100"/>
          </w:tcPr>
          <w:p>
            <w:pPr>
              <w:jc w:val="center"/>
            </w:pPr>
            <w:r>
              <w:rPr>
                <w:b w:val="false"/>
                <w:bCs w:val="false"/>
                <w:sz w:val="20"/>
                <w:szCs w:val="20"/>
              </w:rPr>
              <w:t xml:space="preserve">—</w:t>
            </w:r>
          </w:p>
        </w:tc>
      </w:tr>
      <w:tr>
        <w:trPr>
          <w:tblHeader w:val="false"/>
        </w:trPr>
        <w:tc>
          <w:tcPr>
            <w:tcW w:type="dxa" w:w="2600"/>
          </w:tcPr>
          <w:p>
            <w:pPr>
              <w:jc w:val="left"/>
            </w:pPr>
            <w:r>
              <w:rPr>
                <w:b w:val="false"/>
                <w:bCs w:val="false"/>
                <w:sz w:val="20"/>
                <w:szCs w:val="20"/>
              </w:rPr>
              <w:t xml:space="preserve">Median [IQR]</w:t>
            </w:r>
          </w:p>
        </w:tc>
        <w:tc>
          <w:tcPr>
            <w:tcW w:type="dxa" w:w="1900"/>
          </w:tcPr>
          <w:p>
            <w:pPr>
              <w:jc w:val="center"/>
            </w:pPr>
            <w:r>
              <w:rPr>
                <w:b w:val="false"/>
                <w:bCs w:val="false"/>
                <w:sz w:val="20"/>
                <w:szCs w:val="20"/>
              </w:rPr>
              <w:t xml:space="preserve">9.0 [7.0–12.8]</w:t>
            </w:r>
          </w:p>
        </w:tc>
        <w:tc>
          <w:tcPr>
            <w:tcW w:type="dxa" w:w="1900"/>
          </w:tcPr>
          <w:p>
            <w:pPr>
              <w:jc w:val="center"/>
            </w:pPr>
            <w:r>
              <w:rPr>
                <w:b w:val="false"/>
                <w:bCs w:val="false"/>
                <w:sz w:val="20"/>
                <w:szCs w:val="20"/>
              </w:rPr>
              <w:t xml:space="preserve">13.0 [8.5–17.5]</w:t>
            </w:r>
          </w:p>
        </w:tc>
        <w:tc>
          <w:tcPr>
            <w:tcW w:type="dxa" w:w="1900"/>
          </w:tcPr>
          <w:p>
            <w:pPr>
              <w:jc w:val="center"/>
            </w:pPr>
            <w:r>
              <w:rPr>
                <w:b w:val="false"/>
                <w:bCs w:val="false"/>
                <w:sz w:val="20"/>
                <w:szCs w:val="20"/>
              </w:rPr>
              <w:t xml:space="preserve">10.0 [7.0–14.0]</w:t>
            </w:r>
          </w:p>
        </w:tc>
        <w:tc>
          <w:tcPr>
            <w:tcW w:type="dxa" w:w="1100"/>
          </w:tcPr>
          <w:p>
            <w:pPr>
              <w:jc w:val="center"/>
            </w:pPr>
            <w:r>
              <w:rPr>
                <w:b w:val="false"/>
                <w:bCs w:val="false"/>
                <w:sz w:val="20"/>
                <w:szCs w:val="20"/>
              </w:rPr>
              <w:t xml:space="preserve">0.149</w:t>
            </w:r>
          </w:p>
        </w:tc>
      </w:tr>
      <w:tr>
        <w:trPr>
          <w:tblHeader w:val="false"/>
        </w:trPr>
        <w:tc>
          <w:tcPr>
            <w:tcW w:type="dxa" w:w="2600"/>
          </w:tcPr>
          <w:p>
            <w:pPr>
              <w:jc w:val="left"/>
            </w:pPr>
            <w:r>
              <w:rPr>
                <w:b w:val="false"/>
                <w:bCs w:val="false"/>
                <w:sz w:val="20"/>
                <w:szCs w:val="20"/>
              </w:rPr>
              <w:t xml:space="preserve">Mean ± SD</w:t>
            </w:r>
          </w:p>
        </w:tc>
        <w:tc>
          <w:tcPr>
            <w:tcW w:type="dxa" w:w="1900"/>
          </w:tcPr>
          <w:p>
            <w:pPr>
              <w:jc w:val="center"/>
            </w:pPr>
            <w:r>
              <w:rPr>
                <w:b w:val="false"/>
                <w:bCs w:val="false"/>
                <w:sz w:val="20"/>
                <w:szCs w:val="20"/>
              </w:rPr>
              <w:t xml:space="preserve">10.4 ± 5.8</w:t>
            </w:r>
          </w:p>
        </w:tc>
        <w:tc>
          <w:tcPr>
            <w:tcW w:type="dxa" w:w="1900"/>
          </w:tcPr>
          <w:p>
            <w:pPr>
              <w:jc w:val="center"/>
            </w:pPr>
            <w:r>
              <w:rPr>
                <w:b w:val="false"/>
                <w:bCs w:val="false"/>
                <w:sz w:val="20"/>
                <w:szCs w:val="20"/>
              </w:rPr>
              <w:t xml:space="preserve">13.1 ± 5.9</w:t>
            </w:r>
          </w:p>
        </w:tc>
        <w:tc>
          <w:tcPr>
            <w:tcW w:type="dxa" w:w="1900"/>
          </w:tcPr>
          <w:p>
            <w:pPr>
              <w:jc w:val="center"/>
            </w:pPr>
            <w:r>
              <w:rPr>
                <w:b w:val="false"/>
                <w:bCs w:val="false"/>
                <w:sz w:val="20"/>
                <w:szCs w:val="20"/>
              </w:rPr>
              <w:t xml:space="preserve">11.0 ± 5.9</w:t>
            </w:r>
          </w:p>
        </w:tc>
        <w:tc>
          <w:tcPr>
            <w:tcW w:type="dxa" w:w="1100"/>
          </w:tcPr>
          <w:p>
            <w:pPr>
              <w:jc w:val="center"/>
            </w:pPr>
            <w:r>
              <w:rPr>
                <w:b w:val="false"/>
                <w:bCs w:val="false"/>
                <w:sz w:val="20"/>
                <w:szCs w:val="20"/>
              </w:rPr>
              <w:t xml:space="preserve"/>
            </w:r>
          </w:p>
        </w:tc>
      </w:tr>
      <w:tr>
        <w:trPr>
          <w:tblHeader w:val="false"/>
        </w:trPr>
        <w:tc>
          <w:tcPr>
            <w:tcW w:type="dxa" w:w="2600"/>
          </w:tcPr>
          <w:p>
            <w:pPr>
              <w:jc w:val="left"/>
            </w:pPr>
            <w:r>
              <w:rPr>
                <w:b w:val="false"/>
                <w:bCs w:val="false"/>
                <w:sz w:val="20"/>
                <w:szCs w:val="20"/>
              </w:rPr>
              <w:t xml:space="preserve">Range</w:t>
            </w:r>
          </w:p>
        </w:tc>
        <w:tc>
          <w:tcPr>
            <w:tcW w:type="dxa" w:w="1900"/>
          </w:tcPr>
          <w:p>
            <w:pPr>
              <w:jc w:val="center"/>
            </w:pPr>
            <w:r>
              <w:rPr>
                <w:b w:val="false"/>
                <w:bCs w:val="false"/>
                <w:sz w:val="20"/>
                <w:szCs w:val="20"/>
              </w:rPr>
              <w:t xml:space="preserve">1–27</w:t>
            </w:r>
          </w:p>
        </w:tc>
        <w:tc>
          <w:tcPr>
            <w:tcW w:type="dxa" w:w="1900"/>
          </w:tcPr>
          <w:p>
            <w:pPr>
              <w:jc w:val="center"/>
            </w:pPr>
            <w:r>
              <w:rPr>
                <w:b w:val="false"/>
                <w:bCs w:val="false"/>
                <w:sz w:val="20"/>
                <w:szCs w:val="20"/>
              </w:rPr>
              <w:t xml:space="preserve">4–22</w:t>
            </w:r>
          </w:p>
        </w:tc>
        <w:tc>
          <w:tcPr>
            <w:tcW w:type="dxa" w:w="1900"/>
          </w:tcPr>
          <w:p>
            <w:pPr>
              <w:jc w:val="center"/>
            </w:pPr>
            <w:r>
              <w:rPr>
                <w:b w:val="false"/>
                <w:bCs w:val="false"/>
                <w:sz w:val="20"/>
                <w:szCs w:val="20"/>
              </w:rPr>
              <w:t xml:space="preserve">1–27</w:t>
            </w:r>
          </w:p>
        </w:tc>
        <w:tc>
          <w:tcPr>
            <w:tcW w:type="dxa" w:w="1100"/>
          </w:tcPr>
          <w:p>
            <w:pPr>
              <w:jc w:val="center"/>
            </w:pPr>
            <w:r>
              <w:rPr>
                <w:b w:val="false"/>
                <w:bCs w:val="false"/>
                <w:sz w:val="20"/>
                <w:szCs w:val="20"/>
              </w:rPr>
              <w:t xml:space="preserve"/>
            </w:r>
          </w:p>
        </w:tc>
      </w:tr>
      <w:tr>
        <w:tc>
          <w:tcPr>
            <w:tcW w:type="dxa" w:w="9400"/>
            <w:gridSpan w:val="5"/>
            <w:shd w:fill="F2F2F2" w:val="clear"/>
          </w:tcPr>
          <w:p>
            <w:r>
              <w:rPr>
                <w:b/>
                <w:bCs/>
                <w:i/>
                <w:iCs/>
                <w:sz w:val="20"/>
                <w:szCs w:val="20"/>
              </w:rPr>
              <w:t xml:space="preserve">C. Index (prior) bariatric procedure, n</w:t>
            </w:r>
          </w:p>
        </w:tc>
      </w:tr>
      <w:tr>
        <w:trPr>
          <w:tblHeader w:val="false"/>
        </w:trPr>
        <w:tc>
          <w:tcPr>
            <w:tcW w:type="dxa" w:w="2600"/>
          </w:tcPr>
          <w:p>
            <w:pPr>
              <w:jc w:val="left"/>
            </w:pPr>
            <w:r>
              <w:rPr>
                <w:b w:val="false"/>
                <w:bCs w:val="false"/>
                <w:sz w:val="20"/>
                <w:szCs w:val="20"/>
              </w:rPr>
              <w:t xml:space="preserve">Sleeve gastrectomy</w:t>
            </w:r>
          </w:p>
        </w:tc>
        <w:tc>
          <w:tcPr>
            <w:tcW w:type="dxa" w:w="1900"/>
          </w:tcPr>
          <w:p>
            <w:pPr>
              <w:jc w:val="center"/>
            </w:pPr>
            <w:r>
              <w:rPr>
                <w:b w:val="false"/>
                <w:bCs w:val="false"/>
                <w:sz w:val="20"/>
                <w:szCs w:val="20"/>
              </w:rPr>
              <w:t xml:space="preserve">19</w:t>
            </w:r>
          </w:p>
        </w:tc>
        <w:tc>
          <w:tcPr>
            <w:tcW w:type="dxa" w:w="1900"/>
          </w:tcPr>
          <w:p>
            <w:pPr>
              <w:jc w:val="center"/>
            </w:pPr>
            <w:r>
              <w:rPr>
                <w:b w:val="false"/>
                <w:bCs w:val="false"/>
                <w:sz w:val="20"/>
                <w:szCs w:val="20"/>
              </w:rPr>
              <w:t xml:space="preserve">3</w:t>
            </w:r>
          </w:p>
        </w:tc>
        <w:tc>
          <w:tcPr>
            <w:tcW w:type="dxa" w:w="1900"/>
          </w:tcPr>
          <w:p>
            <w:pPr>
              <w:jc w:val="center"/>
            </w:pPr>
            <w:r>
              <w:rPr>
                <w:b w:val="false"/>
                <w:bCs w:val="false"/>
                <w:sz w:val="20"/>
                <w:szCs w:val="20"/>
              </w:rPr>
              <w:t xml:space="preserve">22</w:t>
            </w:r>
          </w:p>
        </w:tc>
        <w:tc>
          <w:tcPr>
            <w:tcW w:type="dxa" w:w="1100"/>
          </w:tcPr>
          <w:p>
            <w:pPr>
              <w:jc w:val="center"/>
            </w:pPr>
            <w:r>
              <w:rPr>
                <w:b w:val="false"/>
                <w:bCs w:val="false"/>
                <w:sz w:val="20"/>
                <w:szCs w:val="20"/>
              </w:rPr>
              <w:t xml:space="preserve">0.226</w:t>
            </w:r>
          </w:p>
        </w:tc>
      </w:tr>
      <w:tr>
        <w:trPr>
          <w:tblHeader w:val="false"/>
        </w:trPr>
        <w:tc>
          <w:tcPr>
            <w:tcW w:type="dxa" w:w="2600"/>
          </w:tcPr>
          <w:p>
            <w:pPr>
              <w:jc w:val="left"/>
            </w:pPr>
            <w:r>
              <w:rPr>
                <w:b w:val="false"/>
                <w:bCs w:val="false"/>
                <w:sz w:val="20"/>
                <w:szCs w:val="20"/>
              </w:rPr>
              <w:t xml:space="preserve">Adjustable gastric banding</w:t>
            </w:r>
          </w:p>
        </w:tc>
        <w:tc>
          <w:tcPr>
            <w:tcW w:type="dxa" w:w="1900"/>
          </w:tcPr>
          <w:p>
            <w:pPr>
              <w:jc w:val="center"/>
            </w:pPr>
            <w:r>
              <w:rPr>
                <w:b w:val="false"/>
                <w:bCs w:val="false"/>
                <w:sz w:val="20"/>
                <w:szCs w:val="20"/>
              </w:rPr>
              <w:t xml:space="preserve">12</w:t>
            </w:r>
          </w:p>
        </w:tc>
        <w:tc>
          <w:tcPr>
            <w:tcW w:type="dxa" w:w="1900"/>
          </w:tcPr>
          <w:p>
            <w:pPr>
              <w:jc w:val="center"/>
            </w:pPr>
            <w:r>
              <w:rPr>
                <w:b w:val="false"/>
                <w:bCs w:val="false"/>
                <w:sz w:val="20"/>
                <w:szCs w:val="20"/>
              </w:rPr>
              <w:t xml:space="preserve">7</w:t>
            </w:r>
          </w:p>
        </w:tc>
        <w:tc>
          <w:tcPr>
            <w:tcW w:type="dxa" w:w="1900"/>
          </w:tcPr>
          <w:p>
            <w:pPr>
              <w:jc w:val="center"/>
            </w:pPr>
            <w:r>
              <w:rPr>
                <w:b w:val="false"/>
                <w:bCs w:val="false"/>
                <w:sz w:val="20"/>
                <w:szCs w:val="20"/>
              </w:rPr>
              <w:t xml:space="preserve">19</w:t>
            </w:r>
          </w:p>
        </w:tc>
        <w:tc>
          <w:tcPr>
            <w:tcW w:type="dxa" w:w="1100"/>
          </w:tcPr>
          <w:p>
            <w:pPr>
              <w:jc w:val="center"/>
            </w:pPr>
            <w:r>
              <w:rPr>
                <w:b w:val="false"/>
                <w:bCs w:val="false"/>
                <w:sz w:val="20"/>
                <w:szCs w:val="20"/>
              </w:rPr>
              <w:t xml:space="preserve"/>
            </w:r>
          </w:p>
        </w:tc>
      </w:tr>
      <w:tr>
        <w:trPr>
          <w:tblHeader w:val="false"/>
        </w:trPr>
        <w:tc>
          <w:tcPr>
            <w:tcW w:type="dxa" w:w="2600"/>
          </w:tcPr>
          <w:p>
            <w:pPr>
              <w:jc w:val="left"/>
            </w:pPr>
            <w:r>
              <w:rPr>
                <w:b w:val="false"/>
                <w:bCs w:val="false"/>
                <w:sz w:val="20"/>
                <w:szCs w:val="20"/>
              </w:rPr>
              <w:t xml:space="preserve">Silastic ring vertical gastroplasty</w:t>
            </w:r>
          </w:p>
        </w:tc>
        <w:tc>
          <w:tcPr>
            <w:tcW w:type="dxa" w:w="1900"/>
          </w:tcPr>
          <w:p>
            <w:pPr>
              <w:jc w:val="center"/>
            </w:pPr>
            <w:r>
              <w:rPr>
                <w:b w:val="false"/>
                <w:bCs w:val="false"/>
                <w:sz w:val="20"/>
                <w:szCs w:val="20"/>
              </w:rPr>
              <w:t xml:space="preserve">3</w:t>
            </w:r>
          </w:p>
        </w:tc>
        <w:tc>
          <w:tcPr>
            <w:tcW w:type="dxa" w:w="1900"/>
          </w:tcPr>
          <w:p>
            <w:pPr>
              <w:jc w:val="center"/>
            </w:pPr>
            <w:r>
              <w:rPr>
                <w:b w:val="false"/>
                <w:bCs w:val="false"/>
                <w:sz w:val="20"/>
                <w:szCs w:val="20"/>
              </w:rPr>
              <w:t xml:space="preserve">1</w:t>
            </w:r>
          </w:p>
        </w:tc>
        <w:tc>
          <w:tcPr>
            <w:tcW w:type="dxa" w:w="1900"/>
          </w:tcPr>
          <w:p>
            <w:pPr>
              <w:jc w:val="center"/>
            </w:pPr>
            <w:r>
              <w:rPr>
                <w:b w:val="false"/>
                <w:bCs w:val="false"/>
                <w:sz w:val="20"/>
                <w:szCs w:val="20"/>
              </w:rPr>
              <w:t xml:space="preserve">4</w:t>
            </w:r>
          </w:p>
        </w:tc>
        <w:tc>
          <w:tcPr>
            <w:tcW w:type="dxa" w:w="1100"/>
          </w:tcPr>
          <w:p>
            <w:pPr>
              <w:jc w:val="center"/>
            </w:pPr>
            <w:r>
              <w:rPr>
                <w:b w:val="false"/>
                <w:bCs w:val="false"/>
                <w:sz w:val="20"/>
                <w:szCs w:val="20"/>
              </w:rPr>
              <w:t xml:space="preserve"/>
            </w:r>
          </w:p>
        </w:tc>
      </w:tr>
      <w:tr>
        <w:tc>
          <w:tcPr>
            <w:tcW w:type="dxa" w:w="9400"/>
            <w:gridSpan w:val="5"/>
            <w:shd w:fill="F2F2F2" w:val="clear"/>
          </w:tcPr>
          <w:p>
            <w:r>
              <w:rPr>
                <w:b/>
                <w:bCs/>
                <w:i/>
                <w:iCs/>
                <w:sz w:val="20"/>
                <w:szCs w:val="20"/>
              </w:rPr>
              <w:t xml:space="preserve">D. Interval to OAGB by index procedure (years), sexes combined</w:t>
            </w:r>
          </w:p>
        </w:tc>
      </w:tr>
      <w:tr>
        <w:trPr>
          <w:tblHeader w:val="false"/>
        </w:trPr>
        <w:tc>
          <w:tcPr>
            <w:tcW w:type="dxa" w:w="2600"/>
          </w:tcPr>
          <w:p>
            <w:pPr>
              <w:jc w:val="left"/>
            </w:pPr>
            <w:r>
              <w:rPr>
                <w:b w:val="false"/>
                <w:bCs w:val="false"/>
                <w:sz w:val="20"/>
                <w:szCs w:val="20"/>
              </w:rPr>
              <w:t xml:space="preserve">Sleeve gastrectomy (n=22)</w:t>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7.0 [6.0–8.8]</w:t>
            </w:r>
          </w:p>
        </w:tc>
        <w:tc>
          <w:tcPr>
            <w:tcW w:type="dxa" w:w="1100"/>
          </w:tcPr>
          <w:p>
            <w:pPr>
              <w:jc w:val="center"/>
            </w:pPr>
            <w:r>
              <w:rPr>
                <w:b w:val="false"/>
                <w:bCs w:val="false"/>
                <w:sz w:val="20"/>
                <w:szCs w:val="20"/>
              </w:rPr>
              <w:t xml:space="preserve">&lt;0.001</w:t>
            </w:r>
          </w:p>
        </w:tc>
      </w:tr>
      <w:tr>
        <w:trPr>
          <w:tblHeader w:val="false"/>
        </w:trPr>
        <w:tc>
          <w:tcPr>
            <w:tcW w:type="dxa" w:w="2600"/>
          </w:tcPr>
          <w:p>
            <w:pPr>
              <w:jc w:val="left"/>
            </w:pPr>
            <w:r>
              <w:rPr>
                <w:b w:val="false"/>
                <w:bCs w:val="false"/>
                <w:sz w:val="20"/>
                <w:szCs w:val="20"/>
              </w:rPr>
              <w:t xml:space="preserve">Adjustable gastric banding (n=19)</w:t>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13.0 [10.0–15.0]</w:t>
            </w:r>
          </w:p>
        </w:tc>
        <w:tc>
          <w:tcPr>
            <w:tcW w:type="dxa" w:w="1100"/>
          </w:tcPr>
          <w:p>
            <w:pPr>
              <w:jc w:val="center"/>
            </w:pPr>
            <w:r>
              <w:rPr>
                <w:b w:val="false"/>
                <w:bCs w:val="false"/>
                <w:sz w:val="20"/>
                <w:szCs w:val="20"/>
              </w:rPr>
              <w:t xml:space="preserve"/>
            </w:r>
          </w:p>
        </w:tc>
      </w:tr>
      <w:tr>
        <w:trPr>
          <w:tblHeader w:val="false"/>
        </w:trPr>
        <w:tc>
          <w:tcPr>
            <w:tcW w:type="dxa" w:w="2600"/>
          </w:tcPr>
          <w:p>
            <w:pPr>
              <w:jc w:val="left"/>
            </w:pPr>
            <w:r>
              <w:rPr>
                <w:b w:val="false"/>
                <w:bCs w:val="false"/>
                <w:sz w:val="20"/>
                <w:szCs w:val="20"/>
              </w:rPr>
              <w:t xml:space="preserve">Silastic ring vertical gastroplasty (n=4)</w:t>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
            </w:r>
          </w:p>
        </w:tc>
        <w:tc>
          <w:tcPr>
            <w:tcW w:type="dxa" w:w="1900"/>
          </w:tcPr>
          <w:p>
            <w:pPr>
              <w:jc w:val="center"/>
            </w:pPr>
            <w:r>
              <w:rPr>
                <w:b w:val="false"/>
                <w:bCs w:val="false"/>
                <w:sz w:val="20"/>
                <w:szCs w:val="20"/>
              </w:rPr>
              <w:t xml:space="preserve">22.5 [22.0–24.0]</w:t>
            </w:r>
          </w:p>
        </w:tc>
        <w:tc>
          <w:tcPr>
            <w:tcW w:type="dxa" w:w="1100"/>
          </w:tcPr>
          <w:p>
            <w:pPr>
              <w:jc w:val="center"/>
            </w:pPr>
            <w:r>
              <w:rPr>
                <w:b w:val="false"/>
                <w:bCs w:val="false"/>
                <w:sz w:val="20"/>
                <w:szCs w:val="20"/>
              </w:rPr>
              <w:t xml:space="preserve"/>
            </w:r>
          </w:p>
        </w:tc>
      </w:tr>
    </w:tbl>
    <w:p>
      <w:pPr>
        <w:spacing w:before="200"/>
      </w:pPr>
      <w:r>
        <w:rPr>
          <w:sz w:val="18"/>
          <w:szCs w:val="18"/>
        </w:rPr>
        <w:t xml:space="preserve"/>
      </w:r>
    </w:p>
    <w:p>
      <w:r>
        <w:rPr>
          <w:sz w:val="18"/>
          <w:szCs w:val="18"/>
        </w:rPr>
        <w:t xml:space="preserve">OAGB, one-anastomosis gastric bypass; IQR, interquartile range. Revisional OAGB denotes OAGB performed as a conversion from a previous bariatric operation; a prior bariatric procedure was not an exclusion criterion. Panels A and C compared by chi-square test; panel B by Mann–Whitney U test; panel D by Kruskal–Wallis test. In panel C, 2 of 6 expected cell counts were &lt;5, and the p value should be interpreted with caution. The gradient in panel D reflects the calendar era in which each procedure was performed rather than differential durability, since adjustable gastric banding and silastic ring vertical gastroplasty were largely superseded by sleeve gastrectomy during the study period.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2026-07-19T14:11:38.385Z</dcterms:created>
  <dcterms:modified xsi:type="dcterms:W3CDTF">2026-07-19T14:11:38.402Z</dcterms:modified>
</cp:coreProperties>
</file>

<file path=docProps/custom.xml><?xml version="1.0" encoding="utf-8"?>
<Properties xmlns="http://schemas.openxmlformats.org/officeDocument/2006/custom-properties" xmlns:vt="http://schemas.openxmlformats.org/officeDocument/2006/docPropsVTypes"/>
</file>