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6C5BC" w14:textId="2F17F5CF" w:rsidR="00C55D34" w:rsidRDefault="00C55D34">
      <w:pPr>
        <w:rPr>
          <w:b/>
          <w:bCs/>
          <w:sz w:val="24"/>
          <w:szCs w:val="32"/>
        </w:rPr>
      </w:pPr>
      <w:r w:rsidRPr="00C55D34">
        <w:rPr>
          <w:b/>
          <w:bCs/>
          <w:sz w:val="24"/>
          <w:szCs w:val="32"/>
        </w:rPr>
        <w:t>Supplementary Table S1</w:t>
      </w:r>
      <w:r>
        <w:rPr>
          <w:rFonts w:hint="eastAsia"/>
          <w:b/>
          <w:bCs/>
          <w:sz w:val="24"/>
          <w:szCs w:val="32"/>
        </w:rPr>
        <w:t xml:space="preserve"> </w:t>
      </w:r>
      <w:r w:rsidR="00010D5A" w:rsidRPr="00010D5A">
        <w:rPr>
          <w:b/>
          <w:bCs/>
          <w:sz w:val="24"/>
          <w:szCs w:val="32"/>
        </w:rPr>
        <w:t>PRISMA flow diagram of literature screening</w:t>
      </w:r>
      <w:r w:rsidRPr="00C55D34">
        <w:rPr>
          <w:b/>
          <w:bCs/>
          <w:sz w:val="24"/>
          <w:szCs w:val="32"/>
        </w:rPr>
        <w:t xml:space="preserve"> </w:t>
      </w:r>
    </w:p>
    <w:p w14:paraId="076905C5" w14:textId="75184076" w:rsidR="00C55D34" w:rsidRDefault="00C55D34" w:rsidP="006D1CD1">
      <w:pPr>
        <w:jc w:val="center"/>
        <w:rPr>
          <w:b/>
          <w:bCs/>
          <w:sz w:val="24"/>
          <w:szCs w:val="32"/>
        </w:rPr>
      </w:pPr>
      <w:r>
        <w:rPr>
          <w:b/>
          <w:bCs/>
          <w:noProof/>
          <w:sz w:val="24"/>
          <w:szCs w:val="32"/>
        </w:rPr>
        <w:drawing>
          <wp:inline distT="0" distB="0" distL="0" distR="0" wp14:anchorId="6A17115D" wp14:editId="0BB900FE">
            <wp:extent cx="4655820" cy="39665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a:extLst>
                        <a:ext uri="{96DAC541-7B7A-43D3-8B79-37D633B846F1}">
                          <asvg:svgBlip xmlns:asvg="http://schemas.microsoft.com/office/drawing/2016/SVG/main" r:embed="rId7"/>
                        </a:ext>
                      </a:extLst>
                    </a:blip>
                    <a:stretch>
                      <a:fillRect/>
                    </a:stretch>
                  </pic:blipFill>
                  <pic:spPr bwMode="auto">
                    <a:xfrm>
                      <a:off x="0" y="0"/>
                      <a:ext cx="4658250" cy="3968660"/>
                    </a:xfrm>
                    <a:prstGeom prst="rect">
                      <a:avLst/>
                    </a:prstGeom>
                  </pic:spPr>
                </pic:pic>
              </a:graphicData>
            </a:graphic>
          </wp:inline>
        </w:drawing>
      </w:r>
    </w:p>
    <w:p w14:paraId="2E42153F" w14:textId="77777777" w:rsidR="006D1CD1" w:rsidRDefault="006D1CD1">
      <w:pPr>
        <w:rPr>
          <w:b/>
          <w:bCs/>
          <w:sz w:val="24"/>
          <w:szCs w:val="32"/>
        </w:rPr>
      </w:pPr>
    </w:p>
    <w:p w14:paraId="3CF8CBBB" w14:textId="3835E3DC" w:rsidR="00C55D34" w:rsidRDefault="00C55D34">
      <w:pPr>
        <w:rPr>
          <w:rFonts w:hint="eastAsia"/>
          <w:b/>
          <w:bCs/>
          <w:sz w:val="24"/>
          <w:szCs w:val="32"/>
        </w:rPr>
      </w:pPr>
      <w:r w:rsidRPr="00C55D34">
        <w:rPr>
          <w:b/>
          <w:bCs/>
          <w:sz w:val="24"/>
          <w:szCs w:val="32"/>
        </w:rPr>
        <w:t>Supplementary Table S</w:t>
      </w:r>
      <w:r>
        <w:rPr>
          <w:rFonts w:hint="eastAsia"/>
          <w:b/>
          <w:bCs/>
          <w:sz w:val="24"/>
          <w:szCs w:val="32"/>
        </w:rPr>
        <w:t xml:space="preserve">2 </w:t>
      </w:r>
      <w:r w:rsidR="00010D5A" w:rsidRPr="00010D5A">
        <w:rPr>
          <w:b/>
          <w:bCs/>
          <w:sz w:val="24"/>
          <w:szCs w:val="32"/>
        </w:rPr>
        <w:t>General characteristics of the included literature</w:t>
      </w:r>
    </w:p>
    <w:p w14:paraId="0D39D942" w14:textId="243BF18A" w:rsidR="00C55D34" w:rsidRPr="00C55D34" w:rsidRDefault="00C55D34">
      <w:pPr>
        <w:rPr>
          <w:sz w:val="24"/>
          <w:szCs w:val="32"/>
        </w:rPr>
      </w:pPr>
      <w:r w:rsidRPr="00C55D34">
        <w:rPr>
          <w:sz w:val="24"/>
          <w:szCs w:val="32"/>
        </w:rPr>
        <w:t>This table summarises the characteristics of the 18 publications included in the evidence synthesis. Citation numbers correspond to the reference list in the main manuscript.</w:t>
      </w:r>
    </w:p>
    <w:p w14:paraId="154D42D4" w14:textId="724F5B12" w:rsidR="00C55D34" w:rsidRPr="00C55D34" w:rsidRDefault="00C55D34" w:rsidP="00C55D34">
      <w:pPr>
        <w:jc w:val="center"/>
        <w:rPr>
          <w:rFonts w:eastAsia="宋体" w:cs="Times New Roman" w:hint="eastAsia"/>
          <w:szCs w:val="22"/>
        </w:rPr>
      </w:pPr>
      <w:r w:rsidRPr="00C01F9F">
        <w:rPr>
          <w:rFonts w:cs="Times New Roman" w:hint="eastAsia"/>
        </w:rPr>
        <w:t xml:space="preserve">Table </w:t>
      </w:r>
      <w:r>
        <w:rPr>
          <w:rFonts w:cs="Times New Roman" w:hint="eastAsia"/>
        </w:rPr>
        <w:t>S2</w:t>
      </w:r>
      <w:r w:rsidRPr="00C01F9F">
        <w:rPr>
          <w:rFonts w:cs="Times New Roman" w:hint="eastAsia"/>
        </w:rPr>
        <w:t xml:space="preserve"> </w:t>
      </w:r>
      <w:bookmarkStart w:id="0" w:name="_Hlk235624225"/>
      <w:r w:rsidRPr="00C01F9F">
        <w:rPr>
          <w:rFonts w:cs="Times New Roman" w:hint="eastAsia"/>
        </w:rPr>
        <w:t>General characteristics of the included literature</w:t>
      </w:r>
      <w:bookmarkEnd w:id="0"/>
      <w:r w:rsidRPr="00C01F9F">
        <w:rPr>
          <w:rFonts w:cs="Times New Roman" w:hint="eastAsia"/>
        </w:rPr>
        <w:t xml:space="preserve"> (n = 18)</w:t>
      </w:r>
    </w:p>
    <w:tbl>
      <w:tblPr>
        <w:tblW w:w="6138" w:type="pct"/>
        <w:jc w:val="center"/>
        <w:tblLayout w:type="fixed"/>
        <w:tblLook w:val="04A0" w:firstRow="1" w:lastRow="0" w:firstColumn="1" w:lastColumn="0" w:noHBand="0" w:noVBand="1"/>
      </w:tblPr>
      <w:tblGrid>
        <w:gridCol w:w="2182"/>
        <w:gridCol w:w="873"/>
        <w:gridCol w:w="1165"/>
        <w:gridCol w:w="1308"/>
        <w:gridCol w:w="4934"/>
      </w:tblGrid>
      <w:tr w:rsidR="00C55D34" w:rsidRPr="007D111D" w14:paraId="3833815A" w14:textId="77777777" w:rsidTr="004C5501">
        <w:trPr>
          <w:trHeight w:val="264"/>
          <w:jc w:val="center"/>
        </w:trPr>
        <w:tc>
          <w:tcPr>
            <w:tcW w:w="1043" w:type="pct"/>
            <w:tcBorders>
              <w:top w:val="single" w:sz="4" w:space="0" w:color="auto"/>
              <w:left w:val="nil"/>
              <w:bottom w:val="single" w:sz="4" w:space="0" w:color="auto"/>
              <w:right w:val="nil"/>
            </w:tcBorders>
            <w:vAlign w:val="center"/>
          </w:tcPr>
          <w:p w14:paraId="500975F0"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Included Literature</w:t>
            </w:r>
          </w:p>
        </w:tc>
        <w:tc>
          <w:tcPr>
            <w:tcW w:w="417" w:type="pct"/>
            <w:tcBorders>
              <w:top w:val="single" w:sz="4" w:space="0" w:color="auto"/>
              <w:left w:val="nil"/>
              <w:bottom w:val="single" w:sz="4" w:space="0" w:color="auto"/>
              <w:right w:val="nil"/>
            </w:tcBorders>
            <w:vAlign w:val="center"/>
          </w:tcPr>
          <w:p w14:paraId="15FE5780"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Year</w:t>
            </w:r>
          </w:p>
        </w:tc>
        <w:tc>
          <w:tcPr>
            <w:tcW w:w="557" w:type="pct"/>
            <w:tcBorders>
              <w:top w:val="single" w:sz="4" w:space="0" w:color="auto"/>
              <w:left w:val="nil"/>
              <w:bottom w:val="single" w:sz="4" w:space="0" w:color="auto"/>
              <w:right w:val="nil"/>
            </w:tcBorders>
            <w:vAlign w:val="center"/>
          </w:tcPr>
          <w:p w14:paraId="596F7EC6"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Source</w:t>
            </w:r>
          </w:p>
        </w:tc>
        <w:tc>
          <w:tcPr>
            <w:tcW w:w="625" w:type="pct"/>
            <w:tcBorders>
              <w:top w:val="single" w:sz="4" w:space="0" w:color="auto"/>
              <w:left w:val="nil"/>
              <w:bottom w:val="single" w:sz="4" w:space="0" w:color="auto"/>
              <w:right w:val="nil"/>
            </w:tcBorders>
            <w:vAlign w:val="center"/>
          </w:tcPr>
          <w:p w14:paraId="255F5164" w14:textId="77777777" w:rsidR="00C55D34" w:rsidRPr="007D111D" w:rsidRDefault="00C55D34" w:rsidP="00C01F9F">
            <w:pPr>
              <w:widowControl/>
              <w:snapToGrid w:val="0"/>
              <w:ind w:leftChars="-114" w:left="-239" w:firstLineChars="151" w:firstLine="302"/>
              <w:rPr>
                <w:rFonts w:eastAsia="宋体" w:cs="Times New Roman"/>
                <w:color w:val="000000"/>
                <w:kern w:val="0"/>
                <w:sz w:val="20"/>
                <w:szCs w:val="20"/>
              </w:rPr>
            </w:pPr>
            <w:r w:rsidRPr="007D111D">
              <w:rPr>
                <w:rFonts w:eastAsia="Times New Roman" w:cs="Times New Roman"/>
                <w:color w:val="000000"/>
                <w:kern w:val="0"/>
                <w:sz w:val="20"/>
                <w:szCs w:val="20"/>
              </w:rPr>
              <w:t>Type</w:t>
            </w:r>
          </w:p>
        </w:tc>
        <w:tc>
          <w:tcPr>
            <w:tcW w:w="2358" w:type="pct"/>
            <w:tcBorders>
              <w:top w:val="single" w:sz="4" w:space="0" w:color="auto"/>
              <w:left w:val="nil"/>
              <w:bottom w:val="single" w:sz="4" w:space="0" w:color="auto"/>
              <w:right w:val="nil"/>
            </w:tcBorders>
            <w:vAlign w:val="center"/>
          </w:tcPr>
          <w:p w14:paraId="54C22C8A"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Topic</w:t>
            </w:r>
          </w:p>
        </w:tc>
      </w:tr>
      <w:tr w:rsidR="00C55D34" w:rsidRPr="007D111D" w14:paraId="2C9BF628" w14:textId="77777777" w:rsidTr="004C5501">
        <w:trPr>
          <w:trHeight w:val="263"/>
          <w:jc w:val="center"/>
        </w:trPr>
        <w:tc>
          <w:tcPr>
            <w:tcW w:w="1043" w:type="pct"/>
            <w:tcBorders>
              <w:top w:val="nil"/>
              <w:left w:val="nil"/>
              <w:bottom w:val="nil"/>
              <w:right w:val="nil"/>
            </w:tcBorders>
            <w:vAlign w:val="center"/>
          </w:tcPr>
          <w:p w14:paraId="2AF61DA8" w14:textId="363D1ACA" w:rsidR="00C55D34" w:rsidRPr="00B9674C" w:rsidRDefault="00C55D34" w:rsidP="00C01F9F">
            <w:pPr>
              <w:widowControl/>
              <w:snapToGrid w:val="0"/>
              <w:rPr>
                <w:rFonts w:cs="Times New Roman" w:hint="eastAsia"/>
                <w:color w:val="000000"/>
                <w:kern w:val="0"/>
                <w:sz w:val="20"/>
                <w:szCs w:val="20"/>
              </w:rPr>
            </w:pPr>
            <w:r w:rsidRPr="007D111D">
              <w:rPr>
                <w:rFonts w:eastAsia="Times New Roman" w:cs="Times New Roman"/>
                <w:color w:val="000000"/>
                <w:kern w:val="0"/>
                <w:sz w:val="20"/>
                <w:szCs w:val="20"/>
              </w:rPr>
              <w:t xml:space="preserve">Italian National Institute of Health </w:t>
            </w:r>
            <w:r w:rsidR="00B9674C" w:rsidRPr="00B9674C">
              <w:rPr>
                <w:rFonts w:eastAsia="Times New Roman" w:cs="Times New Roman"/>
                <w:color w:val="000000"/>
                <w:kern w:val="0"/>
                <w:sz w:val="20"/>
                <w:szCs w:val="20"/>
              </w:rPr>
              <w:t>[2</w:t>
            </w:r>
            <w:r w:rsidR="00B9674C">
              <w:rPr>
                <w:rFonts w:cs="Times New Roman" w:hint="eastAsia"/>
                <w:color w:val="000000"/>
                <w:kern w:val="0"/>
                <w:sz w:val="20"/>
                <w:szCs w:val="20"/>
              </w:rPr>
              <w:t>1</w:t>
            </w:r>
            <w:r w:rsidR="00B9674C" w:rsidRPr="00B9674C">
              <w:rPr>
                <w:rFonts w:eastAsia="Times New Roman" w:cs="Times New Roman"/>
                <w:color w:val="000000"/>
                <w:kern w:val="0"/>
                <w:sz w:val="20"/>
                <w:szCs w:val="20"/>
              </w:rPr>
              <w:t>]</w:t>
            </w:r>
          </w:p>
        </w:tc>
        <w:tc>
          <w:tcPr>
            <w:tcW w:w="417" w:type="pct"/>
            <w:tcBorders>
              <w:top w:val="nil"/>
              <w:left w:val="nil"/>
              <w:bottom w:val="nil"/>
              <w:right w:val="nil"/>
            </w:tcBorders>
            <w:vAlign w:val="center"/>
          </w:tcPr>
          <w:p w14:paraId="3EDC8634"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2024</w:t>
            </w:r>
          </w:p>
        </w:tc>
        <w:tc>
          <w:tcPr>
            <w:tcW w:w="557" w:type="pct"/>
            <w:tcBorders>
              <w:top w:val="nil"/>
              <w:left w:val="nil"/>
              <w:bottom w:val="nil"/>
              <w:right w:val="nil"/>
            </w:tcBorders>
            <w:vAlign w:val="center"/>
          </w:tcPr>
          <w:p w14:paraId="2D15605E"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Medlive</w:t>
            </w:r>
          </w:p>
        </w:tc>
        <w:tc>
          <w:tcPr>
            <w:tcW w:w="625" w:type="pct"/>
            <w:tcBorders>
              <w:top w:val="nil"/>
              <w:left w:val="nil"/>
              <w:bottom w:val="nil"/>
              <w:right w:val="nil"/>
            </w:tcBorders>
            <w:vAlign w:val="center"/>
          </w:tcPr>
          <w:p w14:paraId="281ECA12"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Guideline</w:t>
            </w:r>
          </w:p>
        </w:tc>
        <w:tc>
          <w:tcPr>
            <w:tcW w:w="2358" w:type="pct"/>
            <w:tcBorders>
              <w:top w:val="nil"/>
              <w:left w:val="nil"/>
              <w:bottom w:val="nil"/>
              <w:right w:val="nil"/>
            </w:tcBorders>
            <w:vAlign w:val="center"/>
          </w:tcPr>
          <w:p w14:paraId="403AD8CD"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The Italian guideline on the diagnosis and treatment of dementia and mild cognitive impairment</w:t>
            </w:r>
          </w:p>
        </w:tc>
      </w:tr>
      <w:tr w:rsidR="00C55D34" w:rsidRPr="007D111D" w14:paraId="04798A67" w14:textId="77777777" w:rsidTr="004C5501">
        <w:trPr>
          <w:trHeight w:val="638"/>
          <w:jc w:val="center"/>
        </w:trPr>
        <w:tc>
          <w:tcPr>
            <w:tcW w:w="1043" w:type="pct"/>
            <w:tcBorders>
              <w:top w:val="nil"/>
              <w:left w:val="nil"/>
              <w:bottom w:val="nil"/>
              <w:right w:val="nil"/>
            </w:tcBorders>
            <w:vAlign w:val="center"/>
          </w:tcPr>
          <w:p w14:paraId="763F3385" w14:textId="3F2CB8FE" w:rsidR="00C55D34" w:rsidRPr="00B9674C" w:rsidRDefault="00C55D34" w:rsidP="00C01F9F">
            <w:pPr>
              <w:widowControl/>
              <w:snapToGrid w:val="0"/>
              <w:rPr>
                <w:rFonts w:cs="Times New Roman" w:hint="eastAsia"/>
                <w:color w:val="000000"/>
                <w:kern w:val="0"/>
                <w:sz w:val="20"/>
                <w:szCs w:val="20"/>
              </w:rPr>
            </w:pPr>
            <w:r w:rsidRPr="007D111D">
              <w:rPr>
                <w:rFonts w:eastAsia="Times New Roman" w:cs="Times New Roman"/>
                <w:color w:val="000000"/>
                <w:kern w:val="0"/>
                <w:sz w:val="20"/>
                <w:szCs w:val="20"/>
              </w:rPr>
              <w:t xml:space="preserve">Chinese Medical Doctor Association, Neurology Branch </w:t>
            </w:r>
            <w:r w:rsidR="00B9674C" w:rsidRPr="00B9674C">
              <w:rPr>
                <w:rFonts w:eastAsia="Times New Roman" w:cs="Times New Roman"/>
                <w:color w:val="000000"/>
                <w:kern w:val="0"/>
                <w:sz w:val="20"/>
                <w:szCs w:val="20"/>
              </w:rPr>
              <w:t>[2</w:t>
            </w:r>
            <w:r w:rsidR="00B9674C">
              <w:rPr>
                <w:rFonts w:cs="Times New Roman" w:hint="eastAsia"/>
                <w:color w:val="000000"/>
                <w:kern w:val="0"/>
                <w:sz w:val="20"/>
                <w:szCs w:val="20"/>
              </w:rPr>
              <w:t>2</w:t>
            </w:r>
            <w:r w:rsidR="00B9674C" w:rsidRPr="00B9674C">
              <w:rPr>
                <w:rFonts w:eastAsia="Times New Roman" w:cs="Times New Roman"/>
                <w:color w:val="000000"/>
                <w:kern w:val="0"/>
                <w:sz w:val="20"/>
                <w:szCs w:val="20"/>
              </w:rPr>
              <w:t>]</w:t>
            </w:r>
          </w:p>
        </w:tc>
        <w:tc>
          <w:tcPr>
            <w:tcW w:w="417" w:type="pct"/>
            <w:tcBorders>
              <w:top w:val="nil"/>
              <w:left w:val="nil"/>
              <w:bottom w:val="nil"/>
              <w:right w:val="nil"/>
            </w:tcBorders>
            <w:vAlign w:val="center"/>
          </w:tcPr>
          <w:p w14:paraId="71A87118"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2022</w:t>
            </w:r>
          </w:p>
        </w:tc>
        <w:tc>
          <w:tcPr>
            <w:tcW w:w="557" w:type="pct"/>
            <w:tcBorders>
              <w:top w:val="nil"/>
              <w:left w:val="nil"/>
              <w:bottom w:val="nil"/>
              <w:right w:val="nil"/>
            </w:tcBorders>
            <w:vAlign w:val="center"/>
          </w:tcPr>
          <w:p w14:paraId="6607A89E"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Wanfang Database</w:t>
            </w:r>
          </w:p>
        </w:tc>
        <w:tc>
          <w:tcPr>
            <w:tcW w:w="625" w:type="pct"/>
            <w:tcBorders>
              <w:top w:val="nil"/>
              <w:left w:val="nil"/>
              <w:bottom w:val="nil"/>
              <w:right w:val="nil"/>
            </w:tcBorders>
            <w:vAlign w:val="center"/>
          </w:tcPr>
          <w:p w14:paraId="4EDC9BD3"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Guideline</w:t>
            </w:r>
          </w:p>
        </w:tc>
        <w:tc>
          <w:tcPr>
            <w:tcW w:w="2358" w:type="pct"/>
            <w:tcBorders>
              <w:top w:val="nil"/>
              <w:left w:val="nil"/>
              <w:bottom w:val="nil"/>
              <w:right w:val="nil"/>
            </w:tcBorders>
            <w:vAlign w:val="center"/>
          </w:tcPr>
          <w:p w14:paraId="0052D31C"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Chinese guidelines for cognitive training (2022 edition)</w:t>
            </w:r>
          </w:p>
        </w:tc>
      </w:tr>
      <w:tr w:rsidR="00C55D34" w:rsidRPr="007D111D" w14:paraId="0C9CE162" w14:textId="77777777" w:rsidTr="004C5501">
        <w:trPr>
          <w:trHeight w:val="818"/>
          <w:jc w:val="center"/>
        </w:trPr>
        <w:tc>
          <w:tcPr>
            <w:tcW w:w="1043" w:type="pct"/>
            <w:tcBorders>
              <w:top w:val="nil"/>
              <w:left w:val="nil"/>
              <w:bottom w:val="nil"/>
              <w:right w:val="nil"/>
            </w:tcBorders>
            <w:vAlign w:val="center"/>
          </w:tcPr>
          <w:p w14:paraId="45BF51DC" w14:textId="6EB42190" w:rsidR="00C55D34" w:rsidRPr="00B9674C" w:rsidRDefault="00C55D34" w:rsidP="00C01F9F">
            <w:pPr>
              <w:widowControl/>
              <w:snapToGrid w:val="0"/>
              <w:rPr>
                <w:rFonts w:cs="Times New Roman" w:hint="eastAsia"/>
                <w:color w:val="000000"/>
                <w:kern w:val="0"/>
                <w:sz w:val="20"/>
                <w:szCs w:val="20"/>
              </w:rPr>
            </w:pPr>
            <w:r w:rsidRPr="007D111D">
              <w:rPr>
                <w:rFonts w:eastAsia="Times New Roman" w:cs="Times New Roman"/>
                <w:color w:val="000000"/>
                <w:kern w:val="0"/>
                <w:sz w:val="20"/>
                <w:szCs w:val="20"/>
              </w:rPr>
              <w:t xml:space="preserve">Petersen et al. </w:t>
            </w:r>
            <w:r w:rsidR="00B9674C" w:rsidRPr="00B9674C">
              <w:rPr>
                <w:rFonts w:eastAsia="Times New Roman" w:cs="Times New Roman"/>
                <w:color w:val="000000"/>
                <w:kern w:val="0"/>
                <w:sz w:val="20"/>
                <w:szCs w:val="20"/>
              </w:rPr>
              <w:t>[2</w:t>
            </w:r>
            <w:r w:rsidR="00B9674C">
              <w:rPr>
                <w:rFonts w:cs="Times New Roman" w:hint="eastAsia"/>
                <w:color w:val="000000"/>
                <w:kern w:val="0"/>
                <w:sz w:val="20"/>
                <w:szCs w:val="20"/>
              </w:rPr>
              <w:t>3</w:t>
            </w:r>
            <w:r w:rsidR="00B9674C" w:rsidRPr="00B9674C">
              <w:rPr>
                <w:rFonts w:eastAsia="Times New Roman" w:cs="Times New Roman"/>
                <w:color w:val="000000"/>
                <w:kern w:val="0"/>
                <w:sz w:val="20"/>
                <w:szCs w:val="20"/>
              </w:rPr>
              <w:t>]</w:t>
            </w:r>
          </w:p>
        </w:tc>
        <w:tc>
          <w:tcPr>
            <w:tcW w:w="417" w:type="pct"/>
            <w:tcBorders>
              <w:top w:val="nil"/>
              <w:left w:val="nil"/>
              <w:bottom w:val="nil"/>
              <w:right w:val="nil"/>
            </w:tcBorders>
            <w:vAlign w:val="center"/>
          </w:tcPr>
          <w:p w14:paraId="57B42EDC"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2018</w:t>
            </w:r>
          </w:p>
        </w:tc>
        <w:tc>
          <w:tcPr>
            <w:tcW w:w="557" w:type="pct"/>
            <w:tcBorders>
              <w:top w:val="nil"/>
              <w:left w:val="nil"/>
              <w:bottom w:val="nil"/>
              <w:right w:val="nil"/>
            </w:tcBorders>
            <w:vAlign w:val="center"/>
          </w:tcPr>
          <w:p w14:paraId="3676A1FD"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American Academy of Neurology (AAN)</w:t>
            </w:r>
          </w:p>
        </w:tc>
        <w:tc>
          <w:tcPr>
            <w:tcW w:w="625" w:type="pct"/>
            <w:tcBorders>
              <w:top w:val="nil"/>
              <w:left w:val="nil"/>
              <w:bottom w:val="nil"/>
              <w:right w:val="nil"/>
            </w:tcBorders>
            <w:vAlign w:val="center"/>
          </w:tcPr>
          <w:p w14:paraId="00312840"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Guideline</w:t>
            </w:r>
          </w:p>
        </w:tc>
        <w:tc>
          <w:tcPr>
            <w:tcW w:w="2358" w:type="pct"/>
            <w:tcBorders>
              <w:top w:val="nil"/>
              <w:left w:val="nil"/>
              <w:bottom w:val="nil"/>
              <w:right w:val="nil"/>
            </w:tcBorders>
            <w:vAlign w:val="center"/>
          </w:tcPr>
          <w:p w14:paraId="78E1E1B5"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Practice guideline update summary: Mild cognitive impairment</w:t>
            </w:r>
          </w:p>
        </w:tc>
      </w:tr>
      <w:tr w:rsidR="00C55D34" w:rsidRPr="007D111D" w14:paraId="0C6F2353" w14:textId="77777777" w:rsidTr="004C5501">
        <w:trPr>
          <w:trHeight w:val="510"/>
          <w:jc w:val="center"/>
        </w:trPr>
        <w:tc>
          <w:tcPr>
            <w:tcW w:w="1043" w:type="pct"/>
            <w:tcBorders>
              <w:top w:val="nil"/>
              <w:left w:val="nil"/>
              <w:bottom w:val="nil"/>
              <w:right w:val="nil"/>
            </w:tcBorders>
            <w:vAlign w:val="center"/>
          </w:tcPr>
          <w:p w14:paraId="797F1B6E" w14:textId="1BD8904A"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 xml:space="preserve">Cognitive Impairment Disease Professional Committee, Neurology Branch, Chinese Medical Doctor Association </w:t>
            </w:r>
            <w:r w:rsidR="00B9674C" w:rsidRPr="00B9674C">
              <w:rPr>
                <w:rFonts w:eastAsia="Times New Roman" w:cs="Times New Roman"/>
                <w:color w:val="000000"/>
                <w:kern w:val="0"/>
                <w:sz w:val="20"/>
                <w:szCs w:val="20"/>
              </w:rPr>
              <w:t>[2</w:t>
            </w:r>
            <w:r w:rsidR="00B9674C">
              <w:rPr>
                <w:rFonts w:cs="Times New Roman" w:hint="eastAsia"/>
                <w:color w:val="000000"/>
                <w:kern w:val="0"/>
                <w:sz w:val="20"/>
                <w:szCs w:val="20"/>
              </w:rPr>
              <w:t>4</w:t>
            </w:r>
            <w:r w:rsidR="00B9674C" w:rsidRPr="00B9674C">
              <w:rPr>
                <w:rFonts w:eastAsia="Times New Roman" w:cs="Times New Roman"/>
                <w:color w:val="000000"/>
                <w:kern w:val="0"/>
                <w:sz w:val="20"/>
                <w:szCs w:val="20"/>
              </w:rPr>
              <w:t>]</w:t>
            </w:r>
          </w:p>
        </w:tc>
        <w:tc>
          <w:tcPr>
            <w:tcW w:w="417" w:type="pct"/>
            <w:tcBorders>
              <w:top w:val="nil"/>
              <w:left w:val="nil"/>
              <w:bottom w:val="nil"/>
              <w:right w:val="nil"/>
            </w:tcBorders>
            <w:vAlign w:val="center"/>
          </w:tcPr>
          <w:p w14:paraId="1C4C38F5"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2018</w:t>
            </w:r>
          </w:p>
        </w:tc>
        <w:tc>
          <w:tcPr>
            <w:tcW w:w="557" w:type="pct"/>
            <w:tcBorders>
              <w:top w:val="nil"/>
              <w:left w:val="nil"/>
              <w:bottom w:val="nil"/>
              <w:right w:val="nil"/>
            </w:tcBorders>
            <w:vAlign w:val="center"/>
          </w:tcPr>
          <w:p w14:paraId="3331DB5B"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Wanfang Database</w:t>
            </w:r>
          </w:p>
        </w:tc>
        <w:tc>
          <w:tcPr>
            <w:tcW w:w="625" w:type="pct"/>
            <w:tcBorders>
              <w:top w:val="nil"/>
              <w:left w:val="nil"/>
              <w:bottom w:val="nil"/>
              <w:right w:val="nil"/>
            </w:tcBorders>
            <w:vAlign w:val="center"/>
          </w:tcPr>
          <w:p w14:paraId="1AB90F6C"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Guideline</w:t>
            </w:r>
          </w:p>
        </w:tc>
        <w:tc>
          <w:tcPr>
            <w:tcW w:w="2358" w:type="pct"/>
            <w:tcBorders>
              <w:top w:val="nil"/>
              <w:left w:val="nil"/>
              <w:bottom w:val="nil"/>
              <w:right w:val="nil"/>
            </w:tcBorders>
            <w:vAlign w:val="center"/>
          </w:tcPr>
          <w:p w14:paraId="48916226"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2018 Chinese guidelines for the diagnosis and treatment of dementia and cognitive impairment (V): diagnosis and treatment of mild cognitive impairment</w:t>
            </w:r>
          </w:p>
        </w:tc>
      </w:tr>
      <w:tr w:rsidR="00B9674C" w:rsidRPr="007D111D" w14:paraId="41F92ECD" w14:textId="77777777" w:rsidTr="004C5501">
        <w:trPr>
          <w:trHeight w:val="510"/>
          <w:jc w:val="center"/>
        </w:trPr>
        <w:tc>
          <w:tcPr>
            <w:tcW w:w="1043" w:type="pct"/>
            <w:tcBorders>
              <w:top w:val="nil"/>
              <w:left w:val="nil"/>
              <w:bottom w:val="nil"/>
              <w:right w:val="nil"/>
            </w:tcBorders>
            <w:vAlign w:val="center"/>
          </w:tcPr>
          <w:p w14:paraId="69C34005" w14:textId="172FD784"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 xml:space="preserve">Brain Cognitive Health Management Chinese Expert Consensus Formulation Committee </w:t>
            </w:r>
            <w:r w:rsidRPr="00B9674C">
              <w:rPr>
                <w:rFonts w:eastAsia="Times New Roman" w:cs="Times New Roman"/>
                <w:color w:val="000000"/>
                <w:kern w:val="0"/>
                <w:sz w:val="20"/>
                <w:szCs w:val="20"/>
              </w:rPr>
              <w:t>[2</w:t>
            </w:r>
            <w:r>
              <w:rPr>
                <w:rFonts w:cs="Times New Roman" w:hint="eastAsia"/>
                <w:color w:val="000000"/>
                <w:kern w:val="0"/>
                <w:sz w:val="20"/>
                <w:szCs w:val="20"/>
              </w:rPr>
              <w:t>5</w:t>
            </w:r>
            <w:r w:rsidRPr="00B9674C">
              <w:rPr>
                <w:rFonts w:eastAsia="Times New Roman" w:cs="Times New Roman"/>
                <w:color w:val="000000"/>
                <w:kern w:val="0"/>
                <w:sz w:val="20"/>
                <w:szCs w:val="20"/>
              </w:rPr>
              <w:t>]</w:t>
            </w:r>
          </w:p>
        </w:tc>
        <w:tc>
          <w:tcPr>
            <w:tcW w:w="417" w:type="pct"/>
            <w:tcBorders>
              <w:top w:val="nil"/>
              <w:left w:val="nil"/>
              <w:bottom w:val="nil"/>
              <w:right w:val="nil"/>
            </w:tcBorders>
            <w:vAlign w:val="center"/>
          </w:tcPr>
          <w:p w14:paraId="027BF0BD" w14:textId="216BA0B2"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2023</w:t>
            </w:r>
          </w:p>
        </w:tc>
        <w:tc>
          <w:tcPr>
            <w:tcW w:w="557" w:type="pct"/>
            <w:tcBorders>
              <w:top w:val="nil"/>
              <w:left w:val="nil"/>
              <w:bottom w:val="nil"/>
              <w:right w:val="nil"/>
            </w:tcBorders>
            <w:vAlign w:val="center"/>
          </w:tcPr>
          <w:p w14:paraId="67CF2BDE" w14:textId="390099EA"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Medlive</w:t>
            </w:r>
          </w:p>
        </w:tc>
        <w:tc>
          <w:tcPr>
            <w:tcW w:w="625" w:type="pct"/>
            <w:tcBorders>
              <w:top w:val="nil"/>
              <w:left w:val="nil"/>
              <w:bottom w:val="nil"/>
              <w:right w:val="nil"/>
            </w:tcBorders>
            <w:vAlign w:val="center"/>
          </w:tcPr>
          <w:p w14:paraId="11D2E01C" w14:textId="671D8A43"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Expert Consensus</w:t>
            </w:r>
          </w:p>
        </w:tc>
        <w:tc>
          <w:tcPr>
            <w:tcW w:w="2358" w:type="pct"/>
            <w:tcBorders>
              <w:top w:val="nil"/>
              <w:left w:val="nil"/>
              <w:bottom w:val="nil"/>
              <w:right w:val="nil"/>
            </w:tcBorders>
            <w:vAlign w:val="center"/>
          </w:tcPr>
          <w:p w14:paraId="61EC5156" w14:textId="734E0786"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Chinese expert consensus on brain cognitive health management (2023)</w:t>
            </w:r>
          </w:p>
        </w:tc>
      </w:tr>
      <w:tr w:rsidR="00B9674C" w:rsidRPr="007D111D" w14:paraId="1DF178BF" w14:textId="77777777" w:rsidTr="004C5501">
        <w:trPr>
          <w:trHeight w:val="1058"/>
          <w:jc w:val="center"/>
        </w:trPr>
        <w:tc>
          <w:tcPr>
            <w:tcW w:w="1043" w:type="pct"/>
            <w:tcBorders>
              <w:top w:val="nil"/>
              <w:left w:val="nil"/>
              <w:bottom w:val="nil"/>
              <w:right w:val="nil"/>
            </w:tcBorders>
            <w:vAlign w:val="center"/>
          </w:tcPr>
          <w:p w14:paraId="54463E53" w14:textId="4EC16CA7"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lastRenderedPageBreak/>
              <w:t xml:space="preserve">Chinese Medical Association, Neurology Branch, Dementia and Cognitive Impairment Study Group </w:t>
            </w:r>
            <w:r w:rsidRPr="00B9674C">
              <w:rPr>
                <w:rFonts w:eastAsia="Times New Roman" w:cs="Times New Roman"/>
                <w:color w:val="000000"/>
                <w:kern w:val="0"/>
                <w:sz w:val="20"/>
                <w:szCs w:val="20"/>
              </w:rPr>
              <w:t>[2</w:t>
            </w:r>
            <w:r>
              <w:rPr>
                <w:rFonts w:cs="Times New Roman" w:hint="eastAsia"/>
                <w:color w:val="000000"/>
                <w:kern w:val="0"/>
                <w:sz w:val="20"/>
                <w:szCs w:val="20"/>
              </w:rPr>
              <w:t>6</w:t>
            </w:r>
            <w:r w:rsidRPr="00B9674C">
              <w:rPr>
                <w:rFonts w:eastAsia="Times New Roman" w:cs="Times New Roman"/>
                <w:color w:val="000000"/>
                <w:kern w:val="0"/>
                <w:sz w:val="20"/>
                <w:szCs w:val="20"/>
              </w:rPr>
              <w:t>]</w:t>
            </w:r>
          </w:p>
        </w:tc>
        <w:tc>
          <w:tcPr>
            <w:tcW w:w="417" w:type="pct"/>
            <w:tcBorders>
              <w:top w:val="nil"/>
              <w:left w:val="nil"/>
              <w:bottom w:val="nil"/>
              <w:right w:val="nil"/>
            </w:tcBorders>
            <w:vAlign w:val="center"/>
          </w:tcPr>
          <w:p w14:paraId="25D1D577" w14:textId="4FAAE2A7"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2024</w:t>
            </w:r>
          </w:p>
        </w:tc>
        <w:tc>
          <w:tcPr>
            <w:tcW w:w="557" w:type="pct"/>
            <w:tcBorders>
              <w:top w:val="nil"/>
              <w:left w:val="nil"/>
              <w:bottom w:val="nil"/>
              <w:right w:val="nil"/>
            </w:tcBorders>
            <w:vAlign w:val="center"/>
          </w:tcPr>
          <w:p w14:paraId="7DF6EB80" w14:textId="6E1EFCC1"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Medlive</w:t>
            </w:r>
          </w:p>
        </w:tc>
        <w:tc>
          <w:tcPr>
            <w:tcW w:w="625" w:type="pct"/>
            <w:tcBorders>
              <w:top w:val="nil"/>
              <w:left w:val="nil"/>
              <w:bottom w:val="nil"/>
              <w:right w:val="nil"/>
            </w:tcBorders>
            <w:vAlign w:val="center"/>
          </w:tcPr>
          <w:p w14:paraId="04B59353" w14:textId="0A9965C0"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Expert Consensus</w:t>
            </w:r>
          </w:p>
        </w:tc>
        <w:tc>
          <w:tcPr>
            <w:tcW w:w="2358" w:type="pct"/>
            <w:tcBorders>
              <w:top w:val="nil"/>
              <w:left w:val="nil"/>
              <w:bottom w:val="nil"/>
              <w:right w:val="nil"/>
            </w:tcBorders>
            <w:vAlign w:val="center"/>
          </w:tcPr>
          <w:p w14:paraId="44E19A83" w14:textId="0BB3C08D"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Chinese expert consensus on the diagnosis and treatment of mild cognitive impairment due to Alzheimer's disease (2024)</w:t>
            </w:r>
          </w:p>
        </w:tc>
      </w:tr>
      <w:tr w:rsidR="00C55D34" w:rsidRPr="007D111D" w14:paraId="4AF9D933" w14:textId="77777777" w:rsidTr="004C5501">
        <w:trPr>
          <w:trHeight w:val="263"/>
          <w:jc w:val="center"/>
        </w:trPr>
        <w:tc>
          <w:tcPr>
            <w:tcW w:w="1043" w:type="pct"/>
            <w:tcBorders>
              <w:top w:val="nil"/>
              <w:left w:val="nil"/>
              <w:bottom w:val="nil"/>
              <w:right w:val="nil"/>
            </w:tcBorders>
            <w:vAlign w:val="center"/>
          </w:tcPr>
          <w:p w14:paraId="53B1F31B" w14:textId="113D8561"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 xml:space="preserve">Dunne R A et al. </w:t>
            </w:r>
            <w:r w:rsidR="00B9674C" w:rsidRPr="00B9674C">
              <w:rPr>
                <w:rFonts w:eastAsia="Times New Roman" w:cs="Times New Roman"/>
                <w:color w:val="000000"/>
                <w:kern w:val="0"/>
                <w:sz w:val="20"/>
                <w:szCs w:val="20"/>
              </w:rPr>
              <w:t>[2</w:t>
            </w:r>
            <w:r w:rsidR="00B9674C">
              <w:rPr>
                <w:rFonts w:cs="Times New Roman" w:hint="eastAsia"/>
                <w:color w:val="000000"/>
                <w:kern w:val="0"/>
                <w:sz w:val="20"/>
                <w:szCs w:val="20"/>
              </w:rPr>
              <w:t>7</w:t>
            </w:r>
            <w:r w:rsidR="00B9674C" w:rsidRPr="00B9674C">
              <w:rPr>
                <w:rFonts w:eastAsia="Times New Roman" w:cs="Times New Roman"/>
                <w:color w:val="000000"/>
                <w:kern w:val="0"/>
                <w:sz w:val="20"/>
                <w:szCs w:val="20"/>
              </w:rPr>
              <w:t>]</w:t>
            </w:r>
          </w:p>
        </w:tc>
        <w:tc>
          <w:tcPr>
            <w:tcW w:w="417" w:type="pct"/>
            <w:tcBorders>
              <w:top w:val="nil"/>
              <w:left w:val="nil"/>
              <w:bottom w:val="nil"/>
              <w:right w:val="nil"/>
            </w:tcBorders>
            <w:vAlign w:val="center"/>
          </w:tcPr>
          <w:p w14:paraId="6CC823BB"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2021</w:t>
            </w:r>
          </w:p>
        </w:tc>
        <w:tc>
          <w:tcPr>
            <w:tcW w:w="557" w:type="pct"/>
            <w:tcBorders>
              <w:top w:val="nil"/>
              <w:left w:val="nil"/>
              <w:bottom w:val="nil"/>
              <w:right w:val="nil"/>
            </w:tcBorders>
            <w:vAlign w:val="center"/>
          </w:tcPr>
          <w:p w14:paraId="550F9D5E"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Medlive</w:t>
            </w:r>
          </w:p>
        </w:tc>
        <w:tc>
          <w:tcPr>
            <w:tcW w:w="625" w:type="pct"/>
            <w:tcBorders>
              <w:top w:val="nil"/>
              <w:left w:val="nil"/>
              <w:bottom w:val="nil"/>
              <w:right w:val="nil"/>
            </w:tcBorders>
            <w:vAlign w:val="center"/>
          </w:tcPr>
          <w:p w14:paraId="5314F04C"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Expert Consensus</w:t>
            </w:r>
          </w:p>
        </w:tc>
        <w:tc>
          <w:tcPr>
            <w:tcW w:w="2358" w:type="pct"/>
            <w:tcBorders>
              <w:top w:val="nil"/>
              <w:left w:val="nil"/>
              <w:bottom w:val="nil"/>
              <w:right w:val="nil"/>
            </w:tcBorders>
            <w:vAlign w:val="center"/>
          </w:tcPr>
          <w:p w14:paraId="65536295"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Mild cognitive impairment: the Manchester consensus</w:t>
            </w:r>
          </w:p>
        </w:tc>
      </w:tr>
      <w:tr w:rsidR="00B9674C" w:rsidRPr="007D111D" w14:paraId="0C7A0332" w14:textId="77777777" w:rsidTr="004C5501">
        <w:trPr>
          <w:trHeight w:val="270"/>
          <w:jc w:val="center"/>
        </w:trPr>
        <w:tc>
          <w:tcPr>
            <w:tcW w:w="1043" w:type="pct"/>
            <w:tcBorders>
              <w:top w:val="nil"/>
              <w:left w:val="nil"/>
              <w:bottom w:val="nil"/>
              <w:right w:val="nil"/>
            </w:tcBorders>
            <w:vAlign w:val="center"/>
          </w:tcPr>
          <w:p w14:paraId="6E0E6905" w14:textId="0E1FC9C3"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 xml:space="preserve">Mei XF et al. </w:t>
            </w:r>
            <w:r w:rsidRPr="00B9674C">
              <w:rPr>
                <w:rFonts w:eastAsia="Times New Roman" w:cs="Times New Roman"/>
                <w:color w:val="000000"/>
                <w:kern w:val="0"/>
                <w:sz w:val="20"/>
                <w:szCs w:val="20"/>
              </w:rPr>
              <w:t>[2</w:t>
            </w:r>
            <w:r>
              <w:rPr>
                <w:rFonts w:cs="Times New Roman" w:hint="eastAsia"/>
                <w:color w:val="000000"/>
                <w:kern w:val="0"/>
                <w:sz w:val="20"/>
                <w:szCs w:val="20"/>
              </w:rPr>
              <w:t>8</w:t>
            </w:r>
            <w:r w:rsidRPr="00B9674C">
              <w:rPr>
                <w:rFonts w:eastAsia="Times New Roman" w:cs="Times New Roman"/>
                <w:color w:val="000000"/>
                <w:kern w:val="0"/>
                <w:sz w:val="20"/>
                <w:szCs w:val="20"/>
              </w:rPr>
              <w:t>]</w:t>
            </w:r>
          </w:p>
        </w:tc>
        <w:tc>
          <w:tcPr>
            <w:tcW w:w="417" w:type="pct"/>
            <w:tcBorders>
              <w:top w:val="nil"/>
              <w:left w:val="nil"/>
              <w:bottom w:val="nil"/>
              <w:right w:val="nil"/>
            </w:tcBorders>
            <w:vAlign w:val="center"/>
          </w:tcPr>
          <w:p w14:paraId="39DFC972" w14:textId="3AAC5FF5"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2019</w:t>
            </w:r>
          </w:p>
        </w:tc>
        <w:tc>
          <w:tcPr>
            <w:tcW w:w="557" w:type="pct"/>
            <w:tcBorders>
              <w:top w:val="nil"/>
              <w:left w:val="nil"/>
              <w:bottom w:val="nil"/>
              <w:right w:val="nil"/>
            </w:tcBorders>
            <w:vAlign w:val="center"/>
          </w:tcPr>
          <w:p w14:paraId="593FF227" w14:textId="09EBAF75"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CNKI</w:t>
            </w:r>
          </w:p>
        </w:tc>
        <w:tc>
          <w:tcPr>
            <w:tcW w:w="625" w:type="pct"/>
            <w:tcBorders>
              <w:top w:val="nil"/>
              <w:left w:val="nil"/>
              <w:bottom w:val="nil"/>
              <w:right w:val="nil"/>
            </w:tcBorders>
            <w:vAlign w:val="center"/>
          </w:tcPr>
          <w:p w14:paraId="0539B6E9" w14:textId="4E3D8FB1"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Systematic Review</w:t>
            </w:r>
          </w:p>
        </w:tc>
        <w:tc>
          <w:tcPr>
            <w:tcW w:w="2358" w:type="pct"/>
            <w:tcBorders>
              <w:top w:val="nil"/>
              <w:left w:val="nil"/>
              <w:bottom w:val="nil"/>
              <w:right w:val="nil"/>
            </w:tcBorders>
            <w:vAlign w:val="center"/>
          </w:tcPr>
          <w:p w14:paraId="122ABBF9" w14:textId="64025CC7"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Effects of multidomain non-pharmacological interventions for mild cognitive impairment: a meta-analysis</w:t>
            </w:r>
          </w:p>
        </w:tc>
      </w:tr>
      <w:tr w:rsidR="00B9674C" w:rsidRPr="007D111D" w14:paraId="52F14AD0" w14:textId="77777777" w:rsidTr="004C5501">
        <w:trPr>
          <w:trHeight w:val="270"/>
          <w:jc w:val="center"/>
        </w:trPr>
        <w:tc>
          <w:tcPr>
            <w:tcW w:w="1043" w:type="pct"/>
            <w:tcBorders>
              <w:top w:val="nil"/>
              <w:left w:val="nil"/>
              <w:bottom w:val="nil"/>
              <w:right w:val="nil"/>
            </w:tcBorders>
            <w:vAlign w:val="center"/>
          </w:tcPr>
          <w:p w14:paraId="72464FD8" w14:textId="372D75B7"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 xml:space="preserve">Zou C et al. </w:t>
            </w:r>
            <w:r w:rsidRPr="00B9674C">
              <w:rPr>
                <w:rFonts w:eastAsia="Times New Roman" w:cs="Times New Roman"/>
                <w:color w:val="000000"/>
                <w:kern w:val="0"/>
                <w:sz w:val="20"/>
                <w:szCs w:val="20"/>
              </w:rPr>
              <w:t>[2</w:t>
            </w:r>
            <w:r>
              <w:rPr>
                <w:rFonts w:cs="Times New Roman" w:hint="eastAsia"/>
                <w:color w:val="000000"/>
                <w:kern w:val="0"/>
                <w:sz w:val="20"/>
                <w:szCs w:val="20"/>
              </w:rPr>
              <w:t>9</w:t>
            </w:r>
            <w:r w:rsidRPr="00B9674C">
              <w:rPr>
                <w:rFonts w:eastAsia="Times New Roman" w:cs="Times New Roman"/>
                <w:color w:val="000000"/>
                <w:kern w:val="0"/>
                <w:sz w:val="20"/>
                <w:szCs w:val="20"/>
              </w:rPr>
              <w:t>]</w:t>
            </w:r>
          </w:p>
        </w:tc>
        <w:tc>
          <w:tcPr>
            <w:tcW w:w="417" w:type="pct"/>
            <w:tcBorders>
              <w:top w:val="nil"/>
              <w:left w:val="nil"/>
              <w:bottom w:val="nil"/>
              <w:right w:val="nil"/>
            </w:tcBorders>
            <w:vAlign w:val="center"/>
          </w:tcPr>
          <w:p w14:paraId="0E72041D" w14:textId="6609AE71"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2024</w:t>
            </w:r>
          </w:p>
        </w:tc>
        <w:tc>
          <w:tcPr>
            <w:tcW w:w="557" w:type="pct"/>
            <w:tcBorders>
              <w:top w:val="nil"/>
              <w:left w:val="nil"/>
              <w:bottom w:val="nil"/>
              <w:right w:val="nil"/>
            </w:tcBorders>
            <w:vAlign w:val="center"/>
          </w:tcPr>
          <w:p w14:paraId="47147CB7" w14:textId="1C761166"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Embase</w:t>
            </w:r>
          </w:p>
        </w:tc>
        <w:tc>
          <w:tcPr>
            <w:tcW w:w="625" w:type="pct"/>
            <w:tcBorders>
              <w:top w:val="nil"/>
              <w:left w:val="nil"/>
              <w:bottom w:val="nil"/>
              <w:right w:val="nil"/>
            </w:tcBorders>
            <w:vAlign w:val="center"/>
          </w:tcPr>
          <w:p w14:paraId="78014A73" w14:textId="7886428E"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Systematic Review</w:t>
            </w:r>
          </w:p>
        </w:tc>
        <w:tc>
          <w:tcPr>
            <w:tcW w:w="2358" w:type="pct"/>
            <w:tcBorders>
              <w:top w:val="nil"/>
              <w:left w:val="nil"/>
              <w:bottom w:val="nil"/>
              <w:right w:val="nil"/>
            </w:tcBorders>
            <w:vAlign w:val="center"/>
          </w:tcPr>
          <w:p w14:paraId="6492130A" w14:textId="51B42CE2"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Effect of home-based lifestyle interventions on cognition in older adults with mild cognitive impairment: a systematic review</w:t>
            </w:r>
          </w:p>
        </w:tc>
      </w:tr>
      <w:tr w:rsidR="00C55D34" w:rsidRPr="007D111D" w14:paraId="606AFF5D" w14:textId="77777777" w:rsidTr="004C5501">
        <w:trPr>
          <w:trHeight w:val="270"/>
          <w:jc w:val="center"/>
        </w:trPr>
        <w:tc>
          <w:tcPr>
            <w:tcW w:w="1043" w:type="pct"/>
            <w:tcBorders>
              <w:top w:val="nil"/>
              <w:left w:val="nil"/>
              <w:bottom w:val="nil"/>
              <w:right w:val="nil"/>
            </w:tcBorders>
            <w:vAlign w:val="center"/>
          </w:tcPr>
          <w:p w14:paraId="60B27053" w14:textId="2060ECA8"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 xml:space="preserve">Gómez-Soria I et al. </w:t>
            </w:r>
            <w:r w:rsidR="00B9674C" w:rsidRPr="00B9674C">
              <w:rPr>
                <w:rFonts w:eastAsia="Times New Roman" w:cs="Times New Roman"/>
                <w:color w:val="000000"/>
                <w:kern w:val="0"/>
                <w:sz w:val="20"/>
                <w:szCs w:val="20"/>
              </w:rPr>
              <w:t>[</w:t>
            </w:r>
            <w:r w:rsidR="00B9674C">
              <w:rPr>
                <w:rFonts w:cs="Times New Roman" w:hint="eastAsia"/>
                <w:color w:val="000000"/>
                <w:kern w:val="0"/>
                <w:sz w:val="20"/>
                <w:szCs w:val="20"/>
              </w:rPr>
              <w:t>30</w:t>
            </w:r>
            <w:r w:rsidR="00B9674C" w:rsidRPr="00B9674C">
              <w:rPr>
                <w:rFonts w:eastAsia="Times New Roman" w:cs="Times New Roman"/>
                <w:color w:val="000000"/>
                <w:kern w:val="0"/>
                <w:sz w:val="20"/>
                <w:szCs w:val="20"/>
              </w:rPr>
              <w:t>]</w:t>
            </w:r>
          </w:p>
        </w:tc>
        <w:tc>
          <w:tcPr>
            <w:tcW w:w="417" w:type="pct"/>
            <w:tcBorders>
              <w:top w:val="nil"/>
              <w:left w:val="nil"/>
              <w:bottom w:val="nil"/>
              <w:right w:val="nil"/>
            </w:tcBorders>
            <w:vAlign w:val="center"/>
          </w:tcPr>
          <w:p w14:paraId="388BFEF0"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2022</w:t>
            </w:r>
          </w:p>
        </w:tc>
        <w:tc>
          <w:tcPr>
            <w:tcW w:w="557" w:type="pct"/>
            <w:tcBorders>
              <w:top w:val="nil"/>
              <w:left w:val="nil"/>
              <w:bottom w:val="nil"/>
              <w:right w:val="nil"/>
            </w:tcBorders>
            <w:vAlign w:val="center"/>
          </w:tcPr>
          <w:p w14:paraId="6DC00E68"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PubMed</w:t>
            </w:r>
          </w:p>
        </w:tc>
        <w:tc>
          <w:tcPr>
            <w:tcW w:w="625" w:type="pct"/>
            <w:tcBorders>
              <w:top w:val="nil"/>
              <w:left w:val="nil"/>
              <w:bottom w:val="nil"/>
              <w:right w:val="nil"/>
            </w:tcBorders>
            <w:vAlign w:val="center"/>
          </w:tcPr>
          <w:p w14:paraId="7BF5A815"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Systematic Review</w:t>
            </w:r>
          </w:p>
        </w:tc>
        <w:tc>
          <w:tcPr>
            <w:tcW w:w="2358" w:type="pct"/>
            <w:tcBorders>
              <w:top w:val="nil"/>
              <w:left w:val="nil"/>
              <w:bottom w:val="nil"/>
              <w:right w:val="nil"/>
            </w:tcBorders>
            <w:vAlign w:val="center"/>
          </w:tcPr>
          <w:p w14:paraId="1A3E3B05"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Effects of multidomain non-pharmacological interventions on cognition in participants with mild cognitive impairment: a systematic review and meta-analysis</w:t>
            </w:r>
          </w:p>
        </w:tc>
      </w:tr>
      <w:tr w:rsidR="00B9674C" w:rsidRPr="007D111D" w14:paraId="4E8A4D80" w14:textId="77777777" w:rsidTr="004C5501">
        <w:trPr>
          <w:trHeight w:val="270"/>
          <w:jc w:val="center"/>
        </w:trPr>
        <w:tc>
          <w:tcPr>
            <w:tcW w:w="1043" w:type="pct"/>
            <w:tcBorders>
              <w:top w:val="nil"/>
              <w:left w:val="nil"/>
              <w:bottom w:val="nil"/>
              <w:right w:val="nil"/>
            </w:tcBorders>
            <w:vAlign w:val="center"/>
          </w:tcPr>
          <w:p w14:paraId="03D376BE" w14:textId="2D554D70"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 xml:space="preserve">Salzman T et al. </w:t>
            </w:r>
            <w:r w:rsidRPr="00B9674C">
              <w:rPr>
                <w:rFonts w:eastAsia="Times New Roman" w:cs="Times New Roman"/>
                <w:color w:val="000000"/>
                <w:kern w:val="0"/>
                <w:sz w:val="20"/>
                <w:szCs w:val="20"/>
              </w:rPr>
              <w:t>[</w:t>
            </w:r>
            <w:r>
              <w:rPr>
                <w:rFonts w:cs="Times New Roman" w:hint="eastAsia"/>
                <w:color w:val="000000"/>
                <w:kern w:val="0"/>
                <w:sz w:val="20"/>
                <w:szCs w:val="20"/>
              </w:rPr>
              <w:t>31</w:t>
            </w:r>
            <w:r w:rsidRPr="00B9674C">
              <w:rPr>
                <w:rFonts w:eastAsia="Times New Roman" w:cs="Times New Roman"/>
                <w:color w:val="000000"/>
                <w:kern w:val="0"/>
                <w:sz w:val="20"/>
                <w:szCs w:val="20"/>
              </w:rPr>
              <w:t>]</w:t>
            </w:r>
          </w:p>
        </w:tc>
        <w:tc>
          <w:tcPr>
            <w:tcW w:w="417" w:type="pct"/>
            <w:tcBorders>
              <w:top w:val="nil"/>
              <w:left w:val="nil"/>
              <w:bottom w:val="nil"/>
              <w:right w:val="nil"/>
            </w:tcBorders>
            <w:vAlign w:val="center"/>
          </w:tcPr>
          <w:p w14:paraId="627F1656" w14:textId="5BD828D9"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2022</w:t>
            </w:r>
          </w:p>
        </w:tc>
        <w:tc>
          <w:tcPr>
            <w:tcW w:w="557" w:type="pct"/>
            <w:tcBorders>
              <w:top w:val="nil"/>
              <w:left w:val="nil"/>
              <w:bottom w:val="nil"/>
              <w:right w:val="nil"/>
            </w:tcBorders>
            <w:vAlign w:val="center"/>
          </w:tcPr>
          <w:p w14:paraId="4088CDBD" w14:textId="43956679"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PubMed</w:t>
            </w:r>
          </w:p>
        </w:tc>
        <w:tc>
          <w:tcPr>
            <w:tcW w:w="625" w:type="pct"/>
            <w:tcBorders>
              <w:top w:val="nil"/>
              <w:left w:val="nil"/>
              <w:bottom w:val="nil"/>
              <w:right w:val="nil"/>
            </w:tcBorders>
            <w:vAlign w:val="center"/>
          </w:tcPr>
          <w:p w14:paraId="5B49A619" w14:textId="0363DEA4"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Systematic Review</w:t>
            </w:r>
          </w:p>
        </w:tc>
        <w:tc>
          <w:tcPr>
            <w:tcW w:w="2358" w:type="pct"/>
            <w:tcBorders>
              <w:top w:val="nil"/>
              <w:left w:val="nil"/>
              <w:bottom w:val="nil"/>
              <w:right w:val="nil"/>
            </w:tcBorders>
            <w:vAlign w:val="center"/>
          </w:tcPr>
          <w:p w14:paraId="3375F023" w14:textId="0744DA52"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Associations of multidomain interventions with improvements in cognition in mild cognitive impairment: a systematic review and meta-analysis</w:t>
            </w:r>
          </w:p>
        </w:tc>
      </w:tr>
      <w:tr w:rsidR="00B9674C" w:rsidRPr="007D111D" w14:paraId="184834D0" w14:textId="77777777" w:rsidTr="004C5501">
        <w:trPr>
          <w:trHeight w:val="270"/>
          <w:jc w:val="center"/>
        </w:trPr>
        <w:tc>
          <w:tcPr>
            <w:tcW w:w="1043" w:type="pct"/>
            <w:tcBorders>
              <w:top w:val="nil"/>
              <w:left w:val="nil"/>
              <w:bottom w:val="nil"/>
              <w:right w:val="nil"/>
            </w:tcBorders>
            <w:vAlign w:val="center"/>
          </w:tcPr>
          <w:p w14:paraId="431AD89B" w14:textId="791FD6B1"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 xml:space="preserve">Sakurai, T et al. </w:t>
            </w:r>
            <w:r w:rsidRPr="007D111D">
              <w:rPr>
                <w:rFonts w:eastAsia="Times New Roman" w:cs="Times New Roman"/>
                <w:color w:val="000000"/>
                <w:kern w:val="0"/>
                <w:sz w:val="20"/>
                <w:szCs w:val="20"/>
              </w:rPr>
              <w:fldChar w:fldCharType="begin">
                <w:fldData xml:space="preserve">PEVuZE5vdGU+PENpdGU+PEF1dGhvcj5TYWt1cmFpPC9BdXRob3I+PFllYXI+MjAyNDwvWWVhcj48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</w:fldData>
              </w:fldChar>
            </w:r>
            <w:r w:rsidRPr="007D111D">
              <w:rPr>
                <w:rFonts w:eastAsia="Times New Roman" w:cs="Times New Roman"/>
                <w:color w:val="000000"/>
                <w:kern w:val="0"/>
                <w:sz w:val="20"/>
                <w:szCs w:val="20"/>
              </w:rPr>
              <w:instrText xml:space="preserve"> ADDIN EN.CITE </w:instrText>
            </w:r>
            <w:r w:rsidRPr="007D111D">
              <w:rPr>
                <w:rFonts w:eastAsia="Times New Roman" w:cs="Times New Roman"/>
                <w:color w:val="000000"/>
                <w:kern w:val="0"/>
                <w:sz w:val="20"/>
                <w:szCs w:val="20"/>
              </w:rPr>
              <w:fldChar w:fldCharType="begin">
                <w:fldData xml:space="preserve">PEVuZE5vdGU+PENpdGU+PEF1dGhvcj5TYWt1cmFpPC9BdXRob3I+PFllYXI+MjAyNDwvWWVhcj48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</w:fldData>
              </w:fldChar>
            </w:r>
            <w:r w:rsidRPr="007D111D">
              <w:rPr>
                <w:rFonts w:eastAsia="Times New Roman" w:cs="Times New Roman"/>
                <w:color w:val="000000"/>
                <w:kern w:val="0"/>
                <w:sz w:val="20"/>
                <w:szCs w:val="20"/>
              </w:rPr>
              <w:instrText xml:space="preserve"> ADDIN EN.CITE.DATA </w:instrText>
            </w:r>
            <w:r w:rsidRPr="007D111D">
              <w:rPr>
                <w:rFonts w:eastAsia="Times New Roman" w:cs="Times New Roman"/>
                <w:color w:val="000000"/>
                <w:kern w:val="0"/>
                <w:sz w:val="20"/>
                <w:szCs w:val="20"/>
              </w:rPr>
            </w:r>
            <w:r w:rsidRPr="007D111D">
              <w:rPr>
                <w:rFonts w:eastAsia="Times New Roman" w:cs="Times New Roman"/>
                <w:color w:val="000000"/>
                <w:kern w:val="0"/>
                <w:sz w:val="20"/>
                <w:szCs w:val="20"/>
              </w:rPr>
              <w:fldChar w:fldCharType="end"/>
            </w:r>
            <w:r w:rsidRPr="007D111D">
              <w:rPr>
                <w:rFonts w:eastAsia="Times New Roman" w:cs="Times New Roman"/>
                <w:color w:val="000000"/>
                <w:kern w:val="0"/>
                <w:sz w:val="20"/>
                <w:szCs w:val="20"/>
              </w:rPr>
            </w:r>
            <w:r w:rsidRPr="007D111D">
              <w:rPr>
                <w:rFonts w:eastAsia="Times New Roman" w:cs="Times New Roman"/>
                <w:color w:val="000000"/>
                <w:kern w:val="0"/>
                <w:sz w:val="20"/>
                <w:szCs w:val="20"/>
              </w:rPr>
              <w:fldChar w:fldCharType="separate"/>
            </w:r>
            <w:r w:rsidRPr="007D111D">
              <w:rPr>
                <w:rFonts w:eastAsia="Times New Roman" w:cs="Times New Roman"/>
                <w:noProof/>
                <w:color w:val="000000"/>
                <w:kern w:val="0"/>
                <w:sz w:val="20"/>
                <w:szCs w:val="20"/>
              </w:rPr>
              <w:t>[7]</w:t>
            </w:r>
            <w:r w:rsidRPr="007D111D">
              <w:rPr>
                <w:rFonts w:eastAsia="Times New Roman" w:cs="Times New Roman"/>
                <w:color w:val="000000"/>
                <w:kern w:val="0"/>
                <w:sz w:val="20"/>
                <w:szCs w:val="20"/>
              </w:rPr>
              <w:fldChar w:fldCharType="end"/>
            </w:r>
          </w:p>
        </w:tc>
        <w:tc>
          <w:tcPr>
            <w:tcW w:w="417" w:type="pct"/>
            <w:tcBorders>
              <w:top w:val="nil"/>
              <w:left w:val="nil"/>
              <w:bottom w:val="nil"/>
              <w:right w:val="nil"/>
            </w:tcBorders>
            <w:vAlign w:val="center"/>
          </w:tcPr>
          <w:p w14:paraId="77F48686" w14:textId="557C3A63"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2024</w:t>
            </w:r>
          </w:p>
        </w:tc>
        <w:tc>
          <w:tcPr>
            <w:tcW w:w="557" w:type="pct"/>
            <w:tcBorders>
              <w:top w:val="nil"/>
              <w:left w:val="nil"/>
              <w:bottom w:val="nil"/>
              <w:right w:val="nil"/>
            </w:tcBorders>
            <w:vAlign w:val="center"/>
          </w:tcPr>
          <w:p w14:paraId="7AD9C92C" w14:textId="19D8CBFF"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PubMed</w:t>
            </w:r>
          </w:p>
        </w:tc>
        <w:tc>
          <w:tcPr>
            <w:tcW w:w="625" w:type="pct"/>
            <w:tcBorders>
              <w:top w:val="nil"/>
              <w:left w:val="nil"/>
              <w:bottom w:val="nil"/>
              <w:right w:val="nil"/>
            </w:tcBorders>
            <w:vAlign w:val="center"/>
          </w:tcPr>
          <w:p w14:paraId="10079EFD" w14:textId="2D16BBEC"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Randomized Controlled Trial</w:t>
            </w:r>
          </w:p>
        </w:tc>
        <w:tc>
          <w:tcPr>
            <w:tcW w:w="2358" w:type="pct"/>
            <w:tcBorders>
              <w:top w:val="nil"/>
              <w:left w:val="nil"/>
              <w:bottom w:val="nil"/>
              <w:right w:val="nil"/>
            </w:tcBorders>
            <w:vAlign w:val="center"/>
          </w:tcPr>
          <w:p w14:paraId="0F6B0915" w14:textId="5C340EBF"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Japan multidomain intervention trial for the prevention of dementia: a randomized controlled trial</w:t>
            </w:r>
          </w:p>
        </w:tc>
      </w:tr>
      <w:tr w:rsidR="00B9674C" w:rsidRPr="007D111D" w14:paraId="329432FD" w14:textId="77777777" w:rsidTr="004C5501">
        <w:trPr>
          <w:trHeight w:val="525"/>
          <w:jc w:val="center"/>
        </w:trPr>
        <w:tc>
          <w:tcPr>
            <w:tcW w:w="1043" w:type="pct"/>
            <w:tcBorders>
              <w:top w:val="nil"/>
              <w:left w:val="nil"/>
              <w:bottom w:val="nil"/>
              <w:right w:val="nil"/>
            </w:tcBorders>
            <w:vAlign w:val="center"/>
          </w:tcPr>
          <w:p w14:paraId="57CF9124" w14:textId="64DD5250"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lang w:val="de-DE"/>
              </w:rPr>
              <w:t xml:space="preserve">Yang, Q. H et al. </w:t>
            </w:r>
            <w:r w:rsidRPr="00B9674C">
              <w:rPr>
                <w:rFonts w:eastAsia="Times New Roman" w:cs="Times New Roman"/>
                <w:color w:val="000000"/>
                <w:kern w:val="0"/>
                <w:sz w:val="20"/>
                <w:szCs w:val="20"/>
              </w:rPr>
              <w:t>[</w:t>
            </w:r>
            <w:r>
              <w:rPr>
                <w:rFonts w:cs="Times New Roman" w:hint="eastAsia"/>
                <w:color w:val="000000"/>
                <w:kern w:val="0"/>
                <w:sz w:val="20"/>
                <w:szCs w:val="20"/>
              </w:rPr>
              <w:t>32</w:t>
            </w:r>
            <w:r w:rsidRPr="00B9674C">
              <w:rPr>
                <w:rFonts w:eastAsia="Times New Roman" w:cs="Times New Roman"/>
                <w:color w:val="000000"/>
                <w:kern w:val="0"/>
                <w:sz w:val="20"/>
                <w:szCs w:val="20"/>
              </w:rPr>
              <w:t>]</w:t>
            </w:r>
          </w:p>
        </w:tc>
        <w:tc>
          <w:tcPr>
            <w:tcW w:w="417" w:type="pct"/>
            <w:tcBorders>
              <w:top w:val="nil"/>
              <w:left w:val="nil"/>
              <w:bottom w:val="nil"/>
              <w:right w:val="nil"/>
            </w:tcBorders>
            <w:vAlign w:val="center"/>
          </w:tcPr>
          <w:p w14:paraId="510008D7" w14:textId="19ABC578"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2022</w:t>
            </w:r>
          </w:p>
        </w:tc>
        <w:tc>
          <w:tcPr>
            <w:tcW w:w="557" w:type="pct"/>
            <w:tcBorders>
              <w:top w:val="nil"/>
              <w:left w:val="nil"/>
              <w:bottom w:val="nil"/>
              <w:right w:val="nil"/>
            </w:tcBorders>
            <w:vAlign w:val="center"/>
          </w:tcPr>
          <w:p w14:paraId="095FF620" w14:textId="6DC3507A"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PubMed</w:t>
            </w:r>
          </w:p>
        </w:tc>
        <w:tc>
          <w:tcPr>
            <w:tcW w:w="625" w:type="pct"/>
            <w:tcBorders>
              <w:top w:val="nil"/>
              <w:left w:val="nil"/>
              <w:bottom w:val="nil"/>
              <w:right w:val="nil"/>
            </w:tcBorders>
            <w:vAlign w:val="center"/>
          </w:tcPr>
          <w:p w14:paraId="4171F12F" w14:textId="78F347E3"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Randomized Controlled Trial</w:t>
            </w:r>
          </w:p>
        </w:tc>
        <w:tc>
          <w:tcPr>
            <w:tcW w:w="2358" w:type="pct"/>
            <w:tcBorders>
              <w:top w:val="nil"/>
              <w:left w:val="nil"/>
              <w:bottom w:val="nil"/>
              <w:right w:val="nil"/>
            </w:tcBorders>
            <w:vAlign w:val="center"/>
          </w:tcPr>
          <w:p w14:paraId="4B3E5D75" w14:textId="2819BB23" w:rsidR="00B9674C" w:rsidRPr="007D111D" w:rsidRDefault="00B9674C" w:rsidP="00B9674C">
            <w:pPr>
              <w:widowControl/>
              <w:snapToGrid w:val="0"/>
              <w:rPr>
                <w:rFonts w:eastAsia="Times New Roman" w:cs="Times New Roman"/>
                <w:color w:val="000000"/>
                <w:kern w:val="0"/>
                <w:sz w:val="20"/>
                <w:szCs w:val="20"/>
              </w:rPr>
            </w:pPr>
            <w:r w:rsidRPr="007D111D">
              <w:rPr>
                <w:rFonts w:eastAsia="Times New Roman" w:cs="Times New Roman"/>
                <w:color w:val="000000"/>
                <w:kern w:val="0"/>
                <w:sz w:val="20"/>
                <w:szCs w:val="20"/>
              </w:rPr>
              <w:t>Effects of a multicomponent intervention to slow mild cognitive impairment progression: a randomized controlled trial</w:t>
            </w:r>
          </w:p>
        </w:tc>
      </w:tr>
      <w:tr w:rsidR="00B9674C" w:rsidRPr="007D111D" w14:paraId="24AA8E09" w14:textId="77777777" w:rsidTr="004C5501">
        <w:trPr>
          <w:trHeight w:val="270"/>
          <w:jc w:val="center"/>
        </w:trPr>
        <w:tc>
          <w:tcPr>
            <w:tcW w:w="1043" w:type="pct"/>
            <w:tcBorders>
              <w:top w:val="nil"/>
              <w:left w:val="nil"/>
              <w:bottom w:val="nil"/>
              <w:right w:val="nil"/>
            </w:tcBorders>
            <w:vAlign w:val="center"/>
          </w:tcPr>
          <w:p w14:paraId="5D4F2862" w14:textId="4A257865"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 xml:space="preserve">Moon SY et al. </w:t>
            </w:r>
            <w:r w:rsidRPr="00B9674C">
              <w:rPr>
                <w:rFonts w:eastAsia="Times New Roman" w:cs="Times New Roman"/>
                <w:color w:val="000000"/>
                <w:kern w:val="0"/>
                <w:sz w:val="20"/>
                <w:szCs w:val="20"/>
              </w:rPr>
              <w:t>[</w:t>
            </w:r>
            <w:r>
              <w:rPr>
                <w:rFonts w:cs="Times New Roman" w:hint="eastAsia"/>
                <w:color w:val="000000"/>
                <w:kern w:val="0"/>
                <w:sz w:val="20"/>
                <w:szCs w:val="20"/>
              </w:rPr>
              <w:t>33</w:t>
            </w:r>
            <w:r w:rsidRPr="00B9674C">
              <w:rPr>
                <w:rFonts w:eastAsia="Times New Roman" w:cs="Times New Roman"/>
                <w:color w:val="000000"/>
                <w:kern w:val="0"/>
                <w:sz w:val="20"/>
                <w:szCs w:val="20"/>
              </w:rPr>
              <w:t>]</w:t>
            </w:r>
          </w:p>
        </w:tc>
        <w:tc>
          <w:tcPr>
            <w:tcW w:w="417" w:type="pct"/>
            <w:tcBorders>
              <w:top w:val="nil"/>
              <w:left w:val="nil"/>
              <w:bottom w:val="nil"/>
              <w:right w:val="nil"/>
            </w:tcBorders>
            <w:vAlign w:val="center"/>
          </w:tcPr>
          <w:p w14:paraId="40CD2320" w14:textId="05802E07"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2025</w:t>
            </w:r>
          </w:p>
        </w:tc>
        <w:tc>
          <w:tcPr>
            <w:tcW w:w="557" w:type="pct"/>
            <w:tcBorders>
              <w:top w:val="nil"/>
              <w:left w:val="nil"/>
              <w:bottom w:val="nil"/>
              <w:right w:val="nil"/>
            </w:tcBorders>
            <w:vAlign w:val="center"/>
          </w:tcPr>
          <w:p w14:paraId="18C94F34" w14:textId="41D85073"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PubMed</w:t>
            </w:r>
          </w:p>
        </w:tc>
        <w:tc>
          <w:tcPr>
            <w:tcW w:w="625" w:type="pct"/>
            <w:tcBorders>
              <w:top w:val="nil"/>
              <w:left w:val="nil"/>
              <w:bottom w:val="nil"/>
              <w:right w:val="nil"/>
            </w:tcBorders>
            <w:vAlign w:val="center"/>
          </w:tcPr>
          <w:p w14:paraId="7DF049CA" w14:textId="0347A25E"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Randomized Controlled Trial</w:t>
            </w:r>
          </w:p>
        </w:tc>
        <w:tc>
          <w:tcPr>
            <w:tcW w:w="2358" w:type="pct"/>
            <w:tcBorders>
              <w:top w:val="nil"/>
              <w:left w:val="nil"/>
              <w:bottom w:val="nil"/>
              <w:right w:val="nil"/>
            </w:tcBorders>
            <w:vAlign w:val="center"/>
          </w:tcPr>
          <w:p w14:paraId="064BCAAA" w14:textId="3F439D2F"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South Korean study to prevent cognitive impairment and promote brain health through multidomain interventions via face-to-face and video communication platforms in mild cognitive impairment (SUPERBRAIN-MEET): a randomized controlled trial</w:t>
            </w:r>
          </w:p>
        </w:tc>
      </w:tr>
      <w:tr w:rsidR="00C55D34" w:rsidRPr="007D111D" w14:paraId="5DBEA281" w14:textId="77777777" w:rsidTr="004C5501">
        <w:trPr>
          <w:trHeight w:val="270"/>
          <w:jc w:val="center"/>
        </w:trPr>
        <w:tc>
          <w:tcPr>
            <w:tcW w:w="1043" w:type="pct"/>
            <w:tcBorders>
              <w:top w:val="nil"/>
              <w:left w:val="nil"/>
              <w:bottom w:val="nil"/>
              <w:right w:val="nil"/>
            </w:tcBorders>
            <w:vAlign w:val="center"/>
          </w:tcPr>
          <w:p w14:paraId="3E17C48A" w14:textId="5B9FB4B6"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 xml:space="preserve">Fan, M et al. </w:t>
            </w:r>
            <w:r w:rsidR="00B9674C" w:rsidRPr="00B9674C">
              <w:rPr>
                <w:rFonts w:eastAsia="Times New Roman" w:cs="Times New Roman"/>
                <w:color w:val="000000"/>
                <w:kern w:val="0"/>
                <w:sz w:val="20"/>
                <w:szCs w:val="20"/>
              </w:rPr>
              <w:t>[</w:t>
            </w:r>
            <w:r w:rsidR="00B9674C">
              <w:rPr>
                <w:rFonts w:cs="Times New Roman" w:hint="eastAsia"/>
                <w:color w:val="000000"/>
                <w:kern w:val="0"/>
                <w:sz w:val="20"/>
                <w:szCs w:val="20"/>
              </w:rPr>
              <w:t>34</w:t>
            </w:r>
            <w:r w:rsidR="00B9674C" w:rsidRPr="00B9674C">
              <w:rPr>
                <w:rFonts w:eastAsia="Times New Roman" w:cs="Times New Roman"/>
                <w:color w:val="000000"/>
                <w:kern w:val="0"/>
                <w:sz w:val="20"/>
                <w:szCs w:val="20"/>
              </w:rPr>
              <w:t>]</w:t>
            </w:r>
          </w:p>
        </w:tc>
        <w:tc>
          <w:tcPr>
            <w:tcW w:w="417" w:type="pct"/>
            <w:tcBorders>
              <w:top w:val="nil"/>
              <w:left w:val="nil"/>
              <w:bottom w:val="nil"/>
              <w:right w:val="nil"/>
            </w:tcBorders>
            <w:vAlign w:val="center"/>
          </w:tcPr>
          <w:p w14:paraId="30DBB0BC"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2024</w:t>
            </w:r>
          </w:p>
        </w:tc>
        <w:tc>
          <w:tcPr>
            <w:tcW w:w="557" w:type="pct"/>
            <w:tcBorders>
              <w:top w:val="nil"/>
              <w:left w:val="nil"/>
              <w:bottom w:val="nil"/>
              <w:right w:val="nil"/>
            </w:tcBorders>
            <w:vAlign w:val="center"/>
          </w:tcPr>
          <w:p w14:paraId="7717E486"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PubMed</w:t>
            </w:r>
          </w:p>
        </w:tc>
        <w:tc>
          <w:tcPr>
            <w:tcW w:w="625" w:type="pct"/>
            <w:tcBorders>
              <w:top w:val="nil"/>
              <w:left w:val="nil"/>
              <w:bottom w:val="nil"/>
              <w:right w:val="nil"/>
            </w:tcBorders>
            <w:vAlign w:val="center"/>
          </w:tcPr>
          <w:p w14:paraId="6AA6ECC7"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Randomized Controlled Trial</w:t>
            </w:r>
          </w:p>
        </w:tc>
        <w:tc>
          <w:tcPr>
            <w:tcW w:w="2358" w:type="pct"/>
            <w:tcBorders>
              <w:top w:val="nil"/>
              <w:left w:val="nil"/>
              <w:bottom w:val="nil"/>
              <w:right w:val="nil"/>
            </w:tcBorders>
            <w:vAlign w:val="center"/>
          </w:tcPr>
          <w:p w14:paraId="20D67120"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Effect of multidomain intervention in individuals with mild cognitive impairment: a randomized clinical trial in Shanghai</w:t>
            </w:r>
          </w:p>
        </w:tc>
      </w:tr>
      <w:tr w:rsidR="00B9674C" w:rsidRPr="007D111D" w14:paraId="5648AEDB" w14:textId="77777777" w:rsidTr="004C5501">
        <w:trPr>
          <w:trHeight w:val="270"/>
          <w:jc w:val="center"/>
        </w:trPr>
        <w:tc>
          <w:tcPr>
            <w:tcW w:w="1043" w:type="pct"/>
            <w:tcBorders>
              <w:top w:val="nil"/>
              <w:left w:val="nil"/>
              <w:bottom w:val="nil"/>
              <w:right w:val="nil"/>
            </w:tcBorders>
            <w:vAlign w:val="center"/>
          </w:tcPr>
          <w:p w14:paraId="756D0C72" w14:textId="01701283"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 xml:space="preserve">Bae, S et al. </w:t>
            </w:r>
            <w:r w:rsidRPr="00B9674C">
              <w:rPr>
                <w:rFonts w:eastAsia="Times New Roman" w:cs="Times New Roman"/>
                <w:color w:val="000000"/>
                <w:kern w:val="0"/>
                <w:sz w:val="20"/>
                <w:szCs w:val="20"/>
              </w:rPr>
              <w:t>[</w:t>
            </w:r>
            <w:r>
              <w:rPr>
                <w:rFonts w:cs="Times New Roman" w:hint="eastAsia"/>
                <w:color w:val="000000"/>
                <w:kern w:val="0"/>
                <w:sz w:val="20"/>
                <w:szCs w:val="20"/>
              </w:rPr>
              <w:t>35</w:t>
            </w:r>
            <w:r w:rsidRPr="00B9674C">
              <w:rPr>
                <w:rFonts w:eastAsia="Times New Roman" w:cs="Times New Roman"/>
                <w:color w:val="000000"/>
                <w:kern w:val="0"/>
                <w:sz w:val="20"/>
                <w:szCs w:val="20"/>
              </w:rPr>
              <w:t>]</w:t>
            </w:r>
          </w:p>
        </w:tc>
        <w:tc>
          <w:tcPr>
            <w:tcW w:w="417" w:type="pct"/>
            <w:tcBorders>
              <w:top w:val="nil"/>
              <w:left w:val="nil"/>
              <w:bottom w:val="nil"/>
              <w:right w:val="nil"/>
            </w:tcBorders>
            <w:vAlign w:val="center"/>
          </w:tcPr>
          <w:p w14:paraId="73836C98" w14:textId="0DDCCA8D"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2019</w:t>
            </w:r>
          </w:p>
        </w:tc>
        <w:tc>
          <w:tcPr>
            <w:tcW w:w="557" w:type="pct"/>
            <w:tcBorders>
              <w:top w:val="nil"/>
              <w:left w:val="nil"/>
              <w:bottom w:val="nil"/>
              <w:right w:val="nil"/>
            </w:tcBorders>
            <w:vAlign w:val="center"/>
          </w:tcPr>
          <w:p w14:paraId="13E9F4BD" w14:textId="17602BF1"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PubMed</w:t>
            </w:r>
          </w:p>
        </w:tc>
        <w:tc>
          <w:tcPr>
            <w:tcW w:w="625" w:type="pct"/>
            <w:tcBorders>
              <w:top w:val="nil"/>
              <w:left w:val="nil"/>
              <w:bottom w:val="nil"/>
              <w:right w:val="nil"/>
            </w:tcBorders>
            <w:vAlign w:val="center"/>
          </w:tcPr>
          <w:p w14:paraId="115EB155" w14:textId="2A8948C9"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Randomized Controlled Trial</w:t>
            </w:r>
          </w:p>
        </w:tc>
        <w:tc>
          <w:tcPr>
            <w:tcW w:w="2358" w:type="pct"/>
            <w:tcBorders>
              <w:top w:val="nil"/>
              <w:left w:val="nil"/>
              <w:bottom w:val="nil"/>
              <w:right w:val="nil"/>
            </w:tcBorders>
            <w:vAlign w:val="center"/>
          </w:tcPr>
          <w:p w14:paraId="78C5C5F8" w14:textId="4F890C41" w:rsidR="00B9674C" w:rsidRPr="007D111D" w:rsidRDefault="00B9674C" w:rsidP="00B9674C">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Effect of a multicomponent intervention to promote community activity on cognitive function in older adults with mild cognitive impairment: a randomized controlled trial</w:t>
            </w:r>
          </w:p>
        </w:tc>
      </w:tr>
      <w:tr w:rsidR="00C55D34" w:rsidRPr="007D111D" w14:paraId="76CF25D2" w14:textId="77777777" w:rsidTr="004C5501">
        <w:trPr>
          <w:trHeight w:val="510"/>
          <w:jc w:val="center"/>
        </w:trPr>
        <w:tc>
          <w:tcPr>
            <w:tcW w:w="1043" w:type="pct"/>
            <w:tcBorders>
              <w:top w:val="nil"/>
              <w:left w:val="nil"/>
              <w:bottom w:val="nil"/>
              <w:right w:val="nil"/>
            </w:tcBorders>
            <w:vAlign w:val="center"/>
          </w:tcPr>
          <w:p w14:paraId="3D68F9D3" w14:textId="47FF4A52"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 xml:space="preserve">Jeong, M. K. et al. </w:t>
            </w:r>
            <w:r w:rsidR="00B9674C" w:rsidRPr="00B9674C">
              <w:rPr>
                <w:rFonts w:eastAsia="Times New Roman" w:cs="Times New Roman"/>
                <w:color w:val="000000"/>
                <w:kern w:val="0"/>
                <w:sz w:val="20"/>
                <w:szCs w:val="20"/>
              </w:rPr>
              <w:t>[</w:t>
            </w:r>
            <w:r w:rsidR="00B9674C">
              <w:rPr>
                <w:rFonts w:cs="Times New Roman" w:hint="eastAsia"/>
                <w:color w:val="000000"/>
                <w:kern w:val="0"/>
                <w:sz w:val="20"/>
                <w:szCs w:val="20"/>
              </w:rPr>
              <w:t>36</w:t>
            </w:r>
            <w:r w:rsidR="00B9674C" w:rsidRPr="00B9674C">
              <w:rPr>
                <w:rFonts w:eastAsia="Times New Roman" w:cs="Times New Roman"/>
                <w:color w:val="000000"/>
                <w:kern w:val="0"/>
                <w:sz w:val="20"/>
                <w:szCs w:val="20"/>
              </w:rPr>
              <w:t>]</w:t>
            </w:r>
          </w:p>
        </w:tc>
        <w:tc>
          <w:tcPr>
            <w:tcW w:w="417" w:type="pct"/>
            <w:tcBorders>
              <w:top w:val="nil"/>
              <w:left w:val="nil"/>
              <w:bottom w:val="nil"/>
              <w:right w:val="nil"/>
            </w:tcBorders>
            <w:vAlign w:val="center"/>
          </w:tcPr>
          <w:p w14:paraId="7F44ED90"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2021</w:t>
            </w:r>
          </w:p>
        </w:tc>
        <w:tc>
          <w:tcPr>
            <w:tcW w:w="557" w:type="pct"/>
            <w:tcBorders>
              <w:top w:val="nil"/>
              <w:left w:val="nil"/>
              <w:bottom w:val="nil"/>
              <w:right w:val="nil"/>
            </w:tcBorders>
            <w:vAlign w:val="center"/>
          </w:tcPr>
          <w:p w14:paraId="125AAC52"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PubMed</w:t>
            </w:r>
          </w:p>
        </w:tc>
        <w:tc>
          <w:tcPr>
            <w:tcW w:w="625" w:type="pct"/>
            <w:tcBorders>
              <w:top w:val="nil"/>
              <w:left w:val="nil"/>
              <w:bottom w:val="nil"/>
              <w:right w:val="nil"/>
            </w:tcBorders>
            <w:vAlign w:val="center"/>
          </w:tcPr>
          <w:p w14:paraId="3B9174C5"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Randomized Controlled Trial</w:t>
            </w:r>
          </w:p>
        </w:tc>
        <w:tc>
          <w:tcPr>
            <w:tcW w:w="2358" w:type="pct"/>
            <w:tcBorders>
              <w:top w:val="nil"/>
              <w:left w:val="nil"/>
              <w:bottom w:val="nil"/>
              <w:right w:val="nil"/>
            </w:tcBorders>
            <w:vAlign w:val="center"/>
          </w:tcPr>
          <w:p w14:paraId="56397F22"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Multicomponent intervention program on habitual physical activity parameters and cognitive function in patients with mild cognitive impairment: a randomized controlled trial</w:t>
            </w:r>
          </w:p>
        </w:tc>
      </w:tr>
      <w:tr w:rsidR="00C55D34" w:rsidRPr="007D111D" w14:paraId="0C1F4785" w14:textId="77777777" w:rsidTr="004C5501">
        <w:trPr>
          <w:trHeight w:val="263"/>
          <w:jc w:val="center"/>
        </w:trPr>
        <w:tc>
          <w:tcPr>
            <w:tcW w:w="1043" w:type="pct"/>
            <w:tcBorders>
              <w:top w:val="nil"/>
              <w:left w:val="nil"/>
              <w:bottom w:val="single" w:sz="4" w:space="0" w:color="auto"/>
              <w:right w:val="nil"/>
            </w:tcBorders>
            <w:vAlign w:val="center"/>
          </w:tcPr>
          <w:p w14:paraId="098EFE5C" w14:textId="1B2E24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 xml:space="preserve">Zhang RF et al. </w:t>
            </w:r>
            <w:r w:rsidR="00B9674C" w:rsidRPr="00B9674C">
              <w:rPr>
                <w:rFonts w:eastAsia="Times New Roman" w:cs="Times New Roman"/>
                <w:color w:val="000000"/>
                <w:kern w:val="0"/>
                <w:sz w:val="20"/>
                <w:szCs w:val="20"/>
              </w:rPr>
              <w:t>[</w:t>
            </w:r>
            <w:r w:rsidR="00B9674C">
              <w:rPr>
                <w:rFonts w:cs="Times New Roman" w:hint="eastAsia"/>
                <w:color w:val="000000"/>
                <w:kern w:val="0"/>
                <w:sz w:val="20"/>
                <w:szCs w:val="20"/>
              </w:rPr>
              <w:t>37</w:t>
            </w:r>
            <w:r w:rsidR="00B9674C" w:rsidRPr="00B9674C">
              <w:rPr>
                <w:rFonts w:eastAsia="Times New Roman" w:cs="Times New Roman"/>
                <w:color w:val="000000"/>
                <w:kern w:val="0"/>
                <w:sz w:val="20"/>
                <w:szCs w:val="20"/>
              </w:rPr>
              <w:t>]</w:t>
            </w:r>
          </w:p>
        </w:tc>
        <w:tc>
          <w:tcPr>
            <w:tcW w:w="417" w:type="pct"/>
            <w:tcBorders>
              <w:top w:val="nil"/>
              <w:left w:val="nil"/>
              <w:bottom w:val="single" w:sz="4" w:space="0" w:color="auto"/>
              <w:right w:val="nil"/>
            </w:tcBorders>
            <w:vAlign w:val="center"/>
          </w:tcPr>
          <w:p w14:paraId="4DC0B75C"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2024</w:t>
            </w:r>
          </w:p>
        </w:tc>
        <w:tc>
          <w:tcPr>
            <w:tcW w:w="557" w:type="pct"/>
            <w:tcBorders>
              <w:top w:val="nil"/>
              <w:left w:val="nil"/>
              <w:bottom w:val="single" w:sz="4" w:space="0" w:color="auto"/>
              <w:right w:val="nil"/>
            </w:tcBorders>
            <w:vAlign w:val="center"/>
          </w:tcPr>
          <w:p w14:paraId="75471724"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CNKI</w:t>
            </w:r>
          </w:p>
        </w:tc>
        <w:tc>
          <w:tcPr>
            <w:tcW w:w="625" w:type="pct"/>
            <w:tcBorders>
              <w:top w:val="nil"/>
              <w:left w:val="nil"/>
              <w:bottom w:val="single" w:sz="4" w:space="0" w:color="auto"/>
              <w:right w:val="nil"/>
            </w:tcBorders>
            <w:vAlign w:val="center"/>
          </w:tcPr>
          <w:p w14:paraId="434FAE4C"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Quasi-experimental study</w:t>
            </w:r>
          </w:p>
        </w:tc>
        <w:tc>
          <w:tcPr>
            <w:tcW w:w="2358" w:type="pct"/>
            <w:tcBorders>
              <w:top w:val="nil"/>
              <w:left w:val="nil"/>
              <w:bottom w:val="single" w:sz="4" w:space="0" w:color="auto"/>
              <w:right w:val="nil"/>
            </w:tcBorders>
            <w:vAlign w:val="center"/>
          </w:tcPr>
          <w:p w14:paraId="62DE7AF0" w14:textId="77777777" w:rsidR="00C55D34" w:rsidRPr="007D111D" w:rsidRDefault="00C55D34" w:rsidP="00C01F9F">
            <w:pPr>
              <w:widowControl/>
              <w:snapToGrid w:val="0"/>
              <w:rPr>
                <w:rFonts w:eastAsia="宋体" w:cs="Times New Roman"/>
                <w:color w:val="000000"/>
                <w:kern w:val="0"/>
                <w:sz w:val="20"/>
                <w:szCs w:val="20"/>
              </w:rPr>
            </w:pPr>
            <w:r w:rsidRPr="007D111D">
              <w:rPr>
                <w:rFonts w:eastAsia="Times New Roman" w:cs="Times New Roman"/>
                <w:color w:val="000000"/>
                <w:kern w:val="0"/>
                <w:sz w:val="20"/>
                <w:szCs w:val="20"/>
              </w:rPr>
              <w:t>Effects of multidomain nursing interventions on patients with mild cognitive impairment</w:t>
            </w:r>
          </w:p>
        </w:tc>
      </w:tr>
    </w:tbl>
    <w:p w14:paraId="5B98D3F0" w14:textId="77777777" w:rsidR="00DE2065" w:rsidRDefault="00DE2065">
      <w:pPr>
        <w:rPr>
          <w:b/>
          <w:bCs/>
          <w:sz w:val="24"/>
          <w:szCs w:val="32"/>
        </w:rPr>
      </w:pPr>
    </w:p>
    <w:p w14:paraId="4ED577AF" w14:textId="6D28E188" w:rsidR="00DE2065" w:rsidRDefault="00DE2065">
      <w:pPr>
        <w:rPr>
          <w:rFonts w:hint="eastAsia"/>
          <w:b/>
          <w:bCs/>
          <w:sz w:val="24"/>
          <w:szCs w:val="32"/>
        </w:rPr>
      </w:pPr>
      <w:r w:rsidRPr="00C55D34">
        <w:rPr>
          <w:b/>
          <w:bCs/>
          <w:sz w:val="24"/>
          <w:szCs w:val="32"/>
        </w:rPr>
        <w:t>Supplementary Table S</w:t>
      </w:r>
      <w:r>
        <w:rPr>
          <w:rFonts w:hint="eastAsia"/>
          <w:b/>
          <w:bCs/>
          <w:sz w:val="24"/>
          <w:szCs w:val="32"/>
        </w:rPr>
        <w:t xml:space="preserve">3 </w:t>
      </w:r>
      <w:r w:rsidRPr="00DE2065">
        <w:rPr>
          <w:b/>
          <w:bCs/>
          <w:sz w:val="24"/>
          <w:szCs w:val="32"/>
        </w:rPr>
        <w:t>The multidomain intervention implementation plan for patients with MCI based on MTM</w:t>
      </w:r>
    </w:p>
    <w:p w14:paraId="639FD25F" w14:textId="0B67B92C" w:rsidR="00DE2065" w:rsidRDefault="00DE2065" w:rsidP="00DE2065">
      <w:pPr>
        <w:spacing w:line="300" w:lineRule="auto"/>
        <w:jc w:val="center"/>
        <w:rPr>
          <w:rFonts w:eastAsia="宋体" w:cs="Times New Roman"/>
          <w:szCs w:val="21"/>
        </w:rPr>
      </w:pPr>
      <w:r>
        <w:rPr>
          <w:rFonts w:eastAsia="宋体" w:cs="Times New Roman" w:hint="eastAsia"/>
          <w:szCs w:val="21"/>
        </w:rPr>
        <w:t xml:space="preserve">Table </w:t>
      </w:r>
      <w:r>
        <w:rPr>
          <w:rFonts w:eastAsia="宋体" w:cs="Times New Roman" w:hint="eastAsia"/>
          <w:szCs w:val="21"/>
        </w:rPr>
        <w:t>S3</w:t>
      </w:r>
      <w:r>
        <w:rPr>
          <w:rFonts w:eastAsia="宋体" w:cs="Times New Roman" w:hint="eastAsia"/>
          <w:szCs w:val="21"/>
        </w:rPr>
        <w:t>. Multidomain intervention implementation plan for patients with MCI based on MTM</w:t>
      </w:r>
    </w:p>
    <w:tbl>
      <w:tblPr>
        <w:tblStyle w:val="af2"/>
        <w:tblW w:w="11520"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5"/>
        <w:gridCol w:w="1461"/>
        <w:gridCol w:w="1503"/>
        <w:gridCol w:w="4016"/>
        <w:gridCol w:w="1605"/>
        <w:gridCol w:w="1670"/>
      </w:tblGrid>
      <w:tr w:rsidR="00DE2065" w14:paraId="4CBA8587" w14:textId="77777777" w:rsidTr="00C01F9F">
        <w:trPr>
          <w:trHeight w:val="315"/>
          <w:jc w:val="center"/>
        </w:trPr>
        <w:tc>
          <w:tcPr>
            <w:tcW w:w="1265" w:type="dxa"/>
            <w:tcBorders>
              <w:top w:val="single" w:sz="4" w:space="0" w:color="auto"/>
              <w:bottom w:val="single" w:sz="4" w:space="0" w:color="auto"/>
            </w:tcBorders>
          </w:tcPr>
          <w:p w14:paraId="0556848C" w14:textId="77777777" w:rsidR="00DE2065" w:rsidRDefault="00DE2065" w:rsidP="00C01F9F">
            <w:pPr>
              <w:jc w:val="center"/>
              <w:rPr>
                <w:sz w:val="18"/>
                <w:szCs w:val="18"/>
              </w:rPr>
            </w:pPr>
            <w:r>
              <w:rPr>
                <w:rFonts w:hint="eastAsia"/>
                <w:sz w:val="18"/>
                <w:szCs w:val="18"/>
              </w:rPr>
              <w:t>Intervention Phase</w:t>
            </w:r>
          </w:p>
        </w:tc>
        <w:tc>
          <w:tcPr>
            <w:tcW w:w="1461" w:type="dxa"/>
            <w:tcBorders>
              <w:top w:val="single" w:sz="4" w:space="0" w:color="auto"/>
              <w:bottom w:val="single" w:sz="4" w:space="0" w:color="auto"/>
            </w:tcBorders>
          </w:tcPr>
          <w:p w14:paraId="63278FE7" w14:textId="77777777" w:rsidR="00DE2065" w:rsidRDefault="00DE2065" w:rsidP="00C01F9F">
            <w:pPr>
              <w:jc w:val="center"/>
              <w:rPr>
                <w:sz w:val="18"/>
                <w:szCs w:val="18"/>
              </w:rPr>
            </w:pPr>
            <w:r>
              <w:rPr>
                <w:rFonts w:hint="eastAsia"/>
                <w:sz w:val="18"/>
                <w:szCs w:val="18"/>
              </w:rPr>
              <w:t>Intervention Dimension</w:t>
            </w:r>
          </w:p>
        </w:tc>
        <w:tc>
          <w:tcPr>
            <w:tcW w:w="1503" w:type="dxa"/>
            <w:tcBorders>
              <w:top w:val="single" w:sz="4" w:space="0" w:color="auto"/>
              <w:bottom w:val="single" w:sz="4" w:space="0" w:color="auto"/>
            </w:tcBorders>
          </w:tcPr>
          <w:p w14:paraId="7FC86EBA" w14:textId="77777777" w:rsidR="00DE2065" w:rsidRDefault="00DE2065" w:rsidP="00C01F9F">
            <w:pPr>
              <w:jc w:val="center"/>
              <w:rPr>
                <w:sz w:val="18"/>
                <w:szCs w:val="18"/>
              </w:rPr>
            </w:pPr>
            <w:r>
              <w:rPr>
                <w:rFonts w:hint="eastAsia"/>
                <w:sz w:val="18"/>
                <w:szCs w:val="18"/>
              </w:rPr>
              <w:t>Timing</w:t>
            </w:r>
          </w:p>
        </w:tc>
        <w:tc>
          <w:tcPr>
            <w:tcW w:w="4016" w:type="dxa"/>
            <w:tcBorders>
              <w:top w:val="single" w:sz="4" w:space="0" w:color="auto"/>
              <w:bottom w:val="single" w:sz="4" w:space="0" w:color="auto"/>
            </w:tcBorders>
          </w:tcPr>
          <w:p w14:paraId="474CBF4B" w14:textId="77777777" w:rsidR="00DE2065" w:rsidRDefault="00DE2065" w:rsidP="00C01F9F">
            <w:pPr>
              <w:jc w:val="center"/>
              <w:rPr>
                <w:sz w:val="18"/>
                <w:szCs w:val="18"/>
              </w:rPr>
            </w:pPr>
            <w:r>
              <w:rPr>
                <w:rFonts w:hint="eastAsia"/>
                <w:sz w:val="18"/>
                <w:szCs w:val="18"/>
              </w:rPr>
              <w:t>Intervention Content</w:t>
            </w:r>
          </w:p>
        </w:tc>
        <w:tc>
          <w:tcPr>
            <w:tcW w:w="1605" w:type="dxa"/>
            <w:tcBorders>
              <w:top w:val="single" w:sz="4" w:space="0" w:color="auto"/>
              <w:bottom w:val="single" w:sz="4" w:space="0" w:color="auto"/>
            </w:tcBorders>
          </w:tcPr>
          <w:p w14:paraId="66538579" w14:textId="77777777" w:rsidR="00DE2065" w:rsidRDefault="00DE2065" w:rsidP="00C01F9F">
            <w:pPr>
              <w:jc w:val="center"/>
              <w:rPr>
                <w:sz w:val="18"/>
                <w:szCs w:val="18"/>
              </w:rPr>
            </w:pPr>
            <w:r>
              <w:rPr>
                <w:rFonts w:hint="eastAsia"/>
                <w:sz w:val="18"/>
                <w:szCs w:val="18"/>
              </w:rPr>
              <w:t>Delivery Format</w:t>
            </w:r>
          </w:p>
        </w:tc>
        <w:tc>
          <w:tcPr>
            <w:tcW w:w="1670" w:type="dxa"/>
            <w:tcBorders>
              <w:top w:val="single" w:sz="4" w:space="0" w:color="auto"/>
              <w:bottom w:val="single" w:sz="4" w:space="0" w:color="auto"/>
            </w:tcBorders>
          </w:tcPr>
          <w:p w14:paraId="2D345C02" w14:textId="77777777" w:rsidR="00DE2065" w:rsidRDefault="00DE2065" w:rsidP="00C01F9F">
            <w:pPr>
              <w:jc w:val="center"/>
              <w:rPr>
                <w:sz w:val="18"/>
                <w:szCs w:val="18"/>
              </w:rPr>
            </w:pPr>
            <w:r>
              <w:rPr>
                <w:rFonts w:hint="eastAsia"/>
                <w:sz w:val="18"/>
                <w:szCs w:val="18"/>
              </w:rPr>
              <w:t>Duration and Frequency of Intervention</w:t>
            </w:r>
          </w:p>
        </w:tc>
      </w:tr>
      <w:tr w:rsidR="00DE2065" w14:paraId="5177B042" w14:textId="77777777" w:rsidTr="00C01F9F">
        <w:trPr>
          <w:trHeight w:val="143"/>
          <w:jc w:val="center"/>
        </w:trPr>
        <w:tc>
          <w:tcPr>
            <w:tcW w:w="1265" w:type="dxa"/>
            <w:vMerge w:val="restart"/>
            <w:tcBorders>
              <w:top w:val="single" w:sz="4" w:space="0" w:color="auto"/>
            </w:tcBorders>
          </w:tcPr>
          <w:p w14:paraId="2AA16CDA" w14:textId="77777777" w:rsidR="00DE2065" w:rsidRDefault="00DE2065" w:rsidP="00C01F9F">
            <w:pPr>
              <w:rPr>
                <w:sz w:val="18"/>
                <w:szCs w:val="18"/>
              </w:rPr>
            </w:pPr>
            <w:r>
              <w:rPr>
                <w:rFonts w:hint="eastAsia"/>
                <w:sz w:val="18"/>
                <w:szCs w:val="18"/>
              </w:rPr>
              <w:t>Behavioral Initiation</w:t>
            </w:r>
          </w:p>
        </w:tc>
        <w:tc>
          <w:tcPr>
            <w:tcW w:w="1461" w:type="dxa"/>
            <w:tcBorders>
              <w:top w:val="single" w:sz="4" w:space="0" w:color="auto"/>
            </w:tcBorders>
          </w:tcPr>
          <w:p w14:paraId="0DD9B4C0" w14:textId="77777777" w:rsidR="00DE2065" w:rsidRDefault="00DE2065" w:rsidP="00C01F9F">
            <w:pPr>
              <w:rPr>
                <w:sz w:val="18"/>
                <w:szCs w:val="18"/>
              </w:rPr>
            </w:pPr>
            <w:r>
              <w:rPr>
                <w:rFonts w:hint="eastAsia"/>
                <w:sz w:val="18"/>
                <w:szCs w:val="18"/>
              </w:rPr>
              <w:t>Participatory Dialogue</w:t>
            </w:r>
          </w:p>
        </w:tc>
        <w:tc>
          <w:tcPr>
            <w:tcW w:w="1503" w:type="dxa"/>
            <w:tcBorders>
              <w:top w:val="single" w:sz="4" w:space="0" w:color="auto"/>
            </w:tcBorders>
          </w:tcPr>
          <w:p w14:paraId="73F7DD26" w14:textId="77777777" w:rsidR="00DE2065" w:rsidRDefault="00DE2065" w:rsidP="00C01F9F">
            <w:pPr>
              <w:rPr>
                <w:sz w:val="18"/>
                <w:szCs w:val="18"/>
              </w:rPr>
            </w:pPr>
            <w:r>
              <w:rPr>
                <w:rFonts w:hint="eastAsia"/>
                <w:sz w:val="18"/>
                <w:szCs w:val="18"/>
              </w:rPr>
              <w:t>Within 48 hours after a positive screening result</w:t>
            </w:r>
          </w:p>
        </w:tc>
        <w:tc>
          <w:tcPr>
            <w:tcW w:w="4016" w:type="dxa"/>
            <w:tcBorders>
              <w:top w:val="single" w:sz="4" w:space="0" w:color="auto"/>
            </w:tcBorders>
          </w:tcPr>
          <w:p w14:paraId="06EBEBE0" w14:textId="77777777" w:rsidR="00DE2065" w:rsidRDefault="00DE2065" w:rsidP="00C01F9F">
            <w:pPr>
              <w:rPr>
                <w:color w:val="000000"/>
                <w:sz w:val="18"/>
                <w:szCs w:val="18"/>
              </w:rPr>
            </w:pPr>
            <w:r>
              <w:rPr>
                <w:rFonts w:hint="eastAsia"/>
                <w:color w:val="000000"/>
                <w:sz w:val="18"/>
                <w:szCs w:val="18"/>
              </w:rPr>
              <w:t>1. Conduct a multidisciplinary team discussion involving patients and their families to explore illness experiences; use visual aids (e.g., graphics, videos) to differentiate normal aging from MCI and correct misconceptions.</w:t>
            </w:r>
          </w:p>
          <w:p w14:paraId="23C4A799" w14:textId="77777777" w:rsidR="00DE2065" w:rsidRDefault="00DE2065" w:rsidP="00C01F9F">
            <w:pPr>
              <w:rPr>
                <w:color w:val="000000"/>
                <w:sz w:val="18"/>
                <w:szCs w:val="18"/>
              </w:rPr>
            </w:pPr>
            <w:r>
              <w:rPr>
                <w:rFonts w:hint="eastAsia"/>
                <w:color w:val="000000"/>
                <w:sz w:val="18"/>
                <w:szCs w:val="18"/>
              </w:rPr>
              <w:t>2. Explain risks of non-intervention using clinical evidence and cases.</w:t>
            </w:r>
          </w:p>
          <w:p w14:paraId="4A5E6D67" w14:textId="77777777" w:rsidR="00DE2065" w:rsidRDefault="00DE2065" w:rsidP="00C01F9F">
            <w:pPr>
              <w:rPr>
                <w:color w:val="000000"/>
                <w:sz w:val="18"/>
                <w:szCs w:val="18"/>
              </w:rPr>
            </w:pPr>
            <w:r>
              <w:rPr>
                <w:rFonts w:hint="eastAsia"/>
                <w:color w:val="000000"/>
                <w:sz w:val="18"/>
                <w:szCs w:val="18"/>
              </w:rPr>
              <w:t>3. Establish real-life contextual linkages and develop a "behavior</w:t>
            </w:r>
            <w:r>
              <w:rPr>
                <w:rFonts w:hint="eastAsia"/>
                <w:color w:val="000000"/>
                <w:sz w:val="18"/>
                <w:szCs w:val="18"/>
              </w:rPr>
              <w:t>–</w:t>
            </w:r>
            <w:r>
              <w:rPr>
                <w:rFonts w:hint="eastAsia"/>
                <w:color w:val="000000"/>
                <w:sz w:val="18"/>
                <w:szCs w:val="18"/>
              </w:rPr>
              <w:t>function" compariso</w:t>
            </w:r>
            <w:r>
              <w:rPr>
                <w:color w:val="000000"/>
                <w:sz w:val="18"/>
                <w:szCs w:val="18"/>
              </w:rPr>
              <w:t xml:space="preserve">n table, </w:t>
            </w:r>
            <w:r w:rsidRPr="00C01F9F">
              <w:rPr>
                <w:color w:val="000000"/>
                <w:sz w:val="18"/>
                <w:szCs w:val="18"/>
              </w:rPr>
              <w:lastRenderedPageBreak/>
              <w:t xml:space="preserve">integrating </w:t>
            </w:r>
            <w:r>
              <w:rPr>
                <w:color w:val="000000"/>
                <w:sz w:val="18"/>
                <w:szCs w:val="18"/>
              </w:rPr>
              <w:t>animation</w:t>
            </w:r>
            <w:r w:rsidRPr="00C01F9F">
              <w:rPr>
                <w:color w:val="000000"/>
                <w:sz w:val="18"/>
                <w:szCs w:val="18"/>
              </w:rPr>
              <w:t>s</w:t>
            </w:r>
            <w:r>
              <w:rPr>
                <w:color w:val="000000"/>
                <w:sz w:val="18"/>
                <w:szCs w:val="18"/>
              </w:rPr>
              <w:t xml:space="preserve">, graphics, and other education materials to </w:t>
            </w:r>
            <w:r w:rsidRPr="00C01F9F">
              <w:rPr>
                <w:color w:val="000000"/>
                <w:sz w:val="18"/>
                <w:szCs w:val="18"/>
              </w:rPr>
              <w:t xml:space="preserve">clearly illustrate </w:t>
            </w:r>
            <w:r>
              <w:rPr>
                <w:color w:val="000000"/>
                <w:sz w:val="18"/>
                <w:szCs w:val="18"/>
              </w:rPr>
              <w:t>the benefits and value of multidomain intervention</w:t>
            </w:r>
            <w:r w:rsidRPr="00C01F9F">
              <w:rPr>
                <w:color w:val="000000"/>
                <w:sz w:val="18"/>
                <w:szCs w:val="18"/>
              </w:rPr>
              <w:t>s</w:t>
            </w:r>
            <w:r>
              <w:rPr>
                <w:color w:val="000000"/>
                <w:sz w:val="18"/>
                <w:szCs w:val="18"/>
              </w:rPr>
              <w:t>.</w:t>
            </w:r>
          </w:p>
          <w:p w14:paraId="2397D393" w14:textId="77777777" w:rsidR="00DE2065" w:rsidRDefault="00DE2065" w:rsidP="00C01F9F">
            <w:pPr>
              <w:rPr>
                <w:color w:val="000000"/>
                <w:sz w:val="18"/>
                <w:szCs w:val="18"/>
              </w:rPr>
            </w:pPr>
            <w:r>
              <w:rPr>
                <w:color w:val="000000"/>
                <w:sz w:val="18"/>
                <w:szCs w:val="18"/>
              </w:rPr>
              <w:t xml:space="preserve">4. Conduct one-on-one motivational interviewing to </w:t>
            </w:r>
            <w:r>
              <w:rPr>
                <w:rFonts w:hint="eastAsia"/>
                <w:color w:val="000000"/>
                <w:sz w:val="18"/>
                <w:szCs w:val="18"/>
              </w:rPr>
              <w:t xml:space="preserve">facilitate </w:t>
            </w:r>
            <w:r>
              <w:rPr>
                <w:color w:val="000000"/>
                <w:sz w:val="18"/>
                <w:szCs w:val="18"/>
              </w:rPr>
              <w:t>patient’</w:t>
            </w:r>
            <w:r>
              <w:rPr>
                <w:rFonts w:hint="eastAsia"/>
                <w:color w:val="000000"/>
                <w:sz w:val="18"/>
                <w:szCs w:val="18"/>
              </w:rPr>
              <w:t>s</w:t>
            </w:r>
            <w:r>
              <w:rPr>
                <w:color w:val="000000"/>
                <w:sz w:val="18"/>
                <w:szCs w:val="18"/>
              </w:rPr>
              <w:t xml:space="preserve"> express</w:t>
            </w:r>
            <w:r>
              <w:rPr>
                <w:rFonts w:hint="eastAsia"/>
                <w:color w:val="000000"/>
                <w:sz w:val="18"/>
                <w:szCs w:val="18"/>
              </w:rPr>
              <w:t>ion of their</w:t>
            </w:r>
            <w:r>
              <w:rPr>
                <w:color w:val="000000"/>
                <w:sz w:val="18"/>
                <w:szCs w:val="18"/>
              </w:rPr>
              <w:t xml:space="preserve"> </w:t>
            </w:r>
            <w:r>
              <w:rPr>
                <w:rFonts w:hint="eastAsia"/>
                <w:color w:val="000000"/>
                <w:sz w:val="18"/>
                <w:szCs w:val="18"/>
              </w:rPr>
              <w:t>genuine concerns regarding</w:t>
            </w:r>
            <w:r>
              <w:rPr>
                <w:color w:val="000000"/>
                <w:sz w:val="18"/>
                <w:szCs w:val="18"/>
              </w:rPr>
              <w:t xml:space="preserve"> behavioral </w:t>
            </w:r>
            <w:r>
              <w:rPr>
                <w:rFonts w:hint="eastAsia"/>
                <w:color w:val="000000"/>
                <w:sz w:val="18"/>
                <w:szCs w:val="18"/>
              </w:rPr>
              <w:t>barriers</w:t>
            </w:r>
            <w:r>
              <w:rPr>
                <w:color w:val="000000"/>
                <w:sz w:val="18"/>
                <w:szCs w:val="18"/>
              </w:rPr>
              <w:t xml:space="preserve">, with </w:t>
            </w:r>
            <w:r>
              <w:rPr>
                <w:rFonts w:hint="eastAsia"/>
                <w:color w:val="000000"/>
                <w:sz w:val="18"/>
                <w:szCs w:val="18"/>
              </w:rPr>
              <w:t xml:space="preserve">an initial focus on questions such as, </w:t>
            </w:r>
            <w:r>
              <w:rPr>
                <w:color w:val="000000"/>
                <w:sz w:val="18"/>
                <w:szCs w:val="18"/>
              </w:rPr>
              <w:t xml:space="preserve">"What difficulties do you </w:t>
            </w:r>
            <w:r>
              <w:rPr>
                <w:rFonts w:hint="eastAsia"/>
                <w:color w:val="000000"/>
                <w:sz w:val="18"/>
                <w:szCs w:val="18"/>
              </w:rPr>
              <w:t xml:space="preserve">anticipate </w:t>
            </w:r>
            <w:r>
              <w:rPr>
                <w:color w:val="000000"/>
                <w:sz w:val="18"/>
                <w:szCs w:val="18"/>
              </w:rPr>
              <w:t>encounter</w:t>
            </w:r>
            <w:r>
              <w:rPr>
                <w:rFonts w:hint="eastAsia"/>
                <w:color w:val="000000"/>
                <w:sz w:val="18"/>
                <w:szCs w:val="18"/>
              </w:rPr>
              <w:t>ing when</w:t>
            </w:r>
            <w:r>
              <w:rPr>
                <w:color w:val="000000"/>
                <w:sz w:val="18"/>
                <w:szCs w:val="18"/>
              </w:rPr>
              <w:t xml:space="preserve"> participating in the intervention?", and </w:t>
            </w:r>
            <w:r>
              <w:rPr>
                <w:rFonts w:hint="eastAsia"/>
                <w:color w:val="000000"/>
                <w:sz w:val="18"/>
                <w:szCs w:val="18"/>
              </w:rPr>
              <w:t xml:space="preserve">collaboratively develop tailored </w:t>
            </w:r>
            <w:r>
              <w:rPr>
                <w:color w:val="000000"/>
                <w:sz w:val="18"/>
                <w:szCs w:val="18"/>
              </w:rPr>
              <w:t>solutions.</w:t>
            </w:r>
          </w:p>
        </w:tc>
        <w:tc>
          <w:tcPr>
            <w:tcW w:w="1605" w:type="dxa"/>
            <w:tcBorders>
              <w:top w:val="single" w:sz="4" w:space="0" w:color="auto"/>
            </w:tcBorders>
          </w:tcPr>
          <w:p w14:paraId="129C6900" w14:textId="77777777" w:rsidR="00DE2065" w:rsidRDefault="00DE2065" w:rsidP="00C01F9F">
            <w:pPr>
              <w:rPr>
                <w:color w:val="000000"/>
                <w:sz w:val="18"/>
                <w:szCs w:val="18"/>
              </w:rPr>
            </w:pPr>
            <w:r>
              <w:rPr>
                <w:rFonts w:hint="eastAsia"/>
                <w:color w:val="000000"/>
                <w:sz w:val="18"/>
                <w:szCs w:val="18"/>
              </w:rPr>
              <w:lastRenderedPageBreak/>
              <w:t>Group sessions; One-on-one motivational interviews</w:t>
            </w:r>
          </w:p>
          <w:p w14:paraId="1574DA21" w14:textId="77777777" w:rsidR="00DE2065" w:rsidRDefault="00DE2065" w:rsidP="00C01F9F">
            <w:pPr>
              <w:rPr>
                <w:color w:val="000000"/>
                <w:sz w:val="18"/>
                <w:szCs w:val="18"/>
              </w:rPr>
            </w:pPr>
            <w:r>
              <w:rPr>
                <w:rFonts w:hint="eastAsia"/>
                <w:color w:val="000000"/>
                <w:sz w:val="18"/>
                <w:szCs w:val="18"/>
              </w:rPr>
              <w:t>Location: in-person at a multidisciplinary clinic or community health service center</w:t>
            </w:r>
          </w:p>
        </w:tc>
        <w:tc>
          <w:tcPr>
            <w:tcW w:w="1670" w:type="dxa"/>
            <w:tcBorders>
              <w:top w:val="single" w:sz="4" w:space="0" w:color="auto"/>
            </w:tcBorders>
          </w:tcPr>
          <w:p w14:paraId="3EE0CF26" w14:textId="77777777" w:rsidR="00DE2065" w:rsidRDefault="00DE2065" w:rsidP="00C01F9F">
            <w:pPr>
              <w:rPr>
                <w:color w:val="000000"/>
                <w:sz w:val="18"/>
                <w:szCs w:val="18"/>
              </w:rPr>
            </w:pPr>
            <w:r>
              <w:rPr>
                <w:rFonts w:hint="eastAsia"/>
                <w:color w:val="000000"/>
                <w:sz w:val="18"/>
                <w:szCs w:val="18"/>
              </w:rPr>
              <w:t>Group meetings: 30 minutes; motivational interviews:15</w:t>
            </w:r>
            <w:r>
              <w:rPr>
                <w:rFonts w:hint="eastAsia"/>
                <w:color w:val="000000"/>
                <w:sz w:val="18"/>
                <w:szCs w:val="18"/>
              </w:rPr>
              <w:t>–</w:t>
            </w:r>
            <w:r>
              <w:rPr>
                <w:rFonts w:hint="eastAsia"/>
                <w:color w:val="000000"/>
                <w:sz w:val="18"/>
                <w:szCs w:val="18"/>
              </w:rPr>
              <w:t>20 minutes.</w:t>
            </w:r>
          </w:p>
        </w:tc>
      </w:tr>
      <w:tr w:rsidR="00DE2065" w14:paraId="25482FC4" w14:textId="77777777" w:rsidTr="00C01F9F">
        <w:trPr>
          <w:trHeight w:val="143"/>
          <w:jc w:val="center"/>
        </w:trPr>
        <w:tc>
          <w:tcPr>
            <w:tcW w:w="1265" w:type="dxa"/>
            <w:vMerge/>
          </w:tcPr>
          <w:p w14:paraId="77B1AA71" w14:textId="77777777" w:rsidR="00DE2065" w:rsidRDefault="00DE2065" w:rsidP="00C01F9F">
            <w:pPr>
              <w:rPr>
                <w:sz w:val="18"/>
                <w:szCs w:val="18"/>
              </w:rPr>
            </w:pPr>
          </w:p>
        </w:tc>
        <w:tc>
          <w:tcPr>
            <w:tcW w:w="1461" w:type="dxa"/>
          </w:tcPr>
          <w:p w14:paraId="75E4A26A" w14:textId="77777777" w:rsidR="00DE2065" w:rsidRDefault="00DE2065" w:rsidP="00C01F9F">
            <w:pPr>
              <w:rPr>
                <w:color w:val="000000"/>
                <w:sz w:val="18"/>
                <w:szCs w:val="18"/>
              </w:rPr>
            </w:pPr>
            <w:r>
              <w:rPr>
                <w:rFonts w:hint="eastAsia"/>
                <w:color w:val="000000"/>
                <w:sz w:val="18"/>
                <w:szCs w:val="18"/>
              </w:rPr>
              <w:t>Behavioral Confidence</w:t>
            </w:r>
          </w:p>
        </w:tc>
        <w:tc>
          <w:tcPr>
            <w:tcW w:w="1503" w:type="dxa"/>
          </w:tcPr>
          <w:p w14:paraId="5F37B5F7" w14:textId="77777777" w:rsidR="00DE2065" w:rsidRDefault="00DE2065" w:rsidP="00C01F9F">
            <w:pPr>
              <w:rPr>
                <w:color w:val="000000"/>
                <w:sz w:val="18"/>
                <w:szCs w:val="18"/>
              </w:rPr>
            </w:pPr>
            <w:r>
              <w:rPr>
                <w:rFonts w:hint="eastAsia"/>
                <w:color w:val="000000"/>
                <w:sz w:val="18"/>
                <w:szCs w:val="18"/>
              </w:rPr>
              <w:t>Within 72 hours of enrollment; first month</w:t>
            </w:r>
          </w:p>
        </w:tc>
        <w:tc>
          <w:tcPr>
            <w:tcW w:w="4016" w:type="dxa"/>
          </w:tcPr>
          <w:p w14:paraId="774CAF80" w14:textId="77777777" w:rsidR="00DE2065" w:rsidRDefault="00DE2065" w:rsidP="00C01F9F">
            <w:pPr>
              <w:rPr>
                <w:color w:val="000000"/>
                <w:sz w:val="18"/>
                <w:szCs w:val="18"/>
              </w:rPr>
            </w:pPr>
            <w:r>
              <w:rPr>
                <w:rFonts w:hint="eastAsia"/>
                <w:color w:val="000000"/>
                <w:sz w:val="18"/>
                <w:szCs w:val="18"/>
              </w:rPr>
              <w:t>1. Provide feedback on assessment results to both the patient and their family in a positive, non-judgmental manner; use specific case examples to clearly highlight the potential benefits of adhering to the training regimen.</w:t>
            </w:r>
          </w:p>
          <w:p w14:paraId="53F5BB7B" w14:textId="77777777" w:rsidR="00DE2065" w:rsidRDefault="00DE2065" w:rsidP="00C01F9F">
            <w:pPr>
              <w:rPr>
                <w:color w:val="000000"/>
                <w:sz w:val="18"/>
                <w:szCs w:val="18"/>
              </w:rPr>
            </w:pPr>
            <w:r>
              <w:rPr>
                <w:rFonts w:hint="eastAsia"/>
                <w:color w:val="000000"/>
                <w:sz w:val="18"/>
                <w:szCs w:val="18"/>
              </w:rPr>
              <w:t>2. Collaboratively set intervention goals with the patient, breaking them down into smaller, manageable daily objectives; provide a task checklist aligned with these goals to seamlessly integrate the intervention into their daily routine.</w:t>
            </w:r>
          </w:p>
          <w:p w14:paraId="152652CD" w14:textId="77777777" w:rsidR="00DE2065" w:rsidRDefault="00DE2065" w:rsidP="00C01F9F">
            <w:pPr>
              <w:rPr>
                <w:color w:val="000000"/>
                <w:sz w:val="18"/>
                <w:szCs w:val="18"/>
              </w:rPr>
            </w:pPr>
            <w:r>
              <w:rPr>
                <w:rFonts w:hint="eastAsia"/>
                <w:color w:val="000000"/>
                <w:sz w:val="18"/>
                <w:szCs w:val="18"/>
              </w:rPr>
              <w:t>3. Configure the computer-based cognitive training tasks to function in an adaptive mode, starting at a foundational level suited to the patient</w:t>
            </w:r>
            <w:r>
              <w:rPr>
                <w:color w:val="000000"/>
                <w:sz w:val="18"/>
                <w:szCs w:val="18"/>
              </w:rPr>
              <w:t>’</w:t>
            </w:r>
            <w:r>
              <w:rPr>
                <w:rFonts w:hint="eastAsia"/>
                <w:color w:val="000000"/>
                <w:sz w:val="18"/>
                <w:szCs w:val="18"/>
              </w:rPr>
              <w:t>s current abilities and gradually increasing the difficulty to minimize cognitive fatigue.</w:t>
            </w:r>
          </w:p>
          <w:p w14:paraId="7A433246" w14:textId="77777777" w:rsidR="00DE2065" w:rsidRDefault="00DE2065" w:rsidP="00C01F9F">
            <w:pPr>
              <w:rPr>
                <w:color w:val="000000"/>
                <w:sz w:val="18"/>
                <w:szCs w:val="18"/>
              </w:rPr>
            </w:pPr>
            <w:r>
              <w:rPr>
                <w:rFonts w:hint="eastAsia"/>
                <w:color w:val="000000"/>
                <w:sz w:val="18"/>
                <w:szCs w:val="18"/>
              </w:rPr>
              <w:t>4. Organize and facilitate patient experience-sharing sessions, inviting patients with prior experience to share their positive outcomes from the multidomain interventions. This will help boost the confidence of new participants and encourage their active engagement in the program.</w:t>
            </w:r>
          </w:p>
        </w:tc>
        <w:tc>
          <w:tcPr>
            <w:tcW w:w="1605" w:type="dxa"/>
          </w:tcPr>
          <w:p w14:paraId="7EECA348" w14:textId="77777777" w:rsidR="00DE2065" w:rsidRDefault="00DE2065" w:rsidP="00C01F9F">
            <w:pPr>
              <w:rPr>
                <w:color w:val="000000"/>
                <w:sz w:val="18"/>
                <w:szCs w:val="18"/>
              </w:rPr>
            </w:pPr>
            <w:r>
              <w:rPr>
                <w:rFonts w:hint="eastAsia"/>
                <w:color w:val="000000"/>
                <w:sz w:val="18"/>
                <w:szCs w:val="18"/>
              </w:rPr>
              <w:t>Face-to-face sessions</w:t>
            </w:r>
          </w:p>
          <w:p w14:paraId="57410B19" w14:textId="77777777" w:rsidR="00DE2065" w:rsidRDefault="00DE2065" w:rsidP="00C01F9F">
            <w:pPr>
              <w:rPr>
                <w:color w:val="000000"/>
                <w:sz w:val="18"/>
                <w:szCs w:val="18"/>
              </w:rPr>
            </w:pPr>
            <w:r>
              <w:rPr>
                <w:rFonts w:hint="eastAsia"/>
                <w:color w:val="000000"/>
                <w:sz w:val="18"/>
                <w:szCs w:val="18"/>
              </w:rPr>
              <w:t>Location: in-person, held in a clinic consultation room or community health service center activity room</w:t>
            </w:r>
          </w:p>
        </w:tc>
        <w:tc>
          <w:tcPr>
            <w:tcW w:w="1670" w:type="dxa"/>
          </w:tcPr>
          <w:p w14:paraId="7553A75A" w14:textId="77777777" w:rsidR="00DE2065" w:rsidRDefault="00DE2065" w:rsidP="00C01F9F">
            <w:pPr>
              <w:rPr>
                <w:color w:val="000000"/>
                <w:sz w:val="18"/>
                <w:szCs w:val="18"/>
              </w:rPr>
            </w:pPr>
            <w:r>
              <w:rPr>
                <w:rFonts w:hint="eastAsia"/>
                <w:color w:val="000000"/>
                <w:sz w:val="18"/>
                <w:szCs w:val="18"/>
              </w:rPr>
              <w:t>10</w:t>
            </w:r>
            <w:r>
              <w:rPr>
                <w:rFonts w:hint="eastAsia"/>
                <w:color w:val="000000"/>
                <w:sz w:val="18"/>
                <w:szCs w:val="18"/>
              </w:rPr>
              <w:t>–</w:t>
            </w:r>
            <w:r>
              <w:rPr>
                <w:rFonts w:hint="eastAsia"/>
                <w:color w:val="000000"/>
                <w:sz w:val="18"/>
                <w:szCs w:val="18"/>
              </w:rPr>
              <w:t>20 minutes</w:t>
            </w:r>
          </w:p>
        </w:tc>
      </w:tr>
      <w:tr w:rsidR="00DE2065" w14:paraId="4CBFBE55" w14:textId="77777777" w:rsidTr="00C01F9F">
        <w:trPr>
          <w:trHeight w:val="701"/>
          <w:jc w:val="center"/>
        </w:trPr>
        <w:tc>
          <w:tcPr>
            <w:tcW w:w="1265" w:type="dxa"/>
            <w:vMerge/>
          </w:tcPr>
          <w:p w14:paraId="5D5D46A5" w14:textId="77777777" w:rsidR="00DE2065" w:rsidRDefault="00DE2065" w:rsidP="00C01F9F">
            <w:pPr>
              <w:rPr>
                <w:sz w:val="18"/>
                <w:szCs w:val="18"/>
              </w:rPr>
            </w:pPr>
          </w:p>
        </w:tc>
        <w:tc>
          <w:tcPr>
            <w:tcW w:w="1461" w:type="dxa"/>
          </w:tcPr>
          <w:p w14:paraId="5E6C1CFA" w14:textId="77777777" w:rsidR="00DE2065" w:rsidRDefault="00DE2065" w:rsidP="00C01F9F">
            <w:pPr>
              <w:rPr>
                <w:color w:val="000000"/>
                <w:sz w:val="18"/>
                <w:szCs w:val="18"/>
              </w:rPr>
            </w:pPr>
            <w:r>
              <w:rPr>
                <w:rFonts w:hint="eastAsia"/>
                <w:color w:val="000000"/>
                <w:sz w:val="18"/>
                <w:szCs w:val="18"/>
              </w:rPr>
              <w:t>Physical Environment Modification</w:t>
            </w:r>
          </w:p>
        </w:tc>
        <w:tc>
          <w:tcPr>
            <w:tcW w:w="1503" w:type="dxa"/>
          </w:tcPr>
          <w:p w14:paraId="74A09861" w14:textId="77777777" w:rsidR="00DE2065" w:rsidRDefault="00DE2065" w:rsidP="00C01F9F">
            <w:pPr>
              <w:rPr>
                <w:color w:val="000000"/>
                <w:sz w:val="18"/>
                <w:szCs w:val="18"/>
              </w:rPr>
            </w:pPr>
            <w:r>
              <w:rPr>
                <w:rFonts w:hint="eastAsia"/>
                <w:color w:val="000000"/>
                <w:sz w:val="18"/>
                <w:szCs w:val="18"/>
              </w:rPr>
              <w:t>Within 1 week of enrollment</w:t>
            </w:r>
          </w:p>
        </w:tc>
        <w:tc>
          <w:tcPr>
            <w:tcW w:w="4016" w:type="dxa"/>
          </w:tcPr>
          <w:p w14:paraId="5002C137" w14:textId="77777777" w:rsidR="00DE2065" w:rsidRDefault="00DE2065" w:rsidP="00C01F9F">
            <w:pPr>
              <w:rPr>
                <w:sz w:val="18"/>
                <w:szCs w:val="18"/>
              </w:rPr>
            </w:pPr>
            <w:r>
              <w:rPr>
                <w:rFonts w:hint="eastAsia"/>
                <w:sz w:val="18"/>
                <w:szCs w:val="18"/>
              </w:rPr>
              <w:t xml:space="preserve">1. Provide patients with the </w:t>
            </w:r>
            <w:r>
              <w:rPr>
                <w:rFonts w:hint="eastAsia"/>
                <w:i/>
                <w:iCs/>
                <w:sz w:val="18"/>
                <w:szCs w:val="18"/>
              </w:rPr>
              <w:t>Multidomain Intervention Guidebook for Patients with Mild Cognitive Impairment</w:t>
            </w:r>
            <w:r>
              <w:rPr>
                <w:rFonts w:hint="eastAsia"/>
                <w:sz w:val="18"/>
                <w:szCs w:val="18"/>
              </w:rPr>
              <w:t>, which covers topics such as early symptom recognition, risk factor identification, detailed multidomain intervention strategies, caregiver empowerment, and guidance on accessing healthcare services.</w:t>
            </w:r>
          </w:p>
          <w:p w14:paraId="14BB3E1D" w14:textId="77777777" w:rsidR="00DE2065" w:rsidRDefault="00DE2065" w:rsidP="00C01F9F">
            <w:pPr>
              <w:rPr>
                <w:sz w:val="18"/>
                <w:szCs w:val="18"/>
              </w:rPr>
            </w:pPr>
            <w:r>
              <w:rPr>
                <w:rFonts w:hint="eastAsia"/>
                <w:sz w:val="18"/>
                <w:szCs w:val="18"/>
              </w:rPr>
              <w:t>2. Supply a multidomain intervention toolkit</w:t>
            </w:r>
            <w:r>
              <w:rPr>
                <w:rFonts w:hint="eastAsia"/>
                <w:sz w:val="18"/>
                <w:szCs w:val="18"/>
              </w:rPr>
              <w:t>—</w:t>
            </w:r>
            <w:r>
              <w:rPr>
                <w:rFonts w:hint="eastAsia"/>
                <w:sz w:val="18"/>
                <w:szCs w:val="18"/>
              </w:rPr>
              <w:t>including the guidebook, a cognitive diary, cue cards, resistance bands, and exercise mats</w:t>
            </w:r>
            <w:r>
              <w:rPr>
                <w:rFonts w:hint="eastAsia"/>
                <w:sz w:val="18"/>
                <w:szCs w:val="18"/>
              </w:rPr>
              <w:t>—</w:t>
            </w:r>
            <w:r>
              <w:rPr>
                <w:rFonts w:hint="eastAsia"/>
                <w:sz w:val="18"/>
                <w:szCs w:val="18"/>
              </w:rPr>
              <w:t>to support structured home-based training.</w:t>
            </w:r>
          </w:p>
          <w:p w14:paraId="6E4A9DEC" w14:textId="77777777" w:rsidR="00DE2065" w:rsidRDefault="00DE2065" w:rsidP="00C01F9F">
            <w:pPr>
              <w:rPr>
                <w:sz w:val="18"/>
                <w:szCs w:val="18"/>
              </w:rPr>
            </w:pPr>
            <w:r>
              <w:rPr>
                <w:rFonts w:hint="eastAsia"/>
                <w:sz w:val="18"/>
                <w:szCs w:val="18"/>
              </w:rPr>
              <w:t>3. Assist patients and their families in setting up digital cognitive training equipment (e.g., tablets or computers), and provide ongoing technical support and consultation as needed.</w:t>
            </w:r>
          </w:p>
          <w:p w14:paraId="3F995A33" w14:textId="77777777" w:rsidR="00DE2065" w:rsidRDefault="00DE2065" w:rsidP="00C01F9F">
            <w:pPr>
              <w:rPr>
                <w:sz w:val="18"/>
                <w:szCs w:val="18"/>
              </w:rPr>
            </w:pPr>
            <w:r>
              <w:rPr>
                <w:rFonts w:hint="eastAsia"/>
                <w:sz w:val="18"/>
                <w:szCs w:val="18"/>
              </w:rPr>
              <w:t>4. Establish a dedicated WeChat-based service platform for cognitive intervention to facilitate appointment scheduling and follow-up management, complemented by an online hospital system to provide remote consultations.</w:t>
            </w:r>
          </w:p>
          <w:p w14:paraId="79262CEB" w14:textId="77777777" w:rsidR="00DE2065" w:rsidRDefault="00DE2065" w:rsidP="00C01F9F">
            <w:pPr>
              <w:rPr>
                <w:sz w:val="18"/>
                <w:szCs w:val="18"/>
              </w:rPr>
            </w:pPr>
            <w:r>
              <w:rPr>
                <w:rFonts w:hint="eastAsia"/>
                <w:sz w:val="18"/>
                <w:szCs w:val="18"/>
              </w:rPr>
              <w:t>5. Where feasible, guide patients in creating a designated "Cognitive Activity Corner" at home</w:t>
            </w:r>
            <w:r>
              <w:rPr>
                <w:rFonts w:hint="eastAsia"/>
                <w:sz w:val="18"/>
                <w:szCs w:val="18"/>
              </w:rPr>
              <w:t>—</w:t>
            </w:r>
            <w:r>
              <w:rPr>
                <w:rFonts w:hint="eastAsia"/>
                <w:sz w:val="18"/>
                <w:szCs w:val="18"/>
              </w:rPr>
              <w:t>a fixed, well-equipped space containing items such as puzzles, books, and art supplies</w:t>
            </w:r>
            <w:r>
              <w:rPr>
                <w:rFonts w:hint="eastAsia"/>
                <w:sz w:val="18"/>
                <w:szCs w:val="18"/>
              </w:rPr>
              <w:t>—</w:t>
            </w:r>
            <w:r>
              <w:rPr>
                <w:rFonts w:hint="eastAsia"/>
                <w:sz w:val="18"/>
                <w:szCs w:val="18"/>
              </w:rPr>
              <w:t>to optimize the training environment and minimize environmental "cognitive distractions" during practice.</w:t>
            </w:r>
          </w:p>
          <w:p w14:paraId="48961DC5" w14:textId="77777777" w:rsidR="00DE2065" w:rsidRDefault="00DE2065" w:rsidP="00C01F9F">
            <w:pPr>
              <w:rPr>
                <w:sz w:val="18"/>
                <w:szCs w:val="18"/>
              </w:rPr>
            </w:pPr>
            <w:r>
              <w:rPr>
                <w:rFonts w:hint="eastAsia"/>
                <w:sz w:val="18"/>
                <w:szCs w:val="18"/>
              </w:rPr>
              <w:t>6. Place visual cue cards in key areas associated with daily routines; these cues function as prompts to "anchor" specific training behaviors to habitual activities, thereby promoting consistency and adherence.</w:t>
            </w:r>
          </w:p>
        </w:tc>
        <w:tc>
          <w:tcPr>
            <w:tcW w:w="1605" w:type="dxa"/>
          </w:tcPr>
          <w:p w14:paraId="4200E5B5" w14:textId="77777777" w:rsidR="00DE2065" w:rsidRDefault="00DE2065" w:rsidP="00C01F9F">
            <w:pPr>
              <w:rPr>
                <w:sz w:val="18"/>
                <w:szCs w:val="18"/>
              </w:rPr>
            </w:pPr>
            <w:r>
              <w:rPr>
                <w:sz w:val="18"/>
                <w:szCs w:val="18"/>
              </w:rPr>
              <w:t>Face-to-face</w:t>
            </w:r>
            <w:r>
              <w:rPr>
                <w:rFonts w:hint="eastAsia"/>
                <w:sz w:val="18"/>
                <w:szCs w:val="18"/>
              </w:rPr>
              <w:t xml:space="preserve"> and online guidance</w:t>
            </w:r>
          </w:p>
          <w:p w14:paraId="3779341C" w14:textId="77777777" w:rsidR="00DE2065" w:rsidRDefault="00DE2065" w:rsidP="00C01F9F">
            <w:pPr>
              <w:rPr>
                <w:sz w:val="18"/>
                <w:szCs w:val="18"/>
              </w:rPr>
            </w:pPr>
            <w:r>
              <w:rPr>
                <w:sz w:val="18"/>
                <w:szCs w:val="18"/>
              </w:rPr>
              <w:t xml:space="preserve">Location: </w:t>
            </w:r>
            <w:r>
              <w:rPr>
                <w:rFonts w:hint="eastAsia"/>
                <w:sz w:val="18"/>
                <w:szCs w:val="18"/>
              </w:rPr>
              <w:t>Offered both in-person at the clinic</w:t>
            </w:r>
            <w:r>
              <w:rPr>
                <w:sz w:val="18"/>
                <w:szCs w:val="18"/>
              </w:rPr>
              <w:t xml:space="preserve"> or </w:t>
            </w:r>
            <w:r>
              <w:rPr>
                <w:rFonts w:hint="eastAsia"/>
                <w:sz w:val="18"/>
                <w:szCs w:val="18"/>
              </w:rPr>
              <w:t xml:space="preserve">through </w:t>
            </w:r>
            <w:r>
              <w:rPr>
                <w:sz w:val="18"/>
                <w:szCs w:val="18"/>
              </w:rPr>
              <w:t>online consultation</w:t>
            </w:r>
            <w:r>
              <w:rPr>
                <w:rFonts w:hint="eastAsia"/>
                <w:sz w:val="18"/>
                <w:szCs w:val="18"/>
              </w:rPr>
              <w:t>s</w:t>
            </w:r>
          </w:p>
        </w:tc>
        <w:tc>
          <w:tcPr>
            <w:tcW w:w="1670" w:type="dxa"/>
          </w:tcPr>
          <w:p w14:paraId="3FD0EA77" w14:textId="77777777" w:rsidR="00DE2065" w:rsidRDefault="00DE2065" w:rsidP="00C01F9F">
            <w:pPr>
              <w:rPr>
                <w:sz w:val="18"/>
                <w:szCs w:val="18"/>
              </w:rPr>
            </w:pPr>
            <w:r>
              <w:rPr>
                <w:rFonts w:hint="eastAsia"/>
                <w:sz w:val="18"/>
                <w:szCs w:val="18"/>
              </w:rPr>
              <w:t>Face-to-face health education: 5-10 minutes; online guidance: 20 minutes</w:t>
            </w:r>
          </w:p>
        </w:tc>
      </w:tr>
      <w:tr w:rsidR="00DE2065" w14:paraId="71C610D1" w14:textId="77777777" w:rsidTr="00C01F9F">
        <w:trPr>
          <w:trHeight w:val="2552"/>
          <w:jc w:val="center"/>
        </w:trPr>
        <w:tc>
          <w:tcPr>
            <w:tcW w:w="1265" w:type="dxa"/>
            <w:vMerge w:val="restart"/>
          </w:tcPr>
          <w:p w14:paraId="72F59A51" w14:textId="77777777" w:rsidR="00DE2065" w:rsidRDefault="00DE2065" w:rsidP="00C01F9F">
            <w:pPr>
              <w:rPr>
                <w:sz w:val="18"/>
                <w:szCs w:val="18"/>
              </w:rPr>
            </w:pPr>
            <w:r>
              <w:rPr>
                <w:rFonts w:hint="eastAsia"/>
                <w:sz w:val="18"/>
                <w:szCs w:val="18"/>
              </w:rPr>
              <w:lastRenderedPageBreak/>
              <w:t>Behavior Maintenance</w:t>
            </w:r>
          </w:p>
        </w:tc>
        <w:tc>
          <w:tcPr>
            <w:tcW w:w="1461" w:type="dxa"/>
          </w:tcPr>
          <w:p w14:paraId="532E14A7" w14:textId="77777777" w:rsidR="00DE2065" w:rsidRDefault="00DE2065" w:rsidP="00C01F9F">
            <w:pPr>
              <w:rPr>
                <w:sz w:val="18"/>
                <w:szCs w:val="18"/>
              </w:rPr>
            </w:pPr>
            <w:r>
              <w:rPr>
                <w:rFonts w:hint="eastAsia"/>
                <w:sz w:val="18"/>
                <w:szCs w:val="18"/>
              </w:rPr>
              <w:t>Emotional Transformation</w:t>
            </w:r>
          </w:p>
        </w:tc>
        <w:tc>
          <w:tcPr>
            <w:tcW w:w="1503" w:type="dxa"/>
          </w:tcPr>
          <w:p w14:paraId="29DB34FE" w14:textId="77777777" w:rsidR="00DE2065" w:rsidRDefault="00DE2065" w:rsidP="00C01F9F">
            <w:pPr>
              <w:rPr>
                <w:sz w:val="18"/>
                <w:szCs w:val="18"/>
              </w:rPr>
            </w:pPr>
            <w:r>
              <w:rPr>
                <w:rFonts w:hint="eastAsia"/>
                <w:sz w:val="18"/>
                <w:szCs w:val="18"/>
              </w:rPr>
              <w:t>Week 3 post-enrollment</w:t>
            </w:r>
          </w:p>
        </w:tc>
        <w:tc>
          <w:tcPr>
            <w:tcW w:w="4016" w:type="dxa"/>
          </w:tcPr>
          <w:p w14:paraId="598CC472" w14:textId="77777777" w:rsidR="00DE2065" w:rsidRDefault="00DE2065" w:rsidP="00C01F9F">
            <w:pPr>
              <w:rPr>
                <w:sz w:val="18"/>
                <w:szCs w:val="18"/>
              </w:rPr>
            </w:pPr>
            <w:r>
              <w:rPr>
                <w:rFonts w:hint="eastAsia"/>
                <w:sz w:val="18"/>
                <w:szCs w:val="18"/>
              </w:rPr>
              <w:t>1. Reinforce intervention goals by guiding the patient to focus on attainment of stage-specific objectives, and adjust short-term goals dynamically according to training progress.</w:t>
            </w:r>
          </w:p>
          <w:p w14:paraId="085930E5" w14:textId="77777777" w:rsidR="00DE2065" w:rsidRDefault="00DE2065" w:rsidP="00C01F9F">
            <w:pPr>
              <w:rPr>
                <w:sz w:val="18"/>
                <w:szCs w:val="18"/>
              </w:rPr>
            </w:pPr>
            <w:r>
              <w:rPr>
                <w:rFonts w:hint="eastAsia"/>
                <w:sz w:val="18"/>
                <w:szCs w:val="18"/>
              </w:rPr>
              <w:t>2. Support patients in selecting intervention modalities aligned with their personal values and preferences, thereby enhancing their identification with the intervention plan and promoting intrinsic motivation, while reducing the psychological burden associated with an overemphasis on "goal completion rates".</w:t>
            </w:r>
          </w:p>
          <w:p w14:paraId="60B56EBF" w14:textId="77777777" w:rsidR="00DE2065" w:rsidRDefault="00DE2065" w:rsidP="00C01F9F">
            <w:pPr>
              <w:rPr>
                <w:sz w:val="18"/>
                <w:szCs w:val="18"/>
              </w:rPr>
            </w:pPr>
            <w:r>
              <w:rPr>
                <w:rFonts w:hint="eastAsia"/>
                <w:sz w:val="18"/>
                <w:szCs w:val="18"/>
              </w:rPr>
              <w:t>3. For patients experiencing anxiety, implement "body</w:t>
            </w:r>
            <w:r>
              <w:rPr>
                <w:rFonts w:hint="eastAsia"/>
                <w:sz w:val="18"/>
                <w:szCs w:val="18"/>
              </w:rPr>
              <w:t>–</w:t>
            </w:r>
            <w:r>
              <w:rPr>
                <w:rFonts w:hint="eastAsia"/>
                <w:sz w:val="18"/>
                <w:szCs w:val="18"/>
              </w:rPr>
              <w:t>emotion regulation strategies", such as guiding patients to perform 3</w:t>
            </w:r>
            <w:r>
              <w:rPr>
                <w:rFonts w:hint="eastAsia"/>
                <w:sz w:val="18"/>
                <w:szCs w:val="18"/>
              </w:rPr>
              <w:t>–</w:t>
            </w:r>
            <w:r>
              <w:rPr>
                <w:rFonts w:hint="eastAsia"/>
                <w:sz w:val="18"/>
                <w:szCs w:val="18"/>
              </w:rPr>
              <w:t>5 mindful breaths before initiating cognitive training.</w:t>
            </w:r>
          </w:p>
          <w:p w14:paraId="2B668003" w14:textId="77777777" w:rsidR="00DE2065" w:rsidRDefault="00DE2065" w:rsidP="00C01F9F">
            <w:pPr>
              <w:rPr>
                <w:sz w:val="18"/>
                <w:szCs w:val="18"/>
              </w:rPr>
            </w:pPr>
            <w:r>
              <w:rPr>
                <w:rFonts w:hint="eastAsia"/>
                <w:sz w:val="18"/>
                <w:szCs w:val="18"/>
              </w:rPr>
              <w:t>4. Provide individualized, detailed feedback on patient progress, and incorporate preference-based reward mechanisms to enhance positive training experiences.</w:t>
            </w:r>
          </w:p>
          <w:p w14:paraId="1649B8C7" w14:textId="77777777" w:rsidR="00DE2065" w:rsidRDefault="00DE2065" w:rsidP="00C01F9F">
            <w:pPr>
              <w:rPr>
                <w:sz w:val="18"/>
                <w:szCs w:val="18"/>
              </w:rPr>
            </w:pPr>
            <w:r>
              <w:rPr>
                <w:rFonts w:hint="eastAsia"/>
                <w:sz w:val="18"/>
                <w:szCs w:val="18"/>
              </w:rPr>
              <w:t>5. Encourage patients to document "behavioral benefit moments</w:t>
            </w:r>
            <w:r>
              <w:rPr>
                <w:sz w:val="18"/>
                <w:szCs w:val="18"/>
              </w:rPr>
              <w:t>"</w:t>
            </w:r>
            <w:r w:rsidRPr="00C01F9F">
              <w:rPr>
                <w:sz w:val="18"/>
                <w:szCs w:val="18"/>
              </w:rPr>
              <w:t>,</w:t>
            </w:r>
            <w:r>
              <w:rPr>
                <w:rFonts w:hint="eastAsia"/>
                <w:sz w:val="18"/>
                <w:szCs w:val="18"/>
              </w:rPr>
              <w:t xml:space="preserve"> thereby reinforcing positive emotional experiences associated with task completion and enhancing awareness of personal progress and intervention value.</w:t>
            </w:r>
          </w:p>
        </w:tc>
        <w:tc>
          <w:tcPr>
            <w:tcW w:w="1605" w:type="dxa"/>
          </w:tcPr>
          <w:p w14:paraId="25425AEC" w14:textId="77777777" w:rsidR="00DE2065" w:rsidRDefault="00DE2065" w:rsidP="00C01F9F">
            <w:pPr>
              <w:rPr>
                <w:sz w:val="18"/>
                <w:szCs w:val="18"/>
              </w:rPr>
            </w:pPr>
            <w:r>
              <w:rPr>
                <w:sz w:val="18"/>
                <w:szCs w:val="18"/>
              </w:rPr>
              <w:t>Face-to-face</w:t>
            </w:r>
            <w:r>
              <w:rPr>
                <w:rFonts w:hint="eastAsia"/>
                <w:sz w:val="18"/>
                <w:szCs w:val="18"/>
              </w:rPr>
              <w:t xml:space="preserve"> and online guidance</w:t>
            </w:r>
          </w:p>
          <w:p w14:paraId="7DA6E526" w14:textId="77777777" w:rsidR="00DE2065" w:rsidRDefault="00DE2065" w:rsidP="00C01F9F">
            <w:pPr>
              <w:rPr>
                <w:sz w:val="18"/>
                <w:szCs w:val="18"/>
              </w:rPr>
            </w:pPr>
            <w:r>
              <w:rPr>
                <w:sz w:val="18"/>
                <w:szCs w:val="18"/>
              </w:rPr>
              <w:t xml:space="preserve">Location: </w:t>
            </w:r>
            <w:r>
              <w:rPr>
                <w:rFonts w:hint="eastAsia"/>
                <w:sz w:val="18"/>
                <w:szCs w:val="18"/>
              </w:rPr>
              <w:t>Offered both in-person at the clinic</w:t>
            </w:r>
            <w:r>
              <w:rPr>
                <w:sz w:val="18"/>
                <w:szCs w:val="18"/>
              </w:rPr>
              <w:t xml:space="preserve"> or </w:t>
            </w:r>
            <w:r>
              <w:rPr>
                <w:rFonts w:hint="eastAsia"/>
                <w:sz w:val="18"/>
                <w:szCs w:val="18"/>
              </w:rPr>
              <w:t xml:space="preserve">through </w:t>
            </w:r>
            <w:r>
              <w:rPr>
                <w:sz w:val="18"/>
                <w:szCs w:val="18"/>
              </w:rPr>
              <w:t>online consultation</w:t>
            </w:r>
            <w:r>
              <w:rPr>
                <w:rFonts w:hint="eastAsia"/>
                <w:sz w:val="18"/>
                <w:szCs w:val="18"/>
              </w:rPr>
              <w:t>s</w:t>
            </w:r>
          </w:p>
        </w:tc>
        <w:tc>
          <w:tcPr>
            <w:tcW w:w="1670" w:type="dxa"/>
          </w:tcPr>
          <w:p w14:paraId="06B1E5B5" w14:textId="77777777" w:rsidR="00DE2065" w:rsidRDefault="00DE2065" w:rsidP="00C01F9F">
            <w:pPr>
              <w:rPr>
                <w:sz w:val="18"/>
                <w:szCs w:val="18"/>
              </w:rPr>
            </w:pPr>
            <w:r>
              <w:rPr>
                <w:rFonts w:hint="eastAsia"/>
                <w:sz w:val="18"/>
                <w:szCs w:val="18"/>
              </w:rPr>
              <w:t>10</w:t>
            </w:r>
            <w:r>
              <w:rPr>
                <w:rFonts w:hint="eastAsia"/>
                <w:sz w:val="18"/>
                <w:szCs w:val="18"/>
              </w:rPr>
              <w:t>–</w:t>
            </w:r>
            <w:r>
              <w:rPr>
                <w:rFonts w:hint="eastAsia"/>
                <w:sz w:val="18"/>
                <w:szCs w:val="18"/>
              </w:rPr>
              <w:t>15 minutes per session</w:t>
            </w:r>
          </w:p>
        </w:tc>
      </w:tr>
      <w:tr w:rsidR="00DE2065" w14:paraId="2838A3D1" w14:textId="77777777" w:rsidTr="00C01F9F">
        <w:trPr>
          <w:trHeight w:val="143"/>
          <w:jc w:val="center"/>
        </w:trPr>
        <w:tc>
          <w:tcPr>
            <w:tcW w:w="1265" w:type="dxa"/>
            <w:vMerge/>
          </w:tcPr>
          <w:p w14:paraId="56800761" w14:textId="77777777" w:rsidR="00DE2065" w:rsidRDefault="00DE2065" w:rsidP="00C01F9F">
            <w:pPr>
              <w:rPr>
                <w:sz w:val="18"/>
                <w:szCs w:val="18"/>
              </w:rPr>
            </w:pPr>
          </w:p>
        </w:tc>
        <w:tc>
          <w:tcPr>
            <w:tcW w:w="1461" w:type="dxa"/>
          </w:tcPr>
          <w:p w14:paraId="08A7EBFC" w14:textId="77777777" w:rsidR="00DE2065" w:rsidRDefault="00DE2065" w:rsidP="00C01F9F">
            <w:pPr>
              <w:rPr>
                <w:sz w:val="18"/>
                <w:szCs w:val="18"/>
              </w:rPr>
            </w:pPr>
            <w:r>
              <w:rPr>
                <w:rFonts w:hint="eastAsia"/>
                <w:sz w:val="18"/>
                <w:szCs w:val="18"/>
              </w:rPr>
              <w:t>Behavior Change Practice</w:t>
            </w:r>
          </w:p>
        </w:tc>
        <w:tc>
          <w:tcPr>
            <w:tcW w:w="1503" w:type="dxa"/>
          </w:tcPr>
          <w:p w14:paraId="2D14CA8F" w14:textId="77777777" w:rsidR="00DE2065" w:rsidRDefault="00DE2065" w:rsidP="00C01F9F">
            <w:pPr>
              <w:rPr>
                <w:sz w:val="18"/>
                <w:szCs w:val="18"/>
              </w:rPr>
            </w:pPr>
            <w:r>
              <w:rPr>
                <w:rFonts w:hint="eastAsia"/>
                <w:sz w:val="18"/>
                <w:szCs w:val="18"/>
              </w:rPr>
              <w:t>Week 1 post-enrollment; ongoing weekly</w:t>
            </w:r>
          </w:p>
        </w:tc>
        <w:tc>
          <w:tcPr>
            <w:tcW w:w="4016" w:type="dxa"/>
          </w:tcPr>
          <w:p w14:paraId="11ABA9A4" w14:textId="77777777" w:rsidR="00DE2065" w:rsidRDefault="00DE2065" w:rsidP="00C01F9F">
            <w:pPr>
              <w:rPr>
                <w:sz w:val="18"/>
                <w:szCs w:val="18"/>
              </w:rPr>
            </w:pPr>
            <w:r>
              <w:rPr>
                <w:rFonts w:hint="eastAsia"/>
                <w:sz w:val="18"/>
                <w:szCs w:val="18"/>
              </w:rPr>
              <w:t>1. Instruct the patient to maintain a cognitive diary documenting daily activities, adherence to the multidomain intervention plan, and any difficulties encountered during training.</w:t>
            </w:r>
          </w:p>
          <w:p w14:paraId="0197BC51" w14:textId="77777777" w:rsidR="00DE2065" w:rsidRDefault="00DE2065" w:rsidP="00C01F9F">
            <w:pPr>
              <w:rPr>
                <w:sz w:val="18"/>
                <w:szCs w:val="18"/>
              </w:rPr>
            </w:pPr>
            <w:r>
              <w:rPr>
                <w:rFonts w:hint="eastAsia"/>
                <w:sz w:val="18"/>
                <w:szCs w:val="18"/>
              </w:rPr>
              <w:t>2. Teach self-regulation strategies using an "</w:t>
            </w:r>
            <w:r>
              <w:rPr>
                <w:sz w:val="18"/>
                <w:szCs w:val="18"/>
              </w:rPr>
              <w:t xml:space="preserve">If-Then" framework to support situational coping, </w:t>
            </w:r>
            <w:r w:rsidRPr="00C01F9F">
              <w:rPr>
                <w:sz w:val="18"/>
                <w:szCs w:val="18"/>
              </w:rPr>
              <w:t xml:space="preserve">defining </w:t>
            </w:r>
            <w:r>
              <w:rPr>
                <w:sz w:val="18"/>
                <w:szCs w:val="18"/>
              </w:rPr>
              <w:t xml:space="preserve">"situation recognition" and "coping behavior" to improve </w:t>
            </w:r>
            <w:r w:rsidRPr="00C01F9F">
              <w:rPr>
                <w:sz w:val="18"/>
                <w:szCs w:val="18"/>
              </w:rPr>
              <w:t xml:space="preserve">the </w:t>
            </w:r>
            <w:r>
              <w:rPr>
                <w:sz w:val="18"/>
                <w:szCs w:val="18"/>
              </w:rPr>
              <w:t xml:space="preserve">ability to </w:t>
            </w:r>
            <w:r w:rsidRPr="00C01F9F">
              <w:rPr>
                <w:sz w:val="18"/>
                <w:szCs w:val="18"/>
              </w:rPr>
              <w:t xml:space="preserve">manage </w:t>
            </w:r>
            <w:r>
              <w:rPr>
                <w:sz w:val="18"/>
                <w:szCs w:val="18"/>
              </w:rPr>
              <w:t>problems or difficulties.</w:t>
            </w:r>
          </w:p>
          <w:p w14:paraId="35202AB2" w14:textId="77777777" w:rsidR="00DE2065" w:rsidRDefault="00DE2065" w:rsidP="00C01F9F">
            <w:pPr>
              <w:rPr>
                <w:sz w:val="18"/>
                <w:szCs w:val="18"/>
              </w:rPr>
            </w:pPr>
            <w:r>
              <w:rPr>
                <w:rFonts w:hint="eastAsia"/>
                <w:sz w:val="18"/>
                <w:szCs w:val="18"/>
              </w:rPr>
              <w:t>3. Provide weekly summaries of monitoring data and use visualization tools to deliver feedback on training performance, guiding the patient in self-evaluation and reflective practice, and collaboratively developing improvement strategies.</w:t>
            </w:r>
          </w:p>
          <w:p w14:paraId="2E12BC24" w14:textId="77777777" w:rsidR="00DE2065" w:rsidRDefault="00DE2065" w:rsidP="00C01F9F">
            <w:pPr>
              <w:rPr>
                <w:sz w:val="18"/>
                <w:szCs w:val="18"/>
              </w:rPr>
            </w:pPr>
            <w:r>
              <w:rPr>
                <w:rFonts w:hint="eastAsia"/>
                <w:sz w:val="18"/>
                <w:szCs w:val="18"/>
              </w:rPr>
              <w:t>4. Conduct a monthly feedback session involving nurses, patients, and family members to jointly evaluate goal attainment. Based on adherence, performance, and identified challenges, dynamically adjust intervention goals, training content, and difficulty levels.</w:t>
            </w:r>
          </w:p>
          <w:p w14:paraId="1FC88F61" w14:textId="77777777" w:rsidR="00DE2065" w:rsidRDefault="00DE2065" w:rsidP="00C01F9F">
            <w:pPr>
              <w:rPr>
                <w:sz w:val="18"/>
                <w:szCs w:val="18"/>
              </w:rPr>
            </w:pPr>
            <w:r>
              <w:rPr>
                <w:rFonts w:hint="eastAsia"/>
                <w:sz w:val="18"/>
                <w:szCs w:val="18"/>
              </w:rPr>
              <w:t>5. Provide a structured multidomain intervention checklist, including: cognitive training (30</w:t>
            </w:r>
            <w:r>
              <w:rPr>
                <w:rFonts w:hint="eastAsia"/>
                <w:sz w:val="18"/>
                <w:szCs w:val="18"/>
              </w:rPr>
              <w:t>–</w:t>
            </w:r>
            <w:r>
              <w:rPr>
                <w:rFonts w:hint="eastAsia"/>
                <w:sz w:val="18"/>
                <w:szCs w:val="18"/>
              </w:rPr>
              <w:t xml:space="preserve">40 min/session, 3 sessions/week); physical exercise (30-45 min/session, 5 sessions/week); social activities (30 min/session, </w:t>
            </w:r>
            <w:r>
              <w:rPr>
                <w:rFonts w:hint="eastAsia"/>
                <w:sz w:val="18"/>
                <w:szCs w:val="18"/>
              </w:rPr>
              <w:t>≥</w:t>
            </w:r>
            <w:r>
              <w:rPr>
                <w:rFonts w:hint="eastAsia"/>
                <w:sz w:val="18"/>
                <w:szCs w:val="18"/>
              </w:rPr>
              <w:t>3 sessions/week); dietary guidance promoting adherence to the Mediterranean or MIND diet (reinforced monthly); and regular monitoring of vascular risk factors (every 3-6 months).</w:t>
            </w:r>
          </w:p>
        </w:tc>
        <w:tc>
          <w:tcPr>
            <w:tcW w:w="1605" w:type="dxa"/>
          </w:tcPr>
          <w:p w14:paraId="6C313358" w14:textId="77777777" w:rsidR="00DE2065" w:rsidRDefault="00DE2065" w:rsidP="00C01F9F">
            <w:pPr>
              <w:rPr>
                <w:sz w:val="18"/>
                <w:szCs w:val="18"/>
              </w:rPr>
            </w:pPr>
            <w:r>
              <w:rPr>
                <w:sz w:val="18"/>
                <w:szCs w:val="18"/>
              </w:rPr>
              <w:t>Face-to-face</w:t>
            </w:r>
            <w:r>
              <w:rPr>
                <w:rFonts w:hint="eastAsia"/>
                <w:sz w:val="18"/>
                <w:szCs w:val="18"/>
              </w:rPr>
              <w:t xml:space="preserve"> and online guidance</w:t>
            </w:r>
          </w:p>
          <w:p w14:paraId="368BBAE2" w14:textId="77777777" w:rsidR="00DE2065" w:rsidRDefault="00DE2065" w:rsidP="00C01F9F">
            <w:pPr>
              <w:rPr>
                <w:color w:val="000000"/>
                <w:sz w:val="18"/>
                <w:szCs w:val="18"/>
              </w:rPr>
            </w:pPr>
            <w:r>
              <w:rPr>
                <w:sz w:val="18"/>
                <w:szCs w:val="18"/>
              </w:rPr>
              <w:t xml:space="preserve">Location: </w:t>
            </w:r>
            <w:r>
              <w:rPr>
                <w:rFonts w:hint="eastAsia"/>
                <w:sz w:val="18"/>
                <w:szCs w:val="18"/>
              </w:rPr>
              <w:t>Offered both in-person at the clinic</w:t>
            </w:r>
            <w:r>
              <w:rPr>
                <w:sz w:val="18"/>
                <w:szCs w:val="18"/>
              </w:rPr>
              <w:t xml:space="preserve"> or </w:t>
            </w:r>
            <w:r>
              <w:rPr>
                <w:rFonts w:hint="eastAsia"/>
                <w:sz w:val="18"/>
                <w:szCs w:val="18"/>
              </w:rPr>
              <w:t xml:space="preserve">through </w:t>
            </w:r>
            <w:r>
              <w:rPr>
                <w:sz w:val="18"/>
                <w:szCs w:val="18"/>
              </w:rPr>
              <w:t>online consultation</w:t>
            </w:r>
            <w:r>
              <w:rPr>
                <w:rFonts w:hint="eastAsia"/>
                <w:sz w:val="18"/>
                <w:szCs w:val="18"/>
              </w:rPr>
              <w:t>s</w:t>
            </w:r>
          </w:p>
        </w:tc>
        <w:tc>
          <w:tcPr>
            <w:tcW w:w="1670" w:type="dxa"/>
          </w:tcPr>
          <w:p w14:paraId="298D2E5E" w14:textId="77777777" w:rsidR="00DE2065" w:rsidRDefault="00DE2065" w:rsidP="00C01F9F">
            <w:pPr>
              <w:rPr>
                <w:sz w:val="18"/>
                <w:szCs w:val="18"/>
              </w:rPr>
            </w:pPr>
            <w:r>
              <w:rPr>
                <w:rFonts w:hint="eastAsia"/>
                <w:sz w:val="18"/>
                <w:szCs w:val="18"/>
              </w:rPr>
              <w:t>Self-regulation and self-reflection guidance:r 5-10 minutes per session, once a week.</w:t>
            </w:r>
          </w:p>
        </w:tc>
      </w:tr>
      <w:tr w:rsidR="00DE2065" w14:paraId="207648CD" w14:textId="77777777" w:rsidTr="00C01F9F">
        <w:trPr>
          <w:trHeight w:val="143"/>
          <w:jc w:val="center"/>
        </w:trPr>
        <w:tc>
          <w:tcPr>
            <w:tcW w:w="1265" w:type="dxa"/>
            <w:vMerge/>
          </w:tcPr>
          <w:p w14:paraId="1FF15056" w14:textId="77777777" w:rsidR="00DE2065" w:rsidRDefault="00DE2065" w:rsidP="00C01F9F">
            <w:pPr>
              <w:rPr>
                <w:sz w:val="18"/>
                <w:szCs w:val="18"/>
              </w:rPr>
            </w:pPr>
          </w:p>
        </w:tc>
        <w:tc>
          <w:tcPr>
            <w:tcW w:w="1461" w:type="dxa"/>
          </w:tcPr>
          <w:p w14:paraId="07A3AAB1" w14:textId="77777777" w:rsidR="00DE2065" w:rsidRDefault="00DE2065" w:rsidP="00C01F9F">
            <w:pPr>
              <w:rPr>
                <w:sz w:val="18"/>
                <w:szCs w:val="18"/>
              </w:rPr>
            </w:pPr>
            <w:r>
              <w:rPr>
                <w:rFonts w:hint="eastAsia"/>
                <w:sz w:val="18"/>
                <w:szCs w:val="18"/>
              </w:rPr>
              <w:t>Social and environmental support</w:t>
            </w:r>
          </w:p>
        </w:tc>
        <w:tc>
          <w:tcPr>
            <w:tcW w:w="1503" w:type="dxa"/>
          </w:tcPr>
          <w:p w14:paraId="2CD80BAA" w14:textId="77777777" w:rsidR="00DE2065" w:rsidRDefault="00DE2065" w:rsidP="00C01F9F">
            <w:pPr>
              <w:rPr>
                <w:sz w:val="18"/>
                <w:szCs w:val="18"/>
              </w:rPr>
            </w:pPr>
            <w:r>
              <w:rPr>
                <w:rFonts w:hint="eastAsia"/>
                <w:color w:val="000000"/>
                <w:sz w:val="18"/>
                <w:szCs w:val="18"/>
              </w:rPr>
              <w:t>Week 1 post-enrollment; monthly thereafter</w:t>
            </w:r>
          </w:p>
        </w:tc>
        <w:tc>
          <w:tcPr>
            <w:tcW w:w="4016" w:type="dxa"/>
          </w:tcPr>
          <w:p w14:paraId="7744378B" w14:textId="77777777" w:rsidR="00DE2065" w:rsidRDefault="00DE2065" w:rsidP="00C01F9F">
            <w:pPr>
              <w:rPr>
                <w:sz w:val="18"/>
                <w:szCs w:val="18"/>
              </w:rPr>
            </w:pPr>
            <w:r>
              <w:rPr>
                <w:rFonts w:hint="eastAsia"/>
                <w:sz w:val="18"/>
                <w:szCs w:val="18"/>
              </w:rPr>
              <w:t>1. Deliver empowerment training for family caregivers, including guidance on designating a primary caregiver responsible for accompanying patients and supervising adherence to daily training tasks.</w:t>
            </w:r>
          </w:p>
          <w:p w14:paraId="0F13D7F2" w14:textId="77777777" w:rsidR="00DE2065" w:rsidRDefault="00DE2065" w:rsidP="00C01F9F">
            <w:pPr>
              <w:rPr>
                <w:sz w:val="18"/>
                <w:szCs w:val="18"/>
              </w:rPr>
            </w:pPr>
            <w:r>
              <w:rPr>
                <w:rFonts w:hint="eastAsia"/>
                <w:sz w:val="18"/>
                <w:szCs w:val="18"/>
              </w:rPr>
              <w:t>2. Organize regular in-person group activities and implement peer-pairing and mutual-support programs within the community to enhance social engagement and support.</w:t>
            </w:r>
          </w:p>
          <w:p w14:paraId="0750098D" w14:textId="77777777" w:rsidR="00DE2065" w:rsidRDefault="00DE2065" w:rsidP="00C01F9F">
            <w:pPr>
              <w:rPr>
                <w:sz w:val="18"/>
                <w:szCs w:val="18"/>
              </w:rPr>
            </w:pPr>
            <w:r>
              <w:rPr>
                <w:rFonts w:hint="eastAsia"/>
                <w:sz w:val="18"/>
                <w:szCs w:val="18"/>
              </w:rPr>
              <w:t>3. Provide ongoing engagement through digital reminders (e.g., WeChat messages sent three times per week) accompanied by motivational content and maintain continuous nurse</w:t>
            </w:r>
            <w:r>
              <w:rPr>
                <w:rFonts w:hint="eastAsia"/>
                <w:sz w:val="18"/>
                <w:szCs w:val="18"/>
              </w:rPr>
              <w:t>–</w:t>
            </w:r>
            <w:r>
              <w:rPr>
                <w:rFonts w:hint="eastAsia"/>
                <w:sz w:val="18"/>
                <w:szCs w:val="18"/>
              </w:rPr>
              <w:t xml:space="preserve">patient interaction </w:t>
            </w:r>
            <w:r>
              <w:rPr>
                <w:rFonts w:hint="eastAsia"/>
                <w:sz w:val="18"/>
                <w:szCs w:val="18"/>
              </w:rPr>
              <w:lastRenderedPageBreak/>
              <w:t>through monthly in-person consultations or follow-up calls, thereby fostering sustained therapeutic relationships and trust.</w:t>
            </w:r>
          </w:p>
        </w:tc>
        <w:tc>
          <w:tcPr>
            <w:tcW w:w="1605" w:type="dxa"/>
          </w:tcPr>
          <w:p w14:paraId="248B2743" w14:textId="77777777" w:rsidR="00DE2065" w:rsidRDefault="00DE2065" w:rsidP="00C01F9F">
            <w:pPr>
              <w:rPr>
                <w:sz w:val="18"/>
                <w:szCs w:val="18"/>
              </w:rPr>
            </w:pPr>
            <w:r>
              <w:rPr>
                <w:sz w:val="18"/>
                <w:szCs w:val="18"/>
              </w:rPr>
              <w:lastRenderedPageBreak/>
              <w:t>Face-to-face</w:t>
            </w:r>
            <w:r>
              <w:rPr>
                <w:rFonts w:hint="eastAsia"/>
                <w:sz w:val="18"/>
                <w:szCs w:val="18"/>
              </w:rPr>
              <w:t xml:space="preserve"> and online guidance</w:t>
            </w:r>
          </w:p>
          <w:p w14:paraId="096E024B" w14:textId="77777777" w:rsidR="00DE2065" w:rsidRDefault="00DE2065" w:rsidP="00C01F9F">
            <w:pPr>
              <w:rPr>
                <w:sz w:val="18"/>
                <w:szCs w:val="18"/>
              </w:rPr>
            </w:pPr>
            <w:r>
              <w:rPr>
                <w:sz w:val="18"/>
                <w:szCs w:val="18"/>
              </w:rPr>
              <w:t xml:space="preserve">Location: </w:t>
            </w:r>
            <w:r>
              <w:rPr>
                <w:rFonts w:hint="eastAsia"/>
                <w:sz w:val="18"/>
                <w:szCs w:val="18"/>
              </w:rPr>
              <w:t>Offered both in-person at the clinic</w:t>
            </w:r>
            <w:r>
              <w:rPr>
                <w:sz w:val="18"/>
                <w:szCs w:val="18"/>
              </w:rPr>
              <w:t xml:space="preserve"> or </w:t>
            </w:r>
            <w:r>
              <w:rPr>
                <w:rFonts w:hint="eastAsia"/>
                <w:sz w:val="18"/>
                <w:szCs w:val="18"/>
              </w:rPr>
              <w:t xml:space="preserve">through </w:t>
            </w:r>
            <w:r>
              <w:rPr>
                <w:sz w:val="18"/>
                <w:szCs w:val="18"/>
              </w:rPr>
              <w:t>online consultation</w:t>
            </w:r>
            <w:r>
              <w:rPr>
                <w:rFonts w:hint="eastAsia"/>
                <w:sz w:val="18"/>
                <w:szCs w:val="18"/>
              </w:rPr>
              <w:t>s</w:t>
            </w:r>
          </w:p>
        </w:tc>
        <w:tc>
          <w:tcPr>
            <w:tcW w:w="1670" w:type="dxa"/>
          </w:tcPr>
          <w:p w14:paraId="5C5ABFA0" w14:textId="77777777" w:rsidR="00DE2065" w:rsidRDefault="00DE2065" w:rsidP="00C01F9F">
            <w:pPr>
              <w:rPr>
                <w:sz w:val="18"/>
                <w:szCs w:val="18"/>
              </w:rPr>
            </w:pPr>
            <w:r>
              <w:rPr>
                <w:rFonts w:hint="eastAsia"/>
                <w:sz w:val="18"/>
                <w:szCs w:val="18"/>
              </w:rPr>
              <w:t>Family caregiver empowerment training: 20 minutes, once a month; patient group activities: 30 minutes, once a week; nurse</w:t>
            </w:r>
            <w:r>
              <w:rPr>
                <w:rFonts w:hint="eastAsia"/>
                <w:sz w:val="18"/>
                <w:szCs w:val="18"/>
              </w:rPr>
              <w:t>–</w:t>
            </w:r>
            <w:r>
              <w:rPr>
                <w:rFonts w:hint="eastAsia"/>
                <w:sz w:val="18"/>
                <w:szCs w:val="18"/>
              </w:rPr>
              <w:t>patient communication: 10</w:t>
            </w:r>
            <w:r>
              <w:rPr>
                <w:rFonts w:hint="eastAsia"/>
                <w:sz w:val="18"/>
                <w:szCs w:val="18"/>
              </w:rPr>
              <w:t>–</w:t>
            </w:r>
            <w:r>
              <w:rPr>
                <w:rFonts w:hint="eastAsia"/>
                <w:sz w:val="18"/>
                <w:szCs w:val="18"/>
              </w:rPr>
              <w:t>20 minutes per session, at least once a week.</w:t>
            </w:r>
          </w:p>
        </w:tc>
      </w:tr>
    </w:tbl>
    <w:p w14:paraId="2DBA6ACC" w14:textId="77777777" w:rsidR="00DE2065" w:rsidRPr="00DE2065" w:rsidRDefault="00DE2065">
      <w:pPr>
        <w:rPr>
          <w:rFonts w:hint="eastAsia"/>
          <w:b/>
          <w:bCs/>
          <w:sz w:val="24"/>
          <w:szCs w:val="32"/>
        </w:rPr>
      </w:pPr>
    </w:p>
    <w:sectPr w:rsidR="00DE2065" w:rsidRPr="00DE206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060B2" w14:textId="77777777" w:rsidR="00BD77AC" w:rsidRDefault="00BD77AC" w:rsidP="00C55D34">
      <w:r>
        <w:separator/>
      </w:r>
    </w:p>
  </w:endnote>
  <w:endnote w:type="continuationSeparator" w:id="0">
    <w:p w14:paraId="57433269" w14:textId="77777777" w:rsidR="00BD77AC" w:rsidRDefault="00BD77AC" w:rsidP="00C55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8B3A1" w14:textId="77777777" w:rsidR="00BD77AC" w:rsidRDefault="00BD77AC" w:rsidP="00C55D34">
      <w:r>
        <w:separator/>
      </w:r>
    </w:p>
  </w:footnote>
  <w:footnote w:type="continuationSeparator" w:id="0">
    <w:p w14:paraId="71E8C638" w14:textId="77777777" w:rsidR="00BD77AC" w:rsidRDefault="00BD77AC" w:rsidP="00C55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45420"/>
    <w:rsid w:val="00010D5A"/>
    <w:rsid w:val="00153A06"/>
    <w:rsid w:val="00482149"/>
    <w:rsid w:val="004C5501"/>
    <w:rsid w:val="005727C0"/>
    <w:rsid w:val="005A16C5"/>
    <w:rsid w:val="006D1CD1"/>
    <w:rsid w:val="007E3AFA"/>
    <w:rsid w:val="00873880"/>
    <w:rsid w:val="00B16F6B"/>
    <w:rsid w:val="00B9674C"/>
    <w:rsid w:val="00BD77AC"/>
    <w:rsid w:val="00C55D34"/>
    <w:rsid w:val="00D33255"/>
    <w:rsid w:val="00DE2065"/>
    <w:rsid w:val="00F454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B8B747"/>
  <w15:chartTrackingRefBased/>
  <w15:docId w15:val="{4DD741DD-74D5-4ED4-B225-4777724B3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4542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F4542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4542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45420"/>
    <w:pPr>
      <w:keepNext/>
      <w:keepLines/>
      <w:spacing w:before="80" w:after="40"/>
      <w:outlineLvl w:val="3"/>
    </w:pPr>
    <w:rPr>
      <w:rFonts w:asciiTheme="minorHAnsi"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F45420"/>
    <w:pPr>
      <w:keepNext/>
      <w:keepLines/>
      <w:spacing w:before="80" w:after="40"/>
      <w:outlineLvl w:val="4"/>
    </w:pPr>
    <w:rPr>
      <w:rFonts w:asciiTheme="minorHAnsi" w:hAnsiTheme="minorHAnsi" w:cstheme="majorBidi"/>
      <w:color w:val="0F4761" w:themeColor="accent1" w:themeShade="BF"/>
      <w:sz w:val="24"/>
    </w:rPr>
  </w:style>
  <w:style w:type="paragraph" w:styleId="6">
    <w:name w:val="heading 6"/>
    <w:basedOn w:val="a"/>
    <w:next w:val="a"/>
    <w:link w:val="60"/>
    <w:uiPriority w:val="9"/>
    <w:semiHidden/>
    <w:unhideWhenUsed/>
    <w:qFormat/>
    <w:rsid w:val="00F45420"/>
    <w:pPr>
      <w:keepNext/>
      <w:keepLines/>
      <w:spacing w:before="40"/>
      <w:outlineLvl w:val="5"/>
    </w:pPr>
    <w:rPr>
      <w:rFonts w:asciiTheme="minorHAnsi" w:hAnsiTheme="minorHAnsi" w:cstheme="majorBidi"/>
      <w:b/>
      <w:bCs/>
      <w:color w:val="0F4761" w:themeColor="accent1" w:themeShade="BF"/>
    </w:rPr>
  </w:style>
  <w:style w:type="paragraph" w:styleId="7">
    <w:name w:val="heading 7"/>
    <w:basedOn w:val="a"/>
    <w:next w:val="a"/>
    <w:link w:val="70"/>
    <w:uiPriority w:val="9"/>
    <w:semiHidden/>
    <w:unhideWhenUsed/>
    <w:qFormat/>
    <w:rsid w:val="00F45420"/>
    <w:pPr>
      <w:keepNext/>
      <w:keepLines/>
      <w:spacing w:before="40"/>
      <w:outlineLvl w:val="6"/>
    </w:pPr>
    <w:rPr>
      <w:rFonts w:asciiTheme="minorHAnsi" w:hAnsiTheme="minorHAnsi" w:cstheme="majorBidi"/>
      <w:b/>
      <w:bCs/>
      <w:color w:val="595959" w:themeColor="text1" w:themeTint="A6"/>
    </w:rPr>
  </w:style>
  <w:style w:type="paragraph" w:styleId="8">
    <w:name w:val="heading 8"/>
    <w:basedOn w:val="a"/>
    <w:next w:val="a"/>
    <w:link w:val="80"/>
    <w:uiPriority w:val="9"/>
    <w:semiHidden/>
    <w:unhideWhenUsed/>
    <w:qFormat/>
    <w:rsid w:val="00F45420"/>
    <w:pPr>
      <w:keepNext/>
      <w:keepLines/>
      <w:outlineLvl w:val="7"/>
    </w:pPr>
    <w:rPr>
      <w:rFonts w:asciiTheme="minorHAnsi" w:hAnsiTheme="minorHAnsi" w:cstheme="majorBidi"/>
      <w:color w:val="595959" w:themeColor="text1" w:themeTint="A6"/>
    </w:rPr>
  </w:style>
  <w:style w:type="paragraph" w:styleId="9">
    <w:name w:val="heading 9"/>
    <w:basedOn w:val="a"/>
    <w:next w:val="a"/>
    <w:link w:val="90"/>
    <w:uiPriority w:val="9"/>
    <w:semiHidden/>
    <w:unhideWhenUsed/>
    <w:qFormat/>
    <w:rsid w:val="00F45420"/>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4542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sid w:val="00F4542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4542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45420"/>
    <w:rPr>
      <w:rFonts w:asciiTheme="minorHAnsi" w:hAnsiTheme="minorHAnsi" w:cstheme="majorBidi"/>
      <w:color w:val="0F4761" w:themeColor="accent1" w:themeShade="BF"/>
      <w:sz w:val="28"/>
      <w:szCs w:val="28"/>
    </w:rPr>
  </w:style>
  <w:style w:type="character" w:customStyle="1" w:styleId="50">
    <w:name w:val="标题 5 字符"/>
    <w:basedOn w:val="a0"/>
    <w:link w:val="5"/>
    <w:uiPriority w:val="9"/>
    <w:semiHidden/>
    <w:rsid w:val="00F45420"/>
    <w:rPr>
      <w:rFonts w:asciiTheme="minorHAnsi" w:hAnsiTheme="minorHAnsi" w:cstheme="majorBidi"/>
      <w:color w:val="0F4761" w:themeColor="accent1" w:themeShade="BF"/>
      <w:sz w:val="24"/>
    </w:rPr>
  </w:style>
  <w:style w:type="character" w:customStyle="1" w:styleId="60">
    <w:name w:val="标题 6 字符"/>
    <w:basedOn w:val="a0"/>
    <w:link w:val="6"/>
    <w:uiPriority w:val="9"/>
    <w:semiHidden/>
    <w:rsid w:val="00F45420"/>
    <w:rPr>
      <w:rFonts w:asciiTheme="minorHAnsi" w:hAnsiTheme="minorHAnsi" w:cstheme="majorBidi"/>
      <w:b/>
      <w:bCs/>
      <w:color w:val="0F4761" w:themeColor="accent1" w:themeShade="BF"/>
    </w:rPr>
  </w:style>
  <w:style w:type="character" w:customStyle="1" w:styleId="70">
    <w:name w:val="标题 7 字符"/>
    <w:basedOn w:val="a0"/>
    <w:link w:val="7"/>
    <w:uiPriority w:val="9"/>
    <w:semiHidden/>
    <w:rsid w:val="00F45420"/>
    <w:rPr>
      <w:rFonts w:asciiTheme="minorHAnsi" w:hAnsiTheme="minorHAnsi" w:cstheme="majorBidi"/>
      <w:b/>
      <w:bCs/>
      <w:color w:val="595959" w:themeColor="text1" w:themeTint="A6"/>
    </w:rPr>
  </w:style>
  <w:style w:type="character" w:customStyle="1" w:styleId="80">
    <w:name w:val="标题 8 字符"/>
    <w:basedOn w:val="a0"/>
    <w:link w:val="8"/>
    <w:uiPriority w:val="9"/>
    <w:semiHidden/>
    <w:rsid w:val="00F45420"/>
    <w:rPr>
      <w:rFonts w:asciiTheme="minorHAnsi" w:hAnsiTheme="minorHAnsi" w:cstheme="majorBidi"/>
      <w:color w:val="595959" w:themeColor="text1" w:themeTint="A6"/>
    </w:rPr>
  </w:style>
  <w:style w:type="character" w:customStyle="1" w:styleId="90">
    <w:name w:val="标题 9 字符"/>
    <w:basedOn w:val="a0"/>
    <w:link w:val="9"/>
    <w:uiPriority w:val="9"/>
    <w:semiHidden/>
    <w:rsid w:val="00F45420"/>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F4542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454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4542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4542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45420"/>
    <w:pPr>
      <w:spacing w:before="160" w:after="160"/>
      <w:jc w:val="center"/>
    </w:pPr>
    <w:rPr>
      <w:i/>
      <w:iCs/>
      <w:color w:val="404040" w:themeColor="text1" w:themeTint="BF"/>
    </w:rPr>
  </w:style>
  <w:style w:type="character" w:customStyle="1" w:styleId="a8">
    <w:name w:val="引用 字符"/>
    <w:basedOn w:val="a0"/>
    <w:link w:val="a7"/>
    <w:uiPriority w:val="29"/>
    <w:rsid w:val="00F45420"/>
    <w:rPr>
      <w:i/>
      <w:iCs/>
      <w:color w:val="404040" w:themeColor="text1" w:themeTint="BF"/>
    </w:rPr>
  </w:style>
  <w:style w:type="paragraph" w:styleId="a9">
    <w:name w:val="List Paragraph"/>
    <w:basedOn w:val="a"/>
    <w:uiPriority w:val="34"/>
    <w:qFormat/>
    <w:rsid w:val="00F45420"/>
    <w:pPr>
      <w:ind w:left="720"/>
      <w:contextualSpacing/>
    </w:pPr>
  </w:style>
  <w:style w:type="character" w:styleId="aa">
    <w:name w:val="Intense Emphasis"/>
    <w:basedOn w:val="a0"/>
    <w:uiPriority w:val="21"/>
    <w:qFormat/>
    <w:rsid w:val="00F45420"/>
    <w:rPr>
      <w:i/>
      <w:iCs/>
      <w:color w:val="0F4761" w:themeColor="accent1" w:themeShade="BF"/>
    </w:rPr>
  </w:style>
  <w:style w:type="paragraph" w:styleId="ab">
    <w:name w:val="Intense Quote"/>
    <w:basedOn w:val="a"/>
    <w:next w:val="a"/>
    <w:link w:val="ac"/>
    <w:uiPriority w:val="30"/>
    <w:qFormat/>
    <w:rsid w:val="00F454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45420"/>
    <w:rPr>
      <w:i/>
      <w:iCs/>
      <w:color w:val="0F4761" w:themeColor="accent1" w:themeShade="BF"/>
    </w:rPr>
  </w:style>
  <w:style w:type="character" w:styleId="ad">
    <w:name w:val="Intense Reference"/>
    <w:basedOn w:val="a0"/>
    <w:uiPriority w:val="32"/>
    <w:qFormat/>
    <w:rsid w:val="00F45420"/>
    <w:rPr>
      <w:b/>
      <w:bCs/>
      <w:smallCaps/>
      <w:color w:val="0F4761" w:themeColor="accent1" w:themeShade="BF"/>
      <w:spacing w:val="5"/>
    </w:rPr>
  </w:style>
  <w:style w:type="paragraph" w:styleId="ae">
    <w:name w:val="header"/>
    <w:basedOn w:val="a"/>
    <w:link w:val="af"/>
    <w:uiPriority w:val="99"/>
    <w:unhideWhenUsed/>
    <w:rsid w:val="00C55D34"/>
    <w:pPr>
      <w:tabs>
        <w:tab w:val="center" w:pos="4153"/>
        <w:tab w:val="right" w:pos="8306"/>
      </w:tabs>
      <w:snapToGrid w:val="0"/>
      <w:jc w:val="center"/>
    </w:pPr>
    <w:rPr>
      <w:sz w:val="18"/>
      <w:szCs w:val="18"/>
    </w:rPr>
  </w:style>
  <w:style w:type="character" w:customStyle="1" w:styleId="af">
    <w:name w:val="页眉 字符"/>
    <w:basedOn w:val="a0"/>
    <w:link w:val="ae"/>
    <w:uiPriority w:val="99"/>
    <w:rsid w:val="00C55D34"/>
    <w:rPr>
      <w:sz w:val="18"/>
      <w:szCs w:val="18"/>
    </w:rPr>
  </w:style>
  <w:style w:type="paragraph" w:styleId="af0">
    <w:name w:val="footer"/>
    <w:basedOn w:val="a"/>
    <w:link w:val="af1"/>
    <w:uiPriority w:val="99"/>
    <w:unhideWhenUsed/>
    <w:rsid w:val="00C55D34"/>
    <w:pPr>
      <w:tabs>
        <w:tab w:val="center" w:pos="4153"/>
        <w:tab w:val="right" w:pos="8306"/>
      </w:tabs>
      <w:snapToGrid w:val="0"/>
      <w:jc w:val="left"/>
    </w:pPr>
    <w:rPr>
      <w:sz w:val="18"/>
      <w:szCs w:val="18"/>
    </w:rPr>
  </w:style>
  <w:style w:type="character" w:customStyle="1" w:styleId="af1">
    <w:name w:val="页脚 字符"/>
    <w:basedOn w:val="a0"/>
    <w:link w:val="af0"/>
    <w:uiPriority w:val="99"/>
    <w:rsid w:val="00C55D34"/>
    <w:rPr>
      <w:sz w:val="18"/>
      <w:szCs w:val="18"/>
    </w:rPr>
  </w:style>
  <w:style w:type="table" w:styleId="af2">
    <w:name w:val="Table Grid"/>
    <w:basedOn w:val="a1"/>
    <w:uiPriority w:val="39"/>
    <w:qFormat/>
    <w:rsid w:val="00DE2065"/>
    <w:rPr>
      <w:rFonts w:eastAsia="宋体"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609820">
      <w:bodyDiv w:val="1"/>
      <w:marLeft w:val="0"/>
      <w:marRight w:val="0"/>
      <w:marTop w:val="0"/>
      <w:marBottom w:val="0"/>
      <w:divBdr>
        <w:top w:val="none" w:sz="0" w:space="0" w:color="auto"/>
        <w:left w:val="none" w:sz="0" w:space="0" w:color="auto"/>
        <w:bottom w:val="none" w:sz="0" w:space="0" w:color="auto"/>
        <w:right w:val="none" w:sz="0" w:space="0" w:color="auto"/>
      </w:divBdr>
    </w:div>
    <w:div w:id="203144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sv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5</Pages>
  <Words>1804</Words>
  <Characters>10307</Characters>
  <Application>Microsoft Office Word</Application>
  <DocSecurity>0</DocSecurity>
  <Lines>1472</Lines>
  <Paragraphs>114</Paragraphs>
  <ScaleCrop>false</ScaleCrop>
  <Company/>
  <LinksUpToDate>false</LinksUpToDate>
  <CharactersWithSpaces>11997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睿 任</dc:creator>
  <cp:keywords/>
  <dc:description/>
  <cp:lastModifiedBy>睿 任</cp:lastModifiedBy>
  <cp:revision>9</cp:revision>
  <dcterms:created xsi:type="dcterms:W3CDTF">2026-07-22T02:25:00Z</dcterms:created>
  <dcterms:modified xsi:type="dcterms:W3CDTF">2026-07-22T07:35:00Z</dcterms:modified>
</cp:coreProperties>
</file>