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sz w:val="24"/>
          <w:lang w:val="en-US" w:eastAsia="zh-CN"/>
        </w:rPr>
      </w:pPr>
      <w:r>
        <w:drawing>
          <wp:inline distT="0" distB="0" distL="114300" distR="114300">
            <wp:extent cx="2562860" cy="2213610"/>
            <wp:effectExtent l="0" t="0" r="2540" b="8890"/>
            <wp:docPr id="5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drawing>
          <wp:inline distT="0" distB="0" distL="114300" distR="114300">
            <wp:extent cx="2646680" cy="2461260"/>
            <wp:effectExtent l="0" t="0" r="7620" b="2540"/>
            <wp:docPr id="53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Fig. 3. The trend of the FACT-B and Constant-Murley scores between the two groups over time.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F4F8E"/>
    <w:rsid w:val="19341514"/>
    <w:rsid w:val="3B0F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&#27605;&#19994;&#35838;&#39064;\&#26679;&#26412;&#25968;&#25454;\&#32467;&#26524;&#22270;2(70%20&#20154;&#65289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D:\&#27605;&#19994;&#35838;&#39064;\&#26679;&#26412;&#25968;&#25454;\&#32467;&#26524;&#22270;2(70%20&#20154;&#6528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8869507930656"/>
          <c:y val="0.185448034039548"/>
          <c:w val="0.794707708923991"/>
          <c:h val="0.707271813429835"/>
        </c:manualLayout>
      </c:layout>
      <c:lineChart>
        <c:grouping val="standard"/>
        <c:varyColors val="0"/>
        <c:ser>
          <c:idx val="0"/>
          <c:order val="0"/>
          <c:tx>
            <c:strRef>
              <c:f>'[结果图2(70 人）.xlsx]Sheet1'!$A$20</c:f>
              <c:strCache>
                <c:ptCount val="1"/>
                <c:pt idx="0">
                  <c:v>Intervention group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'[结果图2(70 人）.xlsx]Sheet1'!$G$20:$J$20</c:f>
                <c:numCache>
                  <c:formatCode>General</c:formatCode>
                  <c:ptCount val="4"/>
                  <c:pt idx="0">
                    <c:v>8.49</c:v>
                  </c:pt>
                  <c:pt idx="1">
                    <c:v>7.3</c:v>
                  </c:pt>
                  <c:pt idx="2">
                    <c:v>8.53</c:v>
                  </c:pt>
                  <c:pt idx="3">
                    <c:v>6.25</c:v>
                  </c:pt>
                </c:numCache>
              </c:numRef>
            </c:plus>
            <c:minus>
              <c:numRef>
                <c:f>'[结果图2(70 人）.xlsx]Sheet1'!$G$20:$J$20</c:f>
                <c:numCache>
                  <c:formatCode>General</c:formatCode>
                  <c:ptCount val="4"/>
                  <c:pt idx="0">
                    <c:v>8.49</c:v>
                  </c:pt>
                  <c:pt idx="1">
                    <c:v>7.3</c:v>
                  </c:pt>
                  <c:pt idx="2">
                    <c:v>8.53</c:v>
                  </c:pt>
                  <c:pt idx="3">
                    <c:v>6.25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'[结果图2(70 人）.xlsx]Sheet1'!$B$19:$E$19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12</c:v>
                </c:pt>
              </c:numCache>
            </c:numRef>
          </c:cat>
          <c:val>
            <c:numRef>
              <c:f>'[结果图2(70 人）.xlsx]Sheet1'!$B$20:$E$20</c:f>
              <c:numCache>
                <c:formatCode>General</c:formatCode>
                <c:ptCount val="4"/>
                <c:pt idx="0">
                  <c:v>93.55</c:v>
                </c:pt>
                <c:pt idx="1">
                  <c:v>100.57</c:v>
                </c:pt>
                <c:pt idx="2">
                  <c:v>110.87</c:v>
                </c:pt>
                <c:pt idx="3">
                  <c:v>113.26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'[结果图2(70 人）.xlsx]Sheet1'!$A$21</c:f>
              <c:strCache>
                <c:ptCount val="1"/>
                <c:pt idx="0">
                  <c:v>Control group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'[结果图2(70 人）.xlsx]Sheet1'!$G$21:$J$21</c:f>
                <c:numCache>
                  <c:formatCode>General</c:formatCode>
                  <c:ptCount val="4"/>
                  <c:pt idx="0">
                    <c:v>10.7</c:v>
                  </c:pt>
                  <c:pt idx="1">
                    <c:v>10.2</c:v>
                  </c:pt>
                  <c:pt idx="2">
                    <c:v>8.23</c:v>
                  </c:pt>
                  <c:pt idx="3">
                    <c:v>6.72</c:v>
                  </c:pt>
                </c:numCache>
              </c:numRef>
            </c:plus>
            <c:minus>
              <c:numRef>
                <c:f>'[结果图2(70 人）.xlsx]Sheet1'!$G$21:$J$21</c:f>
                <c:numCache>
                  <c:formatCode>General</c:formatCode>
                  <c:ptCount val="4"/>
                  <c:pt idx="0">
                    <c:v>10.7</c:v>
                  </c:pt>
                  <c:pt idx="1">
                    <c:v>10.2</c:v>
                  </c:pt>
                  <c:pt idx="2">
                    <c:v>8.23</c:v>
                  </c:pt>
                  <c:pt idx="3">
                    <c:v>6.72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'[结果图2(70 人）.xlsx]Sheet1'!$B$19:$E$19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12</c:v>
                </c:pt>
              </c:numCache>
            </c:numRef>
          </c:cat>
          <c:val>
            <c:numRef>
              <c:f>'[结果图2(70 人）.xlsx]Sheet1'!$B$21:$E$21</c:f>
              <c:numCache>
                <c:formatCode>General</c:formatCode>
                <c:ptCount val="4"/>
                <c:pt idx="0">
                  <c:v>93.89</c:v>
                </c:pt>
                <c:pt idx="1">
                  <c:v>99.89</c:v>
                </c:pt>
                <c:pt idx="2">
                  <c:v>101.66</c:v>
                </c:pt>
                <c:pt idx="3">
                  <c:v>106.17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997861"/>
        <c:axId val="547427447"/>
      </c:lineChart>
      <c:catAx>
        <c:axId val="65997861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6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软雅黑" panose="020B0503020204020204" charset="-122"/>
                    <a:ea typeface="微软雅黑" panose="020B0503020204020204" charset="-122"/>
                    <a:cs typeface="微软雅黑" panose="020B0503020204020204" charset="-122"/>
                    <a:sym typeface="微软雅黑" panose="020B0503020204020204" charset="-122"/>
                  </a:defRPr>
                </a:pPr>
                <a:r>
                  <a:rPr lang="en-US" altLang="zh-CN" sz="650">
                    <a:latin typeface="微软雅黑" panose="020B0503020204020204" charset="-122"/>
                    <a:ea typeface="微软雅黑" panose="020B0503020204020204" charset="-122"/>
                    <a:cs typeface="微软雅黑" panose="020B0503020204020204" charset="-122"/>
                    <a:sym typeface="微软雅黑" panose="020B0503020204020204" charset="-122"/>
                  </a:rPr>
                  <a:t>Time (weeks)</a:t>
                </a:r>
                <a:endParaRPr lang="en-US" altLang="zh-CN" sz="650">
                  <a:latin typeface="微软雅黑" panose="020B0503020204020204" charset="-122"/>
                  <a:ea typeface="微软雅黑" panose="020B0503020204020204" charset="-122"/>
                  <a:cs typeface="微软雅黑" panose="020B0503020204020204" charset="-122"/>
                  <a:sym typeface="微软雅黑" panose="020B0503020204020204" charset="-122"/>
                </a:endParaRPr>
              </a:p>
            </c:rich>
          </c:tx>
          <c:layout>
            <c:manualLayout>
              <c:xMode val="edge"/>
              <c:yMode val="edge"/>
              <c:x val="0.423577427156279"/>
              <c:y val="0.927423981640849"/>
            </c:manualLayout>
          </c:layout>
          <c:overlay val="0"/>
          <c:spPr>
            <a:noFill/>
            <a:ln>
              <a:noFill/>
            </a:ln>
            <a:effectLst/>
          </c:spPr>
        </c:title>
        <c:majorTickMark val="in"/>
        <c:minorTickMark val="none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charset="-122"/>
                <a:ea typeface="微软雅黑" panose="020B0503020204020204" charset="-122"/>
                <a:cs typeface="微软雅黑" panose="020B0503020204020204" charset="-122"/>
                <a:sym typeface="微软雅黑" panose="020B0503020204020204" charset="-122"/>
              </a:defRPr>
            </a:pPr>
          </a:p>
        </c:txPr>
        <c:crossAx val="547427447"/>
        <c:crosses val="autoZero"/>
        <c:auto val="1"/>
        <c:lblAlgn val="ctr"/>
        <c:lblOffset val="11"/>
        <c:noMultiLvlLbl val="0"/>
      </c:catAx>
      <c:valAx>
        <c:axId val="547427447"/>
        <c:scaling>
          <c:orientation val="minMax"/>
          <c:max val="120"/>
          <c:min val="8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6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软雅黑" panose="020B0503020204020204" charset="-122"/>
                    <a:ea typeface="微软雅黑" panose="020B0503020204020204" charset="-122"/>
                    <a:cs typeface="微软雅黑" panose="020B0503020204020204" charset="-122"/>
                    <a:sym typeface="微软雅黑" panose="020B0503020204020204" charset="-122"/>
                  </a:defRPr>
                </a:pPr>
                <a:r>
                  <a:rPr lang="en-US" altLang="zh-CN" sz="650">
                    <a:latin typeface="微软雅黑" panose="020B0503020204020204" charset="-122"/>
                    <a:ea typeface="微软雅黑" panose="020B0503020204020204" charset="-122"/>
                    <a:cs typeface="微软雅黑" panose="020B0503020204020204" charset="-122"/>
                    <a:sym typeface="微软雅黑" panose="020B0503020204020204" charset="-122"/>
                  </a:rPr>
                  <a:t>FACT-B  scores</a:t>
                </a:r>
                <a:endParaRPr lang="en-US" altLang="zh-CN" sz="650">
                  <a:latin typeface="微软雅黑" panose="020B0503020204020204" charset="-122"/>
                  <a:ea typeface="微软雅黑" panose="020B0503020204020204" charset="-122"/>
                  <a:cs typeface="微软雅黑" panose="020B0503020204020204" charset="-122"/>
                  <a:sym typeface="微软雅黑" panose="020B0503020204020204" charset="-122"/>
                </a:endParaRPr>
              </a:p>
            </c:rich>
          </c:tx>
          <c:layout>
            <c:manualLayout>
              <c:xMode val="edge"/>
              <c:yMode val="edge"/>
              <c:x val="0.00538599640933573"/>
              <c:y val="0.45931256464577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in"/>
        <c:minorTickMark val="none"/>
        <c:tickLblPos val="nextTo"/>
        <c:spPr>
          <a:noFill/>
          <a:ln w="25400" cmpd="sng">
            <a:solidFill>
              <a:schemeClr val="tx1"/>
            </a:solidFill>
            <a:prstDash val="solid"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charset="-122"/>
                <a:ea typeface="微软雅黑" panose="020B0503020204020204" charset="-122"/>
                <a:cs typeface="微软雅黑" panose="020B0503020204020204" charset="-122"/>
                <a:sym typeface="微软雅黑" panose="020B0503020204020204" charset="-122"/>
              </a:defRPr>
            </a:pPr>
          </a:p>
        </c:txPr>
        <c:crossAx val="65997861"/>
        <c:crosses val="autoZero"/>
        <c:crossBetween val="midCat"/>
        <c:majorUnit val="10"/>
      </c:valAx>
      <c:spPr>
        <a:noFill/>
        <a:ln>
          <a:noFill/>
        </a:ln>
        <a:effectLst/>
      </c:spPr>
    </c:plotArea>
    <c:legend>
      <c:legendPos val="tr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charset="-122"/>
                <a:ea typeface="微软雅黑" panose="020B0503020204020204" charset="-122"/>
                <a:cs typeface="微软雅黑" panose="020B0503020204020204" charset="-122"/>
                <a:sym typeface="微软雅黑" panose="020B0503020204020204" charset="-122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软雅黑" panose="020B0503020204020204" charset="-122"/>
                <a:ea typeface="微软雅黑" panose="020B0503020204020204" charset="-122"/>
                <a:cs typeface="微软雅黑" panose="020B0503020204020204" charset="-122"/>
                <a:sym typeface="微软雅黑" panose="020B0503020204020204" charset="-122"/>
              </a:defRPr>
            </a:pPr>
          </a:p>
        </c:txPr>
      </c:legendEntry>
      <c:layout>
        <c:manualLayout>
          <c:xMode val="edge"/>
          <c:yMode val="edge"/>
          <c:x val="0.600301416515276"/>
          <c:y val="0.00860585197934595"/>
          <c:w val="0.390843806104129"/>
          <c:h val="0.150697849867974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微软雅黑" panose="020B0503020204020204" charset="-122"/>
              <a:ea typeface="微软雅黑" panose="020B0503020204020204" charset="-122"/>
              <a:cs typeface="微软雅黑" panose="020B0503020204020204" charset="-122"/>
              <a:sym typeface="微软雅黑" panose="020B0503020204020204" charset="-122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25400" cap="flat" cmpd="sng" algn="ctr">
      <a:noFill/>
      <a:round/>
    </a:ln>
    <a:effectLst/>
  </c:spPr>
  <c:txPr>
    <a:bodyPr/>
    <a:lstStyle/>
    <a:p>
      <a:pPr>
        <a:defRPr lang="zh-CN">
          <a:latin typeface="微软雅黑" panose="020B0503020204020204" charset="-122"/>
          <a:ea typeface="微软雅黑" panose="020B0503020204020204" charset="-122"/>
          <a:cs typeface="微软雅黑" panose="020B0503020204020204" charset="-122"/>
          <a:sym typeface="微软雅黑" panose="020B0503020204020204" charset="-122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4941205627386"/>
          <c:y val="0.224494065882888"/>
          <c:w val="0.693811533052039"/>
          <c:h val="0.667599792638673"/>
        </c:manualLayout>
      </c:layout>
      <c:lineChart>
        <c:grouping val="standard"/>
        <c:varyColors val="0"/>
        <c:ser>
          <c:idx val="0"/>
          <c:order val="0"/>
          <c:tx>
            <c:strRef>
              <c:f>'[结果图2(70 人）.xlsx]Sheet1'!$A$24</c:f>
              <c:strCache>
                <c:ptCount val="1"/>
                <c:pt idx="0">
                  <c:v>Intervention group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'[结果图2(70 人）.xlsx]Sheet1'!$G$24:$J$24</c:f>
                <c:numCache>
                  <c:formatCode>General</c:formatCode>
                  <c:ptCount val="4"/>
                  <c:pt idx="0">
                    <c:v>9.316</c:v>
                  </c:pt>
                  <c:pt idx="1">
                    <c:v>4.832</c:v>
                  </c:pt>
                  <c:pt idx="2">
                    <c:v>4.488</c:v>
                  </c:pt>
                  <c:pt idx="3">
                    <c:v>2.981</c:v>
                  </c:pt>
                </c:numCache>
              </c:numRef>
            </c:plus>
            <c:minus>
              <c:numRef>
                <c:f>'[结果图2(70 人）.xlsx]Sheet1'!$G$24:$J$24</c:f>
                <c:numCache>
                  <c:formatCode>General</c:formatCode>
                  <c:ptCount val="4"/>
                  <c:pt idx="0">
                    <c:v>9.316</c:v>
                  </c:pt>
                  <c:pt idx="1">
                    <c:v>4.832</c:v>
                  </c:pt>
                  <c:pt idx="2">
                    <c:v>4.488</c:v>
                  </c:pt>
                  <c:pt idx="3">
                    <c:v>2.981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'[结果图2(70 人）.xlsx]Sheet1'!$B$23:$E$23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12</c:v>
                </c:pt>
              </c:numCache>
            </c:numRef>
          </c:cat>
          <c:val>
            <c:numRef>
              <c:f>'[结果图2(70 人）.xlsx]Sheet1'!$B$24:$E$24</c:f>
              <c:numCache>
                <c:formatCode>General</c:formatCode>
                <c:ptCount val="4"/>
                <c:pt idx="0">
                  <c:v>65.74</c:v>
                </c:pt>
                <c:pt idx="1">
                  <c:v>83.06</c:v>
                </c:pt>
                <c:pt idx="2">
                  <c:v>91.35</c:v>
                </c:pt>
                <c:pt idx="3">
                  <c:v>94.87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'[结果图2(70 人）.xlsx]Sheet1'!$A$25</c:f>
              <c:strCache>
                <c:ptCount val="1"/>
                <c:pt idx="0">
                  <c:v>Control group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'[结果图2(70 人）.xlsx]Sheet1'!$G$25:$J$25</c:f>
                <c:numCache>
                  <c:formatCode>General</c:formatCode>
                  <c:ptCount val="4"/>
                  <c:pt idx="0">
                    <c:v>9.915</c:v>
                  </c:pt>
                  <c:pt idx="1">
                    <c:v>10.152</c:v>
                  </c:pt>
                  <c:pt idx="2">
                    <c:v>6.085</c:v>
                  </c:pt>
                  <c:pt idx="3">
                    <c:v>3.758</c:v>
                  </c:pt>
                </c:numCache>
              </c:numRef>
            </c:plus>
            <c:minus>
              <c:numRef>
                <c:f>'[结果图2(70 人）.xlsx]Sheet1'!$G$25:$J$25</c:f>
                <c:numCache>
                  <c:formatCode>General</c:formatCode>
                  <c:ptCount val="4"/>
                  <c:pt idx="0">
                    <c:v>9.915</c:v>
                  </c:pt>
                  <c:pt idx="1">
                    <c:v>10.152</c:v>
                  </c:pt>
                  <c:pt idx="2">
                    <c:v>6.085</c:v>
                  </c:pt>
                  <c:pt idx="3">
                    <c:v>3.758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'[结果图2(70 人）.xlsx]Sheet1'!$B$23:$E$23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8</c:v>
                </c:pt>
                <c:pt idx="3">
                  <c:v>12</c:v>
                </c:pt>
              </c:numCache>
            </c:numRef>
          </c:cat>
          <c:val>
            <c:numRef>
              <c:f>'[结果图2(70 人）.xlsx]Sheet1'!$B$25:$E$25</c:f>
              <c:numCache>
                <c:formatCode>General</c:formatCode>
                <c:ptCount val="4"/>
                <c:pt idx="0">
                  <c:v>62.4</c:v>
                </c:pt>
                <c:pt idx="1">
                  <c:v>79.4</c:v>
                </c:pt>
                <c:pt idx="2">
                  <c:v>87.83</c:v>
                </c:pt>
                <c:pt idx="3">
                  <c:v>92.14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39116692"/>
        <c:axId val="485233719"/>
      </c:lineChart>
      <c:catAx>
        <c:axId val="63911669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6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650"/>
                  <a:t>Time (weeks)</a:t>
                </a:r>
                <a:endParaRPr lang="en-US" altLang="zh-CN" sz="650"/>
              </a:p>
            </c:rich>
          </c:tx>
          <c:layout>
            <c:manualLayout>
              <c:xMode val="edge"/>
              <c:yMode val="edge"/>
              <c:x val="0.442775937201038"/>
              <c:y val="0.93704850361197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in"/>
        <c:minorTickMark val="none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5233719"/>
        <c:crosses val="autoZero"/>
        <c:auto val="1"/>
        <c:lblAlgn val="ctr"/>
        <c:lblOffset val="100"/>
        <c:noMultiLvlLbl val="0"/>
      </c:catAx>
      <c:valAx>
        <c:axId val="485233719"/>
        <c:scaling>
          <c:orientation val="minMax"/>
          <c:max val="100"/>
          <c:min val="6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6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650"/>
                  <a:t> Constant-Murley   scores </a:t>
                </a:r>
                <a:endParaRPr lang="en-US" altLang="zh-CN" sz="65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in"/>
        <c:minorTickMark val="none"/>
        <c:tickLblPos val="low"/>
        <c:spPr>
          <a:noFill/>
          <a:ln w="25400"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9116692"/>
        <c:crosses val="autoZero"/>
        <c:crossBetween val="midCat"/>
        <c:majorUnit val="10"/>
      </c:valAx>
      <c:spPr>
        <a:noFill/>
        <a:ln>
          <a:noFill/>
        </a:ln>
        <a:effectLst/>
      </c:spPr>
    </c:plotArea>
    <c:legend>
      <c:legendPos val="tr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ayout>
        <c:manualLayout>
          <c:xMode val="edge"/>
          <c:yMode val="edge"/>
          <c:x val="0.634836852207294"/>
          <c:y val="0.0799793601651187"/>
          <c:w val="0.357965451055662"/>
          <c:h val="0.162538699690402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650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2021-10-15T17:21:00Z</dcterms:created>
  <dc:creator>魏小林</dc:creator>
  <cp:lastModifiedBy>魏小林</cp:lastModifiedBy>
  <dcterms:modified xsi:type="dcterms:W3CDTF">2021-10-15T18:01:47Z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26E264800FC747D892EFEA4E1B83F445</vt:lpwstr>
  </property>
</Properties>
</file>