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CCD3E" w14:textId="5E4BB797" w:rsidR="00897C5A" w:rsidRPr="00EE5153" w:rsidRDefault="000F6AD3" w:rsidP="00810AA9">
      <w:pPr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val="en-US" w:eastAsia="el-GR"/>
        </w:rPr>
      </w:pPr>
      <w:r w:rsidRPr="00EE5153">
        <w:rPr>
          <w:rFonts w:ascii="Times New Roman" w:eastAsia="Times New Roman" w:hAnsi="Times New Roman" w:cs="Times New Roman"/>
          <w:b/>
          <w:bCs/>
          <w:sz w:val="22"/>
          <w:szCs w:val="22"/>
          <w:lang w:val="en-US" w:eastAsia="el-GR"/>
        </w:rPr>
        <w:t xml:space="preserve">Legends for </w:t>
      </w:r>
      <w:r w:rsidR="00BF7E99" w:rsidRPr="00EE5153">
        <w:rPr>
          <w:rFonts w:ascii="Times New Roman" w:eastAsia="Times New Roman" w:hAnsi="Times New Roman" w:cs="Times New Roman"/>
          <w:b/>
          <w:bCs/>
          <w:sz w:val="22"/>
          <w:szCs w:val="22"/>
          <w:lang w:val="en-US" w:eastAsia="el-GR"/>
        </w:rPr>
        <w:t>supplementary</w:t>
      </w:r>
      <w:r w:rsidRPr="00EE5153">
        <w:rPr>
          <w:rFonts w:ascii="Times New Roman" w:eastAsia="Times New Roman" w:hAnsi="Times New Roman" w:cs="Times New Roman"/>
          <w:b/>
          <w:bCs/>
          <w:sz w:val="22"/>
          <w:szCs w:val="22"/>
          <w:lang w:val="en-US" w:eastAsia="el-GR"/>
        </w:rPr>
        <w:t xml:space="preserve"> figures</w:t>
      </w:r>
    </w:p>
    <w:p w14:paraId="343019C7" w14:textId="77777777" w:rsidR="00BF7E99" w:rsidRPr="00EE5153" w:rsidRDefault="00BF7E99" w:rsidP="00810AA9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el-GR"/>
        </w:rPr>
      </w:pPr>
    </w:p>
    <w:p w14:paraId="799D8335" w14:textId="77777777" w:rsidR="00DF5D99" w:rsidRPr="00EE5153" w:rsidRDefault="00DF5D99" w:rsidP="00DF5D99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el-GR"/>
        </w:rPr>
      </w:pPr>
    </w:p>
    <w:p w14:paraId="2ABF70C8" w14:textId="77777777" w:rsidR="00DF5D99" w:rsidRPr="00EE5153" w:rsidRDefault="00DF5D99" w:rsidP="00DF5D99">
      <w:pPr>
        <w:jc w:val="both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 w:rsidRPr="00EE5153">
        <w:rPr>
          <w:rFonts w:ascii="Times New Roman" w:hAnsi="Times New Roman" w:cs="Times New Roman"/>
          <w:b/>
          <w:bCs/>
          <w:sz w:val="22"/>
          <w:szCs w:val="22"/>
          <w:lang w:val="en-US"/>
        </w:rPr>
        <w:t>Sup. Fig.</w:t>
      </w: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</w:t>
      </w:r>
      <w:r w:rsidRPr="00EE5153">
        <w:rPr>
          <w:rFonts w:ascii="Times New Roman" w:hAnsi="Times New Roman" w:cs="Times New Roman"/>
          <w:b/>
          <w:bCs/>
          <w:sz w:val="22"/>
          <w:szCs w:val="22"/>
          <w:lang w:val="en-US"/>
        </w:rPr>
        <w:t>1</w:t>
      </w: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t>.</w:t>
      </w:r>
      <w:r w:rsidRPr="00EE5153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Serum CRP levels are </w:t>
      </w: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positively </w:t>
      </w:r>
      <w:r w:rsidRPr="00EE5153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correlated with </w:t>
      </w: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those of </w:t>
      </w:r>
      <w:r w:rsidRPr="00EE5153">
        <w:rPr>
          <w:rFonts w:ascii="Times New Roman" w:hAnsi="Times New Roman" w:cs="Times New Roman"/>
          <w:b/>
          <w:bCs/>
          <w:sz w:val="22"/>
          <w:szCs w:val="22"/>
          <w:lang w:val="en-US"/>
        </w:rPr>
        <w:t>serum IL-</w:t>
      </w: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t>6</w:t>
      </w:r>
      <w:r w:rsidRPr="00EE5153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in COVID-19 patients (n=52)</w:t>
      </w: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t>.</w:t>
      </w:r>
      <w:r w:rsidRPr="00EE5153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</w:t>
      </w:r>
    </w:p>
    <w:p w14:paraId="0D566B1F" w14:textId="77777777" w:rsidR="00DF5D99" w:rsidRPr="00EE5153" w:rsidRDefault="00DF5D99" w:rsidP="00DF5D99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</w:p>
    <w:p w14:paraId="47583C28" w14:textId="77777777" w:rsidR="00DF5D99" w:rsidRPr="00EE5153" w:rsidRDefault="00DF5D99" w:rsidP="00DF5D99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EE5153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COVID-19 patients are classified according to the severity of the disease </w:t>
      </w:r>
      <w:r w:rsidRPr="00EE5153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(</w:t>
      </w:r>
      <w:hyperlink r:id="rId7" w:history="1">
        <w:r w:rsidRPr="00EE5153">
          <w:rPr>
            <w:rStyle w:val="-"/>
            <w:rFonts w:ascii="Times New Roman" w:hAnsi="Times New Roman" w:cs="Times New Roman"/>
            <w:color w:val="000000" w:themeColor="text1"/>
            <w:sz w:val="22"/>
            <w:szCs w:val="22"/>
            <w:lang w:val="en-GB"/>
          </w:rPr>
          <w:t>https://www.covid19treatmentguidelines.nih.gov/overview/clinical-spectrum/</w:t>
        </w:r>
      </w:hyperlink>
      <w:r w:rsidRPr="00EE5153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), </w:t>
      </w:r>
      <w:r w:rsidRPr="00EE5153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and their clinical course during the 4-week follow-up period of the study.</w:t>
      </w:r>
    </w:p>
    <w:p w14:paraId="1F08B7B4" w14:textId="77777777" w:rsidR="00DF5D99" w:rsidRPr="00EE5153" w:rsidRDefault="00DF5D99" w:rsidP="00DF5D99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EE5153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*: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</w:t>
      </w:r>
      <w:r w:rsidRPr="00EE5153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p&lt;0.05 is considered statistically significant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.</w:t>
      </w:r>
    </w:p>
    <w:p w14:paraId="2C7C40D2" w14:textId="77777777" w:rsidR="00DF5D99" w:rsidRPr="007A1B6F" w:rsidRDefault="00DF5D99" w:rsidP="00DF5D99">
      <w:pPr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el-GR"/>
        </w:rPr>
      </w:pPr>
      <w:r w:rsidRPr="007A1B6F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el-GR"/>
        </w:rPr>
        <w:t>CRP, C-reactive protein; IL-6, interleukin -6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el-GR"/>
        </w:rPr>
        <w:t>.</w:t>
      </w:r>
    </w:p>
    <w:p w14:paraId="16C4200D" w14:textId="77777777" w:rsidR="007A1B6F" w:rsidRDefault="007A1B6F" w:rsidP="00810AA9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el-GR"/>
        </w:rPr>
      </w:pPr>
    </w:p>
    <w:p w14:paraId="1D3E49AF" w14:textId="77777777" w:rsidR="00DF5D99" w:rsidRDefault="00DF5D99" w:rsidP="00810AA9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el-GR"/>
        </w:rPr>
      </w:pPr>
    </w:p>
    <w:p w14:paraId="5D670E5C" w14:textId="3FB352E4" w:rsidR="000F6AD3" w:rsidRPr="00EE5153" w:rsidRDefault="000F6AD3" w:rsidP="00810AA9">
      <w:pPr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</w:pPr>
      <w:r w:rsidRPr="00EE5153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el-GR"/>
        </w:rPr>
        <w:t xml:space="preserve">Sup. Fig. </w:t>
      </w:r>
      <w:r w:rsidR="00DF5D99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el-GR"/>
        </w:rPr>
        <w:t>2</w:t>
      </w:r>
      <w:r w:rsidR="00810DBF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el-GR"/>
        </w:rPr>
        <w:t>.</w:t>
      </w:r>
      <w:r w:rsidRPr="00EE5153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el-GR"/>
        </w:rPr>
        <w:t xml:space="preserve"> Diurnal variation of salivary DHEA in a subset of COVID-19 patients (n=30) classified according to the severity of the disease and</w:t>
      </w:r>
      <w:r w:rsidR="00894AD4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el-GR"/>
        </w:rPr>
        <w:t xml:space="preserve"> their matched</w:t>
      </w:r>
      <w:r w:rsidRPr="00EE5153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el-GR"/>
        </w:rPr>
        <w:t xml:space="preserve"> healthy controls</w:t>
      </w:r>
      <w:r w:rsidR="00894AD4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el-GR"/>
        </w:rPr>
        <w:t xml:space="preserve"> (n=30).</w:t>
      </w:r>
    </w:p>
    <w:p w14:paraId="0A401601" w14:textId="0CEC3C7F" w:rsidR="00E31A2E" w:rsidRPr="00EE5153" w:rsidRDefault="00E31A2E" w:rsidP="00E31A2E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EE5153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a) Cumulative salivary DHEA levels </w:t>
      </w:r>
      <w:r w:rsidRPr="0028600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in controls (n=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28</w:t>
      </w:r>
      <w:r w:rsidRPr="0028600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) and patients with mild-stable (n=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11</w:t>
      </w:r>
      <w:r w:rsidRPr="0028600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), moderate-stable (n=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9</w:t>
      </w:r>
      <w:r w:rsidRPr="0028600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) or moderate-progressed (n=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7</w:t>
      </w:r>
      <w:r w:rsidRPr="0028600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) COVID-19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. </w:t>
      </w:r>
      <w:r w:rsidRPr="0028600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Only patients without missing value at any timepoint were included in this analysis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;</w:t>
      </w:r>
      <w:r w:rsidRPr="00EE5153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b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) </w:t>
      </w:r>
      <w:r w:rsidR="008B5480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time-integrated 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daily</w:t>
      </w:r>
      <w:r w:rsidRPr="00EE5153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DHEA </w:t>
      </w:r>
      <w:r w:rsidR="008B5480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secretion</w:t>
      </w:r>
      <w:r w:rsidRPr="00EE5153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(calculated as the area under the curve|) in COVID-19 patients and controls.</w:t>
      </w:r>
    </w:p>
    <w:p w14:paraId="5798EBC5" w14:textId="77777777" w:rsidR="00E31A2E" w:rsidRPr="00EE5153" w:rsidRDefault="00E31A2E" w:rsidP="00E31A2E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</w:p>
    <w:p w14:paraId="2099C261" w14:textId="77777777" w:rsidR="00E31A2E" w:rsidRPr="00EE5153" w:rsidRDefault="00E31A2E" w:rsidP="00E31A2E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EE5153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COVID-19 patients are classified according to the severity of the disease </w:t>
      </w:r>
      <w:r w:rsidRPr="00EE5153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(</w:t>
      </w:r>
      <w:hyperlink r:id="rId8" w:history="1">
        <w:r w:rsidRPr="00EE5153">
          <w:rPr>
            <w:rStyle w:val="-"/>
            <w:rFonts w:ascii="Times New Roman" w:hAnsi="Times New Roman" w:cs="Times New Roman"/>
            <w:color w:val="000000" w:themeColor="text1"/>
            <w:sz w:val="22"/>
            <w:szCs w:val="22"/>
            <w:lang w:val="en-GB"/>
          </w:rPr>
          <w:t>https://www.covid19treatmentguidelines.nih.gov/overview/clinical-spectrum/</w:t>
        </w:r>
      </w:hyperlink>
      <w:r w:rsidRPr="00EE5153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), </w:t>
      </w:r>
      <w:r w:rsidRPr="00EE5153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and their clinical course during the 4-week follow-up period of the study.</w:t>
      </w:r>
    </w:p>
    <w:p w14:paraId="45C2C699" w14:textId="77777777" w:rsidR="00E31A2E" w:rsidRPr="00EE5153" w:rsidRDefault="00E31A2E" w:rsidP="00E31A2E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EE5153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Values are shown as mean ± SEM </w:t>
      </w:r>
    </w:p>
    <w:p w14:paraId="5C49C0BC" w14:textId="77777777" w:rsidR="00E31A2E" w:rsidRPr="00EE5153" w:rsidRDefault="00E31A2E" w:rsidP="00E31A2E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EE5153">
        <w:rPr>
          <w:rFonts w:ascii="Times New Roman" w:hAnsi="Times New Roman" w:cs="Times New Roman"/>
          <w:sz w:val="22"/>
          <w:szCs w:val="22"/>
          <w:lang w:val="en-US"/>
        </w:rPr>
        <w:t>DHEA, dehydroepiandrosterone; AUC, are under the curve.</w:t>
      </w:r>
    </w:p>
    <w:p w14:paraId="4F915EC0" w14:textId="77777777" w:rsidR="00B42FAE" w:rsidRPr="00EE5153" w:rsidRDefault="00B42FAE" w:rsidP="00B42FAE">
      <w:pPr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</w:pPr>
    </w:p>
    <w:p w14:paraId="44251467" w14:textId="77777777" w:rsidR="001F2E4C" w:rsidRPr="00EE5153" w:rsidRDefault="001F2E4C" w:rsidP="001F2E4C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</w:p>
    <w:p w14:paraId="491F7A68" w14:textId="0AF1AA41" w:rsidR="000F6AD3" w:rsidRPr="00EE5153" w:rsidRDefault="000F6AD3" w:rsidP="001F2E4C">
      <w:pPr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</w:pPr>
      <w:r w:rsidRPr="00EE5153">
        <w:rPr>
          <w:rFonts w:ascii="Times New Roman" w:hAnsi="Times New Roman" w:cs="Times New Roman"/>
          <w:b/>
          <w:bCs/>
          <w:sz w:val="22"/>
          <w:szCs w:val="22"/>
          <w:lang w:val="en-US"/>
        </w:rPr>
        <w:t>Sup. Fig.</w:t>
      </w:r>
      <w:r w:rsidR="00DF5D99">
        <w:rPr>
          <w:rFonts w:ascii="Times New Roman" w:hAnsi="Times New Roman" w:cs="Times New Roman"/>
          <w:b/>
          <w:bCs/>
          <w:sz w:val="22"/>
          <w:szCs w:val="22"/>
          <w:lang w:val="en-US"/>
        </w:rPr>
        <w:t>3</w:t>
      </w:r>
      <w:r w:rsidR="00810DBF">
        <w:rPr>
          <w:rFonts w:ascii="Times New Roman" w:hAnsi="Times New Roman" w:cs="Times New Roman"/>
          <w:b/>
          <w:bCs/>
          <w:sz w:val="22"/>
          <w:szCs w:val="22"/>
          <w:lang w:val="en-US"/>
        </w:rPr>
        <w:t>.</w:t>
      </w:r>
      <w:r w:rsidRPr="00EE5153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</w:t>
      </w:r>
      <w:r w:rsidRPr="00EE5153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el-GR"/>
        </w:rPr>
        <w:t>Diurnal variation of salivary IL-6 levels in a subset of COVID-19 patients (n=</w:t>
      </w:r>
      <w:r w:rsidR="00E31A2E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el-GR"/>
        </w:rPr>
        <w:t>17</w:t>
      </w:r>
      <w:r w:rsidRPr="00EE5153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el-GR"/>
        </w:rPr>
        <w:t>).</w:t>
      </w:r>
    </w:p>
    <w:p w14:paraId="6887A6F6" w14:textId="4162A851" w:rsidR="000F6AD3" w:rsidRPr="00EE5153" w:rsidRDefault="000F6AD3" w:rsidP="00810AA9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EE5153">
        <w:rPr>
          <w:rFonts w:ascii="Times New Roman" w:hAnsi="Times New Roman" w:cs="Times New Roman"/>
          <w:sz w:val="22"/>
          <w:szCs w:val="22"/>
          <w:lang w:val="en-US"/>
        </w:rPr>
        <w:t xml:space="preserve">a) </w:t>
      </w:r>
      <w:r w:rsidRPr="00EE5153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Cumulative</w:t>
      </w:r>
      <w:r w:rsidR="00894AD4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IL-6 levels</w:t>
      </w:r>
      <w:r w:rsidRPr="00EE5153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, b) individual measurements</w:t>
      </w:r>
      <w:r w:rsidR="005B5C1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.</w:t>
      </w:r>
    </w:p>
    <w:p w14:paraId="5C1230AD" w14:textId="6DB56AB8" w:rsidR="00EE5153" w:rsidRPr="00EE5153" w:rsidRDefault="00EE5153" w:rsidP="00B42FAE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EE5153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IL-6, interleukin-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6</w:t>
      </w:r>
      <w:r w:rsidR="005B5C1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.</w:t>
      </w:r>
    </w:p>
    <w:p w14:paraId="424D249E" w14:textId="77777777" w:rsidR="00EE5153" w:rsidRPr="00EE5153" w:rsidRDefault="00EE5153" w:rsidP="00B42FAE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sectPr w:rsidR="00EE5153" w:rsidRPr="00EE5153">
      <w:footerReference w:type="even" r:id="rId9"/>
      <w:footerReference w:type="default" r:id="rId10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233129" w14:textId="77777777" w:rsidR="00CC1FD5" w:rsidRDefault="00CC1FD5" w:rsidP="00810AA9">
      <w:r>
        <w:separator/>
      </w:r>
    </w:p>
  </w:endnote>
  <w:endnote w:type="continuationSeparator" w:id="0">
    <w:p w14:paraId="7F721E63" w14:textId="77777777" w:rsidR="00CC1FD5" w:rsidRDefault="00CC1FD5" w:rsidP="00810A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4"/>
      </w:rPr>
      <w:id w:val="378445083"/>
      <w:docPartObj>
        <w:docPartGallery w:val="Page Numbers (Bottom of Page)"/>
        <w:docPartUnique/>
      </w:docPartObj>
    </w:sdtPr>
    <w:sdtEndPr>
      <w:rPr>
        <w:rStyle w:val="a4"/>
      </w:rPr>
    </w:sdtEndPr>
    <w:sdtContent>
      <w:p w14:paraId="08A707FF" w14:textId="5DF7FE16" w:rsidR="00810AA9" w:rsidRDefault="00810AA9" w:rsidP="00126163">
        <w:pPr>
          <w:pStyle w:val="a3"/>
          <w:framePr w:wrap="none" w:vAnchor="text" w:hAnchor="margin" w:xAlign="right" w:y="1"/>
          <w:rPr>
            <w:rStyle w:val="a4"/>
          </w:rPr>
        </w:pPr>
        <w:r>
          <w:rPr>
            <w:rStyle w:val="a4"/>
          </w:rPr>
          <w:fldChar w:fldCharType="begin"/>
        </w:r>
        <w:r>
          <w:rPr>
            <w:rStyle w:val="a4"/>
          </w:rPr>
          <w:instrText xml:space="preserve"> PAGE </w:instrText>
        </w:r>
        <w:r>
          <w:rPr>
            <w:rStyle w:val="a4"/>
          </w:rPr>
          <w:fldChar w:fldCharType="end"/>
        </w:r>
      </w:p>
    </w:sdtContent>
  </w:sdt>
  <w:p w14:paraId="1E9D03C9" w14:textId="77777777" w:rsidR="00810AA9" w:rsidRDefault="00810AA9" w:rsidP="00810AA9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4"/>
      </w:rPr>
      <w:id w:val="247309635"/>
      <w:docPartObj>
        <w:docPartGallery w:val="Page Numbers (Bottom of Page)"/>
        <w:docPartUnique/>
      </w:docPartObj>
    </w:sdtPr>
    <w:sdtEndPr>
      <w:rPr>
        <w:rStyle w:val="a4"/>
      </w:rPr>
    </w:sdtEndPr>
    <w:sdtContent>
      <w:p w14:paraId="34130A05" w14:textId="5C73B2E1" w:rsidR="00810AA9" w:rsidRDefault="00810AA9" w:rsidP="00126163">
        <w:pPr>
          <w:pStyle w:val="a3"/>
          <w:framePr w:wrap="none" w:vAnchor="text" w:hAnchor="margin" w:xAlign="right" w:y="1"/>
          <w:rPr>
            <w:rStyle w:val="a4"/>
          </w:rPr>
        </w:pPr>
        <w:r>
          <w:rPr>
            <w:rStyle w:val="a4"/>
          </w:rPr>
          <w:fldChar w:fldCharType="begin"/>
        </w:r>
        <w:r>
          <w:rPr>
            <w:rStyle w:val="a4"/>
          </w:rPr>
          <w:instrText xml:space="preserve"> PAGE </w:instrText>
        </w:r>
        <w:r>
          <w:rPr>
            <w:rStyle w:val="a4"/>
          </w:rPr>
          <w:fldChar w:fldCharType="separate"/>
        </w:r>
        <w:r>
          <w:rPr>
            <w:rStyle w:val="a4"/>
            <w:noProof/>
          </w:rPr>
          <w:t>1</w:t>
        </w:r>
        <w:r>
          <w:rPr>
            <w:rStyle w:val="a4"/>
          </w:rPr>
          <w:fldChar w:fldCharType="end"/>
        </w:r>
      </w:p>
    </w:sdtContent>
  </w:sdt>
  <w:p w14:paraId="7EEF0EAD" w14:textId="77777777" w:rsidR="00810AA9" w:rsidRDefault="00810AA9" w:rsidP="00810AA9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FACF2D" w14:textId="77777777" w:rsidR="00CC1FD5" w:rsidRDefault="00CC1FD5" w:rsidP="00810AA9">
      <w:r>
        <w:separator/>
      </w:r>
    </w:p>
  </w:footnote>
  <w:footnote w:type="continuationSeparator" w:id="0">
    <w:p w14:paraId="0C088504" w14:textId="77777777" w:rsidR="00CC1FD5" w:rsidRDefault="00CC1FD5" w:rsidP="00810A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AD3"/>
    <w:rsid w:val="00003588"/>
    <w:rsid w:val="000228C3"/>
    <w:rsid w:val="00034750"/>
    <w:rsid w:val="00036DAE"/>
    <w:rsid w:val="000449FE"/>
    <w:rsid w:val="0004575C"/>
    <w:rsid w:val="00061B14"/>
    <w:rsid w:val="00072BF1"/>
    <w:rsid w:val="00074653"/>
    <w:rsid w:val="000801AD"/>
    <w:rsid w:val="000A1DAD"/>
    <w:rsid w:val="000A3BD0"/>
    <w:rsid w:val="000C1977"/>
    <w:rsid w:val="000D28F0"/>
    <w:rsid w:val="000D31F1"/>
    <w:rsid w:val="000E10C8"/>
    <w:rsid w:val="000E14E5"/>
    <w:rsid w:val="000E43B9"/>
    <w:rsid w:val="000E4913"/>
    <w:rsid w:val="000E6208"/>
    <w:rsid w:val="000F6AD3"/>
    <w:rsid w:val="000F7176"/>
    <w:rsid w:val="000F7D53"/>
    <w:rsid w:val="001040AB"/>
    <w:rsid w:val="00107438"/>
    <w:rsid w:val="00110696"/>
    <w:rsid w:val="00114CCB"/>
    <w:rsid w:val="00122091"/>
    <w:rsid w:val="00124D5D"/>
    <w:rsid w:val="00130599"/>
    <w:rsid w:val="001366DB"/>
    <w:rsid w:val="00154F8B"/>
    <w:rsid w:val="0015560C"/>
    <w:rsid w:val="00166AB2"/>
    <w:rsid w:val="00175AEA"/>
    <w:rsid w:val="001A1FC7"/>
    <w:rsid w:val="001A6BA3"/>
    <w:rsid w:val="001C4926"/>
    <w:rsid w:val="001D0395"/>
    <w:rsid w:val="001D1F4F"/>
    <w:rsid w:val="001D629C"/>
    <w:rsid w:val="001E1B37"/>
    <w:rsid w:val="001F2E4C"/>
    <w:rsid w:val="00222C91"/>
    <w:rsid w:val="00231B4D"/>
    <w:rsid w:val="002322A2"/>
    <w:rsid w:val="00240C20"/>
    <w:rsid w:val="00252DD1"/>
    <w:rsid w:val="002A6567"/>
    <w:rsid w:val="002A6C05"/>
    <w:rsid w:val="002A763E"/>
    <w:rsid w:val="002B187F"/>
    <w:rsid w:val="002D1291"/>
    <w:rsid w:val="002D4CFB"/>
    <w:rsid w:val="002D54A1"/>
    <w:rsid w:val="002E017F"/>
    <w:rsid w:val="002E32E2"/>
    <w:rsid w:val="002F3707"/>
    <w:rsid w:val="002F64BA"/>
    <w:rsid w:val="002F6951"/>
    <w:rsid w:val="00324805"/>
    <w:rsid w:val="003300BB"/>
    <w:rsid w:val="00351B12"/>
    <w:rsid w:val="00352F83"/>
    <w:rsid w:val="0036211B"/>
    <w:rsid w:val="00376883"/>
    <w:rsid w:val="003778CD"/>
    <w:rsid w:val="00387963"/>
    <w:rsid w:val="00387EEB"/>
    <w:rsid w:val="003A2247"/>
    <w:rsid w:val="003A7326"/>
    <w:rsid w:val="003B31C7"/>
    <w:rsid w:val="003F3A3A"/>
    <w:rsid w:val="004043A7"/>
    <w:rsid w:val="004111D0"/>
    <w:rsid w:val="00414DF9"/>
    <w:rsid w:val="0042574D"/>
    <w:rsid w:val="004305BB"/>
    <w:rsid w:val="00437F0B"/>
    <w:rsid w:val="004413C9"/>
    <w:rsid w:val="004433A7"/>
    <w:rsid w:val="00444B71"/>
    <w:rsid w:val="00452B2F"/>
    <w:rsid w:val="0045337F"/>
    <w:rsid w:val="00462B92"/>
    <w:rsid w:val="0047420B"/>
    <w:rsid w:val="00475D20"/>
    <w:rsid w:val="004814D5"/>
    <w:rsid w:val="00491EED"/>
    <w:rsid w:val="00495D25"/>
    <w:rsid w:val="004A4C12"/>
    <w:rsid w:val="004B451F"/>
    <w:rsid w:val="004C1FF1"/>
    <w:rsid w:val="004C2EDD"/>
    <w:rsid w:val="004C5304"/>
    <w:rsid w:val="004D6532"/>
    <w:rsid w:val="00516F0F"/>
    <w:rsid w:val="00521103"/>
    <w:rsid w:val="005235E8"/>
    <w:rsid w:val="00531F6D"/>
    <w:rsid w:val="0053733A"/>
    <w:rsid w:val="00540658"/>
    <w:rsid w:val="00542861"/>
    <w:rsid w:val="00580E30"/>
    <w:rsid w:val="00581911"/>
    <w:rsid w:val="0058713A"/>
    <w:rsid w:val="00590613"/>
    <w:rsid w:val="005A4B1C"/>
    <w:rsid w:val="005B0107"/>
    <w:rsid w:val="005B5C12"/>
    <w:rsid w:val="005C1F43"/>
    <w:rsid w:val="005D38FB"/>
    <w:rsid w:val="005D5538"/>
    <w:rsid w:val="005E6ED5"/>
    <w:rsid w:val="005F1DC4"/>
    <w:rsid w:val="005F6CC4"/>
    <w:rsid w:val="00603E80"/>
    <w:rsid w:val="00605397"/>
    <w:rsid w:val="006252BF"/>
    <w:rsid w:val="00627B24"/>
    <w:rsid w:val="006341DA"/>
    <w:rsid w:val="00637AC7"/>
    <w:rsid w:val="00644D5D"/>
    <w:rsid w:val="00653186"/>
    <w:rsid w:val="00660FC7"/>
    <w:rsid w:val="00666921"/>
    <w:rsid w:val="00667508"/>
    <w:rsid w:val="00674A4E"/>
    <w:rsid w:val="00674E65"/>
    <w:rsid w:val="006819D5"/>
    <w:rsid w:val="0069231E"/>
    <w:rsid w:val="006A0216"/>
    <w:rsid w:val="006D5AE8"/>
    <w:rsid w:val="006E228A"/>
    <w:rsid w:val="006E23D7"/>
    <w:rsid w:val="006F19C0"/>
    <w:rsid w:val="00701D23"/>
    <w:rsid w:val="0070219D"/>
    <w:rsid w:val="0071691D"/>
    <w:rsid w:val="007213A4"/>
    <w:rsid w:val="0073441B"/>
    <w:rsid w:val="00742BA3"/>
    <w:rsid w:val="00750288"/>
    <w:rsid w:val="00750972"/>
    <w:rsid w:val="00755B96"/>
    <w:rsid w:val="00766DD3"/>
    <w:rsid w:val="00786526"/>
    <w:rsid w:val="00794C16"/>
    <w:rsid w:val="007958C7"/>
    <w:rsid w:val="0079676C"/>
    <w:rsid w:val="007A1B6F"/>
    <w:rsid w:val="007A56AC"/>
    <w:rsid w:val="007D3D52"/>
    <w:rsid w:val="007E3725"/>
    <w:rsid w:val="007E652B"/>
    <w:rsid w:val="007F4478"/>
    <w:rsid w:val="007F5CE6"/>
    <w:rsid w:val="00810AA9"/>
    <w:rsid w:val="00810DBF"/>
    <w:rsid w:val="0082289B"/>
    <w:rsid w:val="008373A6"/>
    <w:rsid w:val="008650AD"/>
    <w:rsid w:val="008657F7"/>
    <w:rsid w:val="008704C3"/>
    <w:rsid w:val="008900D6"/>
    <w:rsid w:val="00892CB5"/>
    <w:rsid w:val="00893A0D"/>
    <w:rsid w:val="00894497"/>
    <w:rsid w:val="00894AD4"/>
    <w:rsid w:val="008B195C"/>
    <w:rsid w:val="008B5480"/>
    <w:rsid w:val="008C11C2"/>
    <w:rsid w:val="008D476A"/>
    <w:rsid w:val="008D5A09"/>
    <w:rsid w:val="008E7041"/>
    <w:rsid w:val="008F190D"/>
    <w:rsid w:val="00910D49"/>
    <w:rsid w:val="00910DCA"/>
    <w:rsid w:val="00915CEE"/>
    <w:rsid w:val="00917CCB"/>
    <w:rsid w:val="00921629"/>
    <w:rsid w:val="0092485E"/>
    <w:rsid w:val="00936473"/>
    <w:rsid w:val="00936ABD"/>
    <w:rsid w:val="00945A37"/>
    <w:rsid w:val="00947608"/>
    <w:rsid w:val="00950A67"/>
    <w:rsid w:val="00957249"/>
    <w:rsid w:val="00957B56"/>
    <w:rsid w:val="00970197"/>
    <w:rsid w:val="009816B6"/>
    <w:rsid w:val="00987A91"/>
    <w:rsid w:val="009901D1"/>
    <w:rsid w:val="009937EB"/>
    <w:rsid w:val="009C4B48"/>
    <w:rsid w:val="009C4E64"/>
    <w:rsid w:val="009C629E"/>
    <w:rsid w:val="009D0FBC"/>
    <w:rsid w:val="009D21D9"/>
    <w:rsid w:val="009E3B28"/>
    <w:rsid w:val="00A070AB"/>
    <w:rsid w:val="00A2436C"/>
    <w:rsid w:val="00A404C6"/>
    <w:rsid w:val="00A406FE"/>
    <w:rsid w:val="00A56485"/>
    <w:rsid w:val="00A735EA"/>
    <w:rsid w:val="00A7545F"/>
    <w:rsid w:val="00A81D0C"/>
    <w:rsid w:val="00A952D3"/>
    <w:rsid w:val="00AA014A"/>
    <w:rsid w:val="00AA0E7E"/>
    <w:rsid w:val="00AA7A7F"/>
    <w:rsid w:val="00AB0AA7"/>
    <w:rsid w:val="00AB2D80"/>
    <w:rsid w:val="00AB76CC"/>
    <w:rsid w:val="00AC475F"/>
    <w:rsid w:val="00AD45C4"/>
    <w:rsid w:val="00AD6A49"/>
    <w:rsid w:val="00AE7121"/>
    <w:rsid w:val="00AF2F31"/>
    <w:rsid w:val="00AF68FE"/>
    <w:rsid w:val="00AF73FA"/>
    <w:rsid w:val="00AF75D2"/>
    <w:rsid w:val="00B149BC"/>
    <w:rsid w:val="00B151BD"/>
    <w:rsid w:val="00B206D1"/>
    <w:rsid w:val="00B36DE6"/>
    <w:rsid w:val="00B36EFE"/>
    <w:rsid w:val="00B412A5"/>
    <w:rsid w:val="00B42FAE"/>
    <w:rsid w:val="00B43545"/>
    <w:rsid w:val="00B45236"/>
    <w:rsid w:val="00B6678E"/>
    <w:rsid w:val="00B94770"/>
    <w:rsid w:val="00BA04FB"/>
    <w:rsid w:val="00BA36F7"/>
    <w:rsid w:val="00BA4FE5"/>
    <w:rsid w:val="00BA5AC5"/>
    <w:rsid w:val="00BB3C5E"/>
    <w:rsid w:val="00BB41ED"/>
    <w:rsid w:val="00BC12F8"/>
    <w:rsid w:val="00BC1451"/>
    <w:rsid w:val="00BD5627"/>
    <w:rsid w:val="00BD6B78"/>
    <w:rsid w:val="00BD797F"/>
    <w:rsid w:val="00BF7E99"/>
    <w:rsid w:val="00C15531"/>
    <w:rsid w:val="00C1763B"/>
    <w:rsid w:val="00C20BD5"/>
    <w:rsid w:val="00C31BCC"/>
    <w:rsid w:val="00C33F8F"/>
    <w:rsid w:val="00C35FEA"/>
    <w:rsid w:val="00C51E56"/>
    <w:rsid w:val="00C6189D"/>
    <w:rsid w:val="00C61BA1"/>
    <w:rsid w:val="00C86FBB"/>
    <w:rsid w:val="00C971B5"/>
    <w:rsid w:val="00CA0BA4"/>
    <w:rsid w:val="00CA3859"/>
    <w:rsid w:val="00CA7407"/>
    <w:rsid w:val="00CC192F"/>
    <w:rsid w:val="00CC1FD5"/>
    <w:rsid w:val="00CC763B"/>
    <w:rsid w:val="00CD068C"/>
    <w:rsid w:val="00CD1E81"/>
    <w:rsid w:val="00CE0BC0"/>
    <w:rsid w:val="00CE4859"/>
    <w:rsid w:val="00CF4C03"/>
    <w:rsid w:val="00D30D3D"/>
    <w:rsid w:val="00D71337"/>
    <w:rsid w:val="00D80EB4"/>
    <w:rsid w:val="00D8214B"/>
    <w:rsid w:val="00D823CA"/>
    <w:rsid w:val="00D831E3"/>
    <w:rsid w:val="00D84E8E"/>
    <w:rsid w:val="00D934C4"/>
    <w:rsid w:val="00D94847"/>
    <w:rsid w:val="00D94D27"/>
    <w:rsid w:val="00D9537B"/>
    <w:rsid w:val="00DA1624"/>
    <w:rsid w:val="00DB0BC0"/>
    <w:rsid w:val="00DC3154"/>
    <w:rsid w:val="00DC32DE"/>
    <w:rsid w:val="00DC4226"/>
    <w:rsid w:val="00DC46C9"/>
    <w:rsid w:val="00DE21A8"/>
    <w:rsid w:val="00DF3238"/>
    <w:rsid w:val="00DF5D99"/>
    <w:rsid w:val="00E07855"/>
    <w:rsid w:val="00E129F7"/>
    <w:rsid w:val="00E2490B"/>
    <w:rsid w:val="00E25737"/>
    <w:rsid w:val="00E31A2E"/>
    <w:rsid w:val="00E37582"/>
    <w:rsid w:val="00E41FC4"/>
    <w:rsid w:val="00E423BE"/>
    <w:rsid w:val="00E45498"/>
    <w:rsid w:val="00E45D60"/>
    <w:rsid w:val="00E46455"/>
    <w:rsid w:val="00E50C0B"/>
    <w:rsid w:val="00E8236A"/>
    <w:rsid w:val="00EA7EFE"/>
    <w:rsid w:val="00EB4A23"/>
    <w:rsid w:val="00EB52E1"/>
    <w:rsid w:val="00EC5C9D"/>
    <w:rsid w:val="00ED2BC5"/>
    <w:rsid w:val="00ED52EF"/>
    <w:rsid w:val="00EE3CCD"/>
    <w:rsid w:val="00EE5153"/>
    <w:rsid w:val="00EF72C4"/>
    <w:rsid w:val="00F00E53"/>
    <w:rsid w:val="00F01B29"/>
    <w:rsid w:val="00F074F3"/>
    <w:rsid w:val="00F119C1"/>
    <w:rsid w:val="00F129F0"/>
    <w:rsid w:val="00F17FE0"/>
    <w:rsid w:val="00F22502"/>
    <w:rsid w:val="00F229C6"/>
    <w:rsid w:val="00F3027F"/>
    <w:rsid w:val="00F33250"/>
    <w:rsid w:val="00F3637B"/>
    <w:rsid w:val="00F402E4"/>
    <w:rsid w:val="00F41E92"/>
    <w:rsid w:val="00F50648"/>
    <w:rsid w:val="00F52F25"/>
    <w:rsid w:val="00F54F87"/>
    <w:rsid w:val="00F57EA5"/>
    <w:rsid w:val="00F60313"/>
    <w:rsid w:val="00F7462C"/>
    <w:rsid w:val="00F84703"/>
    <w:rsid w:val="00F917A5"/>
    <w:rsid w:val="00FB1297"/>
    <w:rsid w:val="00FB2737"/>
    <w:rsid w:val="00FB47ED"/>
    <w:rsid w:val="00FC4A0C"/>
    <w:rsid w:val="00FF2975"/>
    <w:rsid w:val="00FF7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68B6E0"/>
  <w15:chartTrackingRefBased/>
  <w15:docId w15:val="{1A9BF050-A71B-CB4F-8826-CB363DDE2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l-G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-HTML">
    <w:name w:val="HTML Preformatted"/>
    <w:basedOn w:val="a"/>
    <w:link w:val="-HTMLChar"/>
    <w:uiPriority w:val="99"/>
    <w:semiHidden/>
    <w:unhideWhenUsed/>
    <w:rsid w:val="00F7462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el-GR"/>
    </w:rPr>
  </w:style>
  <w:style w:type="character" w:customStyle="1" w:styleId="-HTMLChar">
    <w:name w:val="Προ-διαμορφωμένο HTML Char"/>
    <w:basedOn w:val="a0"/>
    <w:link w:val="-HTML"/>
    <w:uiPriority w:val="99"/>
    <w:semiHidden/>
    <w:rsid w:val="00F7462C"/>
    <w:rPr>
      <w:rFonts w:ascii="Courier New" w:eastAsia="Times New Roman" w:hAnsi="Courier New" w:cs="Courier New"/>
      <w:sz w:val="20"/>
      <w:szCs w:val="20"/>
      <w:lang w:eastAsia="el-GR"/>
    </w:rPr>
  </w:style>
  <w:style w:type="character" w:styleId="-">
    <w:name w:val="Hyperlink"/>
    <w:uiPriority w:val="99"/>
    <w:unhideWhenUsed/>
    <w:rsid w:val="000F6AD3"/>
    <w:rPr>
      <w:color w:val="0563C1"/>
      <w:u w:val="single"/>
    </w:rPr>
  </w:style>
  <w:style w:type="character" w:styleId="-0">
    <w:name w:val="FollowedHyperlink"/>
    <w:basedOn w:val="a0"/>
    <w:uiPriority w:val="99"/>
    <w:semiHidden/>
    <w:unhideWhenUsed/>
    <w:rsid w:val="000F6AD3"/>
    <w:rPr>
      <w:color w:val="954F72" w:themeColor="followedHyperlink"/>
      <w:u w:val="single"/>
    </w:rPr>
  </w:style>
  <w:style w:type="paragraph" w:styleId="a3">
    <w:name w:val="footer"/>
    <w:basedOn w:val="a"/>
    <w:link w:val="Char"/>
    <w:uiPriority w:val="99"/>
    <w:unhideWhenUsed/>
    <w:rsid w:val="00810AA9"/>
    <w:pPr>
      <w:tabs>
        <w:tab w:val="center" w:pos="4153"/>
        <w:tab w:val="right" w:pos="8306"/>
      </w:tabs>
    </w:pPr>
  </w:style>
  <w:style w:type="character" w:customStyle="1" w:styleId="Char">
    <w:name w:val="Υποσέλιδο Char"/>
    <w:basedOn w:val="a0"/>
    <w:link w:val="a3"/>
    <w:uiPriority w:val="99"/>
    <w:rsid w:val="00810AA9"/>
  </w:style>
  <w:style w:type="character" w:styleId="a4">
    <w:name w:val="page number"/>
    <w:basedOn w:val="a0"/>
    <w:uiPriority w:val="99"/>
    <w:semiHidden/>
    <w:unhideWhenUsed/>
    <w:rsid w:val="00810A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1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vid19treatmentguidelines.nih.gov/overview/clinical-spectru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ovid19treatmentguidelines.nih.gov/overview/clinical-spectru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B495456-850A-974C-A207-6D1C635CB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263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Yavropoulou</dc:creator>
  <cp:keywords/>
  <dc:description/>
  <cp:lastModifiedBy>Maria Yavropoulou</cp:lastModifiedBy>
  <cp:revision>3</cp:revision>
  <dcterms:created xsi:type="dcterms:W3CDTF">2021-09-26T09:41:00Z</dcterms:created>
  <dcterms:modified xsi:type="dcterms:W3CDTF">2021-09-27T10:52:00Z</dcterms:modified>
</cp:coreProperties>
</file>