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01BB3" w14:textId="2C116A9A" w:rsidR="00CF6B13" w:rsidRDefault="00950565" w:rsidP="00734431">
      <w:pPr>
        <w:pStyle w:val="1"/>
        <w:rPr>
          <w:rFonts w:ascii="Times New Roman" w:hAnsi="Times New Roman" w:cs="Times New Roman"/>
          <w:b/>
          <w:bCs/>
          <w:sz w:val="24"/>
          <w:szCs w:val="24"/>
        </w:rPr>
      </w:pPr>
      <w:r>
        <w:rPr>
          <w:rFonts w:ascii="Times New Roman" w:hAnsi="Times New Roman" w:cs="Times New Roman"/>
          <w:b/>
          <w:bCs/>
          <w:sz w:val="24"/>
          <w:szCs w:val="24"/>
        </w:rPr>
        <w:t>Supplementary</w:t>
      </w:r>
      <w:r w:rsidR="00965389">
        <w:rPr>
          <w:rFonts w:ascii="Times New Roman" w:hAnsi="Times New Roman" w:cs="Times New Roman"/>
          <w:b/>
          <w:bCs/>
          <w:sz w:val="24"/>
          <w:szCs w:val="24"/>
        </w:rPr>
        <w:t xml:space="preserve"> </w:t>
      </w:r>
      <w:r w:rsidR="007358BE" w:rsidRPr="00DF62A3">
        <w:rPr>
          <w:rFonts w:ascii="Times New Roman" w:hAnsi="Times New Roman" w:cs="Times New Roman"/>
          <w:b/>
          <w:bCs/>
          <w:sz w:val="24"/>
          <w:szCs w:val="24"/>
        </w:rPr>
        <w:t>Methods</w:t>
      </w:r>
    </w:p>
    <w:p w14:paraId="5911DD2A" w14:textId="77777777" w:rsidR="00796CEC" w:rsidRPr="00796CEC" w:rsidRDefault="00796CEC" w:rsidP="00796CEC"/>
    <w:p w14:paraId="7C4D4797" w14:textId="77777777" w:rsidR="00796CEC" w:rsidRPr="00DF0E10" w:rsidRDefault="00796CEC" w:rsidP="00796CEC">
      <w:pPr>
        <w:jc w:val="both"/>
        <w:rPr>
          <w:rFonts w:ascii="Times New Roman" w:eastAsia="맑은 고딕" w:hAnsi="Times New Roman" w:cs="Times New Roman"/>
          <w:b/>
          <w:color w:val="000000"/>
          <w:sz w:val="24"/>
        </w:rPr>
      </w:pPr>
      <w:r w:rsidRPr="00DF0E10">
        <w:rPr>
          <w:rFonts w:ascii="Times New Roman" w:eastAsia="맑은 고딕" w:hAnsi="Times New Roman" w:cs="Times New Roman"/>
          <w:b/>
          <w:color w:val="000000"/>
          <w:sz w:val="24"/>
        </w:rPr>
        <w:t>In vivo oral ulcer model</w:t>
      </w:r>
    </w:p>
    <w:p w14:paraId="3BC06970" w14:textId="77777777" w:rsidR="00796CEC" w:rsidRPr="00DF0E10" w:rsidRDefault="00796CEC" w:rsidP="00796CEC">
      <w:pPr>
        <w:jc w:val="both"/>
        <w:rPr>
          <w:rFonts w:ascii="Times New Roman" w:eastAsia="맑은 고딕" w:hAnsi="Times New Roman" w:cs="Times New Roman"/>
          <w:color w:val="000000"/>
          <w:sz w:val="24"/>
        </w:rPr>
      </w:pPr>
      <w:r w:rsidRPr="00DF0E10">
        <w:rPr>
          <w:rFonts w:ascii="Times New Roman" w:eastAsia="맑은 고딕" w:hAnsi="Times New Roman" w:cs="Times New Roman"/>
          <w:color w:val="000000"/>
          <w:sz w:val="24"/>
        </w:rPr>
        <w:t xml:space="preserve">All animal experiments were approved by the Institutional Animal Care and Use Committee (IACUC) of the authors' institution and conducted in accordance with institutional guidelines. Male C57BL/6 mice aged 6–8 weeks (20–23 g) were obtained from an accredited laboratory animal supplier. Upon arrival, animals were </w:t>
      </w:r>
      <w:proofErr w:type="spellStart"/>
      <w:r w:rsidRPr="00DF0E10">
        <w:rPr>
          <w:rFonts w:ascii="Times New Roman" w:eastAsia="맑은 고딕" w:hAnsi="Times New Roman" w:cs="Times New Roman"/>
          <w:color w:val="000000"/>
          <w:sz w:val="24"/>
        </w:rPr>
        <w:t>acclimatised</w:t>
      </w:r>
      <w:proofErr w:type="spellEnd"/>
      <w:r w:rsidRPr="00DF0E10">
        <w:rPr>
          <w:rFonts w:ascii="Times New Roman" w:eastAsia="맑은 고딕" w:hAnsi="Times New Roman" w:cs="Times New Roman"/>
          <w:color w:val="000000"/>
          <w:sz w:val="24"/>
        </w:rPr>
        <w:t xml:space="preserve"> to the facility for one week prior to any experimental procedures. Animals were housed under controlled conditions (constant temperature, 50% relative humidity, 12-hour light/dark cycle) with free access to standard chow and water.</w:t>
      </w:r>
    </w:p>
    <w:p w14:paraId="5F99B1A5" w14:textId="77777777" w:rsidR="00796CEC" w:rsidRPr="00DF0E10" w:rsidRDefault="00796CEC" w:rsidP="00796CEC">
      <w:pPr>
        <w:jc w:val="both"/>
        <w:rPr>
          <w:rFonts w:ascii="Times New Roman" w:eastAsia="맑은 고딕" w:hAnsi="Times New Roman" w:cs="Times New Roman"/>
          <w:color w:val="000000"/>
          <w:sz w:val="24"/>
        </w:rPr>
      </w:pPr>
      <w:r w:rsidRPr="00DF0E10">
        <w:rPr>
          <w:rFonts w:ascii="Times New Roman" w:eastAsia="맑은 고딕" w:hAnsi="Times New Roman" w:cs="Times New Roman"/>
          <w:color w:val="000000"/>
          <w:sz w:val="24"/>
        </w:rPr>
        <w:t xml:space="preserve">Two experimental groups were used: an oral ulcer control group and a PDLSC-treated group (n = 5 per group; total n = 10), with the single mouse as the experimental unit. Sample size was determined based on previous studies and pilot experiments. Group allocation was performed without formal </w:t>
      </w:r>
      <w:proofErr w:type="spellStart"/>
      <w:r w:rsidRPr="00DF0E10">
        <w:rPr>
          <w:rFonts w:ascii="Times New Roman" w:eastAsia="맑은 고딕" w:hAnsi="Times New Roman" w:cs="Times New Roman"/>
          <w:color w:val="000000"/>
          <w:sz w:val="24"/>
        </w:rPr>
        <w:t>randomisation</w:t>
      </w:r>
      <w:proofErr w:type="spellEnd"/>
      <w:r w:rsidRPr="00DF0E10">
        <w:rPr>
          <w:rFonts w:ascii="Times New Roman" w:eastAsia="맑은 고딕" w:hAnsi="Times New Roman" w:cs="Times New Roman"/>
          <w:color w:val="000000"/>
          <w:sz w:val="24"/>
        </w:rPr>
        <w:t xml:space="preserve">; however, all animals were maintained under identical housing conditions throughout the experiment to </w:t>
      </w:r>
      <w:proofErr w:type="spellStart"/>
      <w:r w:rsidRPr="00DF0E10">
        <w:rPr>
          <w:rFonts w:ascii="Times New Roman" w:eastAsia="맑은 고딕" w:hAnsi="Times New Roman" w:cs="Times New Roman"/>
          <w:color w:val="000000"/>
          <w:sz w:val="24"/>
        </w:rPr>
        <w:t>minimise</w:t>
      </w:r>
      <w:proofErr w:type="spellEnd"/>
      <w:r w:rsidRPr="00DF0E10">
        <w:rPr>
          <w:rFonts w:ascii="Times New Roman" w:eastAsia="맑은 고딕" w:hAnsi="Times New Roman" w:cs="Times New Roman"/>
          <w:color w:val="000000"/>
          <w:sz w:val="24"/>
        </w:rPr>
        <w:t xml:space="preserve"> potential confounding effects of environmental variables. No predefined inclusion or exclusion criteria were established, and no animals were excluded from the analysis.</w:t>
      </w:r>
    </w:p>
    <w:p w14:paraId="2640FD7B" w14:textId="77777777" w:rsidR="00796CEC" w:rsidRPr="00DF0E10" w:rsidRDefault="00796CEC" w:rsidP="00796CEC">
      <w:pPr>
        <w:jc w:val="both"/>
        <w:rPr>
          <w:rFonts w:ascii="Times New Roman" w:eastAsia="맑은 고딕" w:hAnsi="Times New Roman" w:cs="Times New Roman"/>
          <w:color w:val="000000"/>
          <w:sz w:val="24"/>
        </w:rPr>
      </w:pPr>
      <w:r w:rsidRPr="00DF0E10">
        <w:rPr>
          <w:rFonts w:ascii="Times New Roman" w:eastAsia="맑은 고딕" w:hAnsi="Times New Roman" w:cs="Times New Roman"/>
          <w:color w:val="000000"/>
          <w:sz w:val="24"/>
        </w:rPr>
        <w:t xml:space="preserve">Oral ulcers were created on the buccal mucosa using a 3-mm dermatological punch under general </w:t>
      </w:r>
      <w:proofErr w:type="spellStart"/>
      <w:r w:rsidRPr="00DF0E10">
        <w:rPr>
          <w:rFonts w:ascii="Times New Roman" w:eastAsia="맑은 고딕" w:hAnsi="Times New Roman" w:cs="Times New Roman"/>
          <w:color w:val="000000"/>
          <w:sz w:val="24"/>
        </w:rPr>
        <w:t>anaesthesia</w:t>
      </w:r>
      <w:proofErr w:type="spellEnd"/>
      <w:r w:rsidRPr="00DF0E10">
        <w:rPr>
          <w:rFonts w:ascii="Times New Roman" w:eastAsia="맑은 고딕" w:hAnsi="Times New Roman" w:cs="Times New Roman"/>
          <w:color w:val="000000"/>
          <w:sz w:val="24"/>
        </w:rPr>
        <w:t xml:space="preserve"> (</w:t>
      </w:r>
      <w:proofErr w:type="spellStart"/>
      <w:r w:rsidRPr="00DF0E10">
        <w:rPr>
          <w:rFonts w:ascii="Times New Roman" w:eastAsia="맑은 고딕" w:hAnsi="Times New Roman" w:cs="Times New Roman"/>
          <w:color w:val="000000"/>
          <w:sz w:val="24"/>
        </w:rPr>
        <w:t>alfaxalone</w:t>
      </w:r>
      <w:proofErr w:type="spellEnd"/>
      <w:r w:rsidRPr="00DF0E10">
        <w:rPr>
          <w:rFonts w:ascii="Times New Roman" w:eastAsia="맑은 고딕" w:hAnsi="Times New Roman" w:cs="Times New Roman"/>
          <w:color w:val="000000"/>
          <w:sz w:val="24"/>
        </w:rPr>
        <w:t xml:space="preserve"> 80 mg/kg and xylazine 10 mg/kg, intraperitoneally) to </w:t>
      </w:r>
      <w:proofErr w:type="spellStart"/>
      <w:r w:rsidRPr="00DF0E10">
        <w:rPr>
          <w:rFonts w:ascii="Times New Roman" w:eastAsia="맑은 고딕" w:hAnsi="Times New Roman" w:cs="Times New Roman"/>
          <w:color w:val="000000"/>
          <w:sz w:val="24"/>
        </w:rPr>
        <w:t>minimise</w:t>
      </w:r>
      <w:proofErr w:type="spellEnd"/>
      <w:r w:rsidRPr="00DF0E10">
        <w:rPr>
          <w:rFonts w:ascii="Times New Roman" w:eastAsia="맑은 고딕" w:hAnsi="Times New Roman" w:cs="Times New Roman"/>
          <w:color w:val="000000"/>
          <w:sz w:val="24"/>
        </w:rPr>
        <w:t xml:space="preserve"> pain and distress during the procedure. PDLSCs were transplanted into the ulcer site immediately following ulcer induction. Animals were monitored regularly for general health status and wound healing throughout the experimental period. No unexpected adverse events were observed during the study.</w:t>
      </w:r>
    </w:p>
    <w:p w14:paraId="264918CC" w14:textId="77777777" w:rsidR="00796CEC" w:rsidRPr="00DF0E10" w:rsidRDefault="00796CEC" w:rsidP="00796CEC">
      <w:pPr>
        <w:jc w:val="both"/>
        <w:rPr>
          <w:rFonts w:ascii="Times New Roman" w:eastAsia="맑은 고딕" w:hAnsi="Times New Roman" w:cs="Times New Roman"/>
          <w:color w:val="000000"/>
          <w:sz w:val="24"/>
        </w:rPr>
      </w:pPr>
      <w:r w:rsidRPr="00DF0E10">
        <w:rPr>
          <w:rFonts w:ascii="Times New Roman" w:eastAsia="맑은 고딕" w:hAnsi="Times New Roman" w:cs="Times New Roman"/>
          <w:color w:val="000000"/>
          <w:sz w:val="24"/>
        </w:rPr>
        <w:t xml:space="preserve">At the end of the experimental period, buccal mucosal tissues were harvested and fixed in 4% paraformaldehyde, paraffin-embedded, and sectioned at 4 </w:t>
      </w:r>
      <w:proofErr w:type="spellStart"/>
      <w:r w:rsidRPr="00DF0E10">
        <w:rPr>
          <w:rFonts w:ascii="Times New Roman" w:eastAsia="맑은 고딕" w:hAnsi="Times New Roman" w:cs="Times New Roman"/>
          <w:color w:val="000000"/>
          <w:sz w:val="24"/>
        </w:rPr>
        <w:t>μm</w:t>
      </w:r>
      <w:proofErr w:type="spellEnd"/>
      <w:r w:rsidRPr="00DF0E10">
        <w:rPr>
          <w:rFonts w:ascii="Times New Roman" w:eastAsia="맑은 고딕" w:hAnsi="Times New Roman" w:cs="Times New Roman"/>
          <w:color w:val="000000"/>
          <w:sz w:val="24"/>
        </w:rPr>
        <w:t xml:space="preserve">. </w:t>
      </w:r>
      <w:proofErr w:type="spellStart"/>
      <w:r w:rsidRPr="00DF0E10">
        <w:rPr>
          <w:rFonts w:ascii="Times New Roman" w:eastAsia="맑은 고딕" w:hAnsi="Times New Roman" w:cs="Times New Roman"/>
          <w:color w:val="000000"/>
          <w:sz w:val="24"/>
        </w:rPr>
        <w:t>Haematoxylin</w:t>
      </w:r>
      <w:proofErr w:type="spellEnd"/>
      <w:r w:rsidRPr="00DF0E10">
        <w:rPr>
          <w:rFonts w:ascii="Times New Roman" w:eastAsia="맑은 고딕" w:hAnsi="Times New Roman" w:cs="Times New Roman"/>
          <w:color w:val="000000"/>
          <w:sz w:val="24"/>
        </w:rPr>
        <w:t xml:space="preserve"> and eosin staining </w:t>
      </w:r>
      <w:proofErr w:type="gramStart"/>
      <w:r w:rsidRPr="00DF0E10">
        <w:rPr>
          <w:rFonts w:ascii="Times New Roman" w:eastAsia="맑은 고딕" w:hAnsi="Times New Roman" w:cs="Times New Roman"/>
          <w:color w:val="000000"/>
          <w:sz w:val="24"/>
        </w:rPr>
        <w:t>was</w:t>
      </w:r>
      <w:proofErr w:type="gramEnd"/>
      <w:r w:rsidRPr="00DF0E10">
        <w:rPr>
          <w:rFonts w:ascii="Times New Roman" w:eastAsia="맑은 고딕" w:hAnsi="Times New Roman" w:cs="Times New Roman"/>
          <w:color w:val="000000"/>
          <w:sz w:val="24"/>
        </w:rPr>
        <w:t xml:space="preserve"> performed for morphological evaluation. Immunohistochemical analyses were performed using antibodies against CD30, CD44, and Ki-67, with HRP-conjugated secondary antibodies and DAB </w:t>
      </w:r>
      <w:proofErr w:type="spellStart"/>
      <w:r w:rsidRPr="00DF0E10">
        <w:rPr>
          <w:rFonts w:ascii="Times New Roman" w:eastAsia="맑은 고딕" w:hAnsi="Times New Roman" w:cs="Times New Roman"/>
          <w:color w:val="000000"/>
          <w:sz w:val="24"/>
        </w:rPr>
        <w:t>visualisation</w:t>
      </w:r>
      <w:proofErr w:type="spellEnd"/>
      <w:r w:rsidRPr="00DF0E10">
        <w:rPr>
          <w:rFonts w:ascii="Times New Roman" w:eastAsia="맑은 고딕" w:hAnsi="Times New Roman" w:cs="Times New Roman"/>
          <w:color w:val="000000"/>
          <w:sz w:val="24"/>
        </w:rPr>
        <w:t>, to assess inflammasome-related protein expression and tissue repair. The primary outcome measure was inflammasome activation and inflammatory response modulation in the context of PDLSC-mediated tissue healing. Histological and immunohistochemical assessments were performed in a blinded manner. Images were acquired using a light microscope.</w:t>
      </w:r>
    </w:p>
    <w:p w14:paraId="01337EDE" w14:textId="77777777" w:rsidR="00CF6B13" w:rsidRPr="00DF62A3" w:rsidRDefault="00CF6B13" w:rsidP="00CF6B13">
      <w:pPr>
        <w:jc w:val="both"/>
        <w:rPr>
          <w:rFonts w:ascii="Times New Roman" w:eastAsia="맑은 고딕" w:hAnsi="Times New Roman" w:cs="Times New Roman"/>
          <w:b/>
          <w:color w:val="000000"/>
          <w:sz w:val="24"/>
        </w:rPr>
      </w:pPr>
    </w:p>
    <w:p w14:paraId="2F96C026" w14:textId="77777777" w:rsidR="00CF6B13" w:rsidRPr="00DF62A3" w:rsidRDefault="00CF6B13" w:rsidP="00CF6B13">
      <w:pPr>
        <w:jc w:val="both"/>
        <w:rPr>
          <w:rFonts w:ascii="Times New Roman" w:eastAsia="맑은 고딕" w:hAnsi="Times New Roman" w:cs="Times New Roman"/>
          <w:b/>
          <w:color w:val="000000"/>
          <w:sz w:val="24"/>
        </w:rPr>
      </w:pPr>
      <w:r w:rsidRPr="00DF62A3">
        <w:rPr>
          <w:rFonts w:ascii="Times New Roman" w:eastAsia="맑은 고딕" w:hAnsi="Times New Roman" w:cs="Times New Roman"/>
          <w:b/>
          <w:color w:val="000000"/>
          <w:sz w:val="24"/>
        </w:rPr>
        <w:t>Metabolite Extraction and LC-MS/MS Analysis</w:t>
      </w:r>
    </w:p>
    <w:p w14:paraId="45563FCE" w14:textId="77777777" w:rsidR="00CF6B13" w:rsidRPr="00DF62A3" w:rsidRDefault="00CF6B13" w:rsidP="00CF6B13">
      <w:pPr>
        <w:jc w:val="both"/>
        <w:rPr>
          <w:rFonts w:ascii="Times New Roman" w:eastAsia="맑은 고딕" w:hAnsi="Times New Roman" w:cs="Times New Roman"/>
          <w:color w:val="000000"/>
          <w:sz w:val="24"/>
        </w:rPr>
      </w:pPr>
      <w:r w:rsidRPr="00DF62A3">
        <w:rPr>
          <w:rFonts w:ascii="Times New Roman" w:eastAsia="맑은 고딕" w:hAnsi="Times New Roman" w:cs="Times New Roman"/>
          <w:color w:val="000000"/>
          <w:sz w:val="24"/>
        </w:rPr>
        <w:t xml:space="preserve">Cells were harvested and extracted with cold methanol/water (80:20, v/v) containing internal standards, followed by centrifugation at 14,000 × g for 15 min at 4 °C. Supernatants were dried under nitrogen and reconstituted in 50% acetonitrile. Metabolomic profiling was performed using a Q </w:t>
      </w:r>
      <w:proofErr w:type="spellStart"/>
      <w:r w:rsidRPr="00DF62A3">
        <w:rPr>
          <w:rFonts w:ascii="Times New Roman" w:eastAsia="맑은 고딕" w:hAnsi="Times New Roman" w:cs="Times New Roman"/>
          <w:color w:val="000000"/>
          <w:sz w:val="24"/>
        </w:rPr>
        <w:t>Exactive</w:t>
      </w:r>
      <w:proofErr w:type="spellEnd"/>
      <w:r w:rsidRPr="00DF62A3">
        <w:rPr>
          <w:rFonts w:ascii="Times New Roman" w:eastAsia="맑은 고딕" w:hAnsi="Times New Roman" w:cs="Times New Roman"/>
          <w:color w:val="000000"/>
          <w:sz w:val="24"/>
        </w:rPr>
        <w:t xml:space="preserve"> Orbitrap LC-MS/MS system (</w:t>
      </w:r>
      <w:proofErr w:type="spellStart"/>
      <w:r w:rsidRPr="00DF62A3">
        <w:rPr>
          <w:rFonts w:ascii="Times New Roman" w:eastAsia="맑은 고딕" w:hAnsi="Times New Roman" w:cs="Times New Roman"/>
          <w:color w:val="000000"/>
          <w:sz w:val="24"/>
        </w:rPr>
        <w:t>Thermo</w:t>
      </w:r>
      <w:proofErr w:type="spellEnd"/>
      <w:r w:rsidRPr="00DF62A3">
        <w:rPr>
          <w:rFonts w:ascii="Times New Roman" w:eastAsia="맑은 고딕" w:hAnsi="Times New Roman" w:cs="Times New Roman"/>
          <w:color w:val="000000"/>
          <w:sz w:val="24"/>
        </w:rPr>
        <w:t xml:space="preserve"> Fisher Scientific) equipped with an HILIC column. Data </w:t>
      </w:r>
      <w:proofErr w:type="gramStart"/>
      <w:r w:rsidRPr="00DF62A3">
        <w:rPr>
          <w:rFonts w:ascii="Times New Roman" w:eastAsia="맑은 고딕" w:hAnsi="Times New Roman" w:cs="Times New Roman"/>
          <w:color w:val="000000"/>
          <w:sz w:val="24"/>
        </w:rPr>
        <w:t>were</w:t>
      </w:r>
      <w:proofErr w:type="gramEnd"/>
      <w:r w:rsidRPr="00DF62A3">
        <w:rPr>
          <w:rFonts w:ascii="Times New Roman" w:eastAsia="맑은 고딕" w:hAnsi="Times New Roman" w:cs="Times New Roman"/>
          <w:color w:val="000000"/>
          <w:sz w:val="24"/>
        </w:rPr>
        <w:t xml:space="preserve"> acquired in both positive and negative ionization modes. Raw data were processed with Compound Discoverer (</w:t>
      </w:r>
      <w:proofErr w:type="spellStart"/>
      <w:r w:rsidRPr="00DF62A3">
        <w:rPr>
          <w:rFonts w:ascii="Times New Roman" w:eastAsia="맑은 고딕" w:hAnsi="Times New Roman" w:cs="Times New Roman"/>
          <w:color w:val="000000"/>
          <w:sz w:val="24"/>
        </w:rPr>
        <w:t>Thermo</w:t>
      </w:r>
      <w:proofErr w:type="spellEnd"/>
      <w:r w:rsidRPr="00DF62A3">
        <w:rPr>
          <w:rFonts w:ascii="Times New Roman" w:eastAsia="맑은 고딕" w:hAnsi="Times New Roman" w:cs="Times New Roman"/>
          <w:color w:val="000000"/>
          <w:sz w:val="24"/>
        </w:rPr>
        <w:t xml:space="preserve"> Fisher Scientific) for peak alignment, deconvolution, and annotation against KEGG and HMDB databases. Metabolite intensities were normalized to total ion current and subjected to log2 transformation prior to statistical testing.</w:t>
      </w:r>
    </w:p>
    <w:p w14:paraId="18DAAA8D" w14:textId="77777777" w:rsidR="00CF6B13" w:rsidRPr="00DF62A3" w:rsidRDefault="00CF6B13" w:rsidP="00CF6B13">
      <w:pPr>
        <w:jc w:val="both"/>
        <w:rPr>
          <w:rFonts w:ascii="Times New Roman" w:eastAsia="맑은 고딕" w:hAnsi="Times New Roman" w:cs="Times New Roman"/>
          <w:b/>
          <w:color w:val="000000"/>
          <w:sz w:val="24"/>
        </w:rPr>
      </w:pPr>
    </w:p>
    <w:p w14:paraId="17CDA3D0" w14:textId="77777777" w:rsidR="00CF6B13" w:rsidRPr="00DF62A3" w:rsidRDefault="00CF6B13" w:rsidP="00CF6B13">
      <w:pPr>
        <w:jc w:val="both"/>
        <w:rPr>
          <w:rFonts w:ascii="Times New Roman" w:eastAsia="맑은 고딕" w:hAnsi="Times New Roman" w:cs="Times New Roman"/>
          <w:b/>
          <w:color w:val="000000"/>
          <w:sz w:val="24"/>
        </w:rPr>
      </w:pPr>
      <w:r w:rsidRPr="00DF62A3">
        <w:rPr>
          <w:rFonts w:ascii="Times New Roman" w:eastAsia="맑은 고딕" w:hAnsi="Times New Roman" w:cs="Times New Roman"/>
          <w:b/>
          <w:color w:val="000000"/>
          <w:sz w:val="24"/>
        </w:rPr>
        <w:t>Proteomic Sample Preparation and LC-MS/MS Acquisition</w:t>
      </w:r>
    </w:p>
    <w:p w14:paraId="47122C11" w14:textId="77777777" w:rsidR="00CF6B13" w:rsidRPr="00DF62A3" w:rsidRDefault="00CF6B13" w:rsidP="00CF6B13">
      <w:pPr>
        <w:jc w:val="both"/>
        <w:rPr>
          <w:rFonts w:ascii="Times New Roman" w:eastAsia="맑은 고딕" w:hAnsi="Times New Roman" w:cs="Times New Roman"/>
          <w:color w:val="000000"/>
          <w:sz w:val="24"/>
        </w:rPr>
      </w:pPr>
      <w:r w:rsidRPr="00DF62A3">
        <w:rPr>
          <w:rFonts w:ascii="Times New Roman" w:eastAsia="맑은 고딕" w:hAnsi="Times New Roman" w:cs="Times New Roman"/>
          <w:color w:val="000000"/>
          <w:sz w:val="24"/>
        </w:rPr>
        <w:t>Proteins were precipitated using cold acetone and digested with sequencing-grade trypsin overnight at 37 °C. Peptides were desalted using C18 spin columns (</w:t>
      </w:r>
      <w:proofErr w:type="spellStart"/>
      <w:r w:rsidRPr="00DF62A3">
        <w:rPr>
          <w:rFonts w:ascii="Times New Roman" w:eastAsia="맑은 고딕" w:hAnsi="Times New Roman" w:cs="Times New Roman"/>
          <w:color w:val="000000"/>
          <w:sz w:val="24"/>
        </w:rPr>
        <w:t>Thermo</w:t>
      </w:r>
      <w:proofErr w:type="spellEnd"/>
      <w:r w:rsidRPr="00DF62A3">
        <w:rPr>
          <w:rFonts w:ascii="Times New Roman" w:eastAsia="맑은 고딕" w:hAnsi="Times New Roman" w:cs="Times New Roman"/>
          <w:color w:val="000000"/>
          <w:sz w:val="24"/>
        </w:rPr>
        <w:t xml:space="preserve"> Fisher Scientific) and resuspended in 0.1% formic acid. LC-MS/MS was conducted using a Q </w:t>
      </w:r>
      <w:proofErr w:type="spellStart"/>
      <w:r w:rsidRPr="00DF62A3">
        <w:rPr>
          <w:rFonts w:ascii="Times New Roman" w:eastAsia="맑은 고딕" w:hAnsi="Times New Roman" w:cs="Times New Roman"/>
          <w:color w:val="000000"/>
          <w:sz w:val="24"/>
        </w:rPr>
        <w:t>Exactive</w:t>
      </w:r>
      <w:proofErr w:type="spellEnd"/>
      <w:r w:rsidRPr="00DF62A3">
        <w:rPr>
          <w:rFonts w:ascii="Times New Roman" w:eastAsia="맑은 고딕" w:hAnsi="Times New Roman" w:cs="Times New Roman"/>
          <w:color w:val="000000"/>
          <w:sz w:val="24"/>
        </w:rPr>
        <w:t xml:space="preserve"> HF mass spectrometer (</w:t>
      </w:r>
      <w:proofErr w:type="spellStart"/>
      <w:r w:rsidRPr="00DF62A3">
        <w:rPr>
          <w:rFonts w:ascii="Times New Roman" w:eastAsia="맑은 고딕" w:hAnsi="Times New Roman" w:cs="Times New Roman"/>
          <w:color w:val="000000"/>
          <w:sz w:val="24"/>
        </w:rPr>
        <w:t>Thermo</w:t>
      </w:r>
      <w:proofErr w:type="spellEnd"/>
      <w:r w:rsidRPr="00DF62A3">
        <w:rPr>
          <w:rFonts w:ascii="Times New Roman" w:eastAsia="맑은 고딕" w:hAnsi="Times New Roman" w:cs="Times New Roman"/>
          <w:color w:val="000000"/>
          <w:sz w:val="24"/>
        </w:rPr>
        <w:t xml:space="preserve"> Fisher Scientific) coupled to an Easy-</w:t>
      </w:r>
      <w:proofErr w:type="spellStart"/>
      <w:r w:rsidRPr="00DF62A3">
        <w:rPr>
          <w:rFonts w:ascii="Times New Roman" w:eastAsia="맑은 고딕" w:hAnsi="Times New Roman" w:cs="Times New Roman"/>
          <w:color w:val="000000"/>
          <w:sz w:val="24"/>
        </w:rPr>
        <w:t>nLC</w:t>
      </w:r>
      <w:proofErr w:type="spellEnd"/>
      <w:r w:rsidRPr="00DF62A3">
        <w:rPr>
          <w:rFonts w:ascii="Times New Roman" w:eastAsia="맑은 고딕" w:hAnsi="Times New Roman" w:cs="Times New Roman"/>
          <w:color w:val="000000"/>
          <w:sz w:val="24"/>
        </w:rPr>
        <w:t xml:space="preserve"> 1200 system. Peptides were separated on a 25 cm C18 column (75 </w:t>
      </w:r>
      <w:proofErr w:type="spellStart"/>
      <w:r w:rsidRPr="00DF62A3">
        <w:rPr>
          <w:rFonts w:ascii="Times New Roman" w:eastAsia="맑은 고딕" w:hAnsi="Times New Roman" w:cs="Times New Roman"/>
          <w:color w:val="000000"/>
          <w:sz w:val="24"/>
        </w:rPr>
        <w:t>μm</w:t>
      </w:r>
      <w:proofErr w:type="spellEnd"/>
      <w:r w:rsidRPr="00DF62A3">
        <w:rPr>
          <w:rFonts w:ascii="Times New Roman" w:eastAsia="맑은 고딕" w:hAnsi="Times New Roman" w:cs="Times New Roman"/>
          <w:color w:val="000000"/>
          <w:sz w:val="24"/>
        </w:rPr>
        <w:t xml:space="preserve"> ID, 2 </w:t>
      </w:r>
      <w:proofErr w:type="spellStart"/>
      <w:r w:rsidRPr="00DF62A3">
        <w:rPr>
          <w:rFonts w:ascii="Times New Roman" w:eastAsia="맑은 고딕" w:hAnsi="Times New Roman" w:cs="Times New Roman"/>
          <w:color w:val="000000"/>
          <w:sz w:val="24"/>
        </w:rPr>
        <w:t>μm</w:t>
      </w:r>
      <w:proofErr w:type="spellEnd"/>
      <w:r w:rsidRPr="00DF62A3">
        <w:rPr>
          <w:rFonts w:ascii="Times New Roman" w:eastAsia="맑은 고딕" w:hAnsi="Times New Roman" w:cs="Times New Roman"/>
          <w:color w:val="000000"/>
          <w:sz w:val="24"/>
        </w:rPr>
        <w:t xml:space="preserve"> particle size). The MS was operated in data-dependent acquisition mode with a resolution of 60,000 for MS1 and 15,000 for MS2.</w:t>
      </w:r>
    </w:p>
    <w:p w14:paraId="1F316949" w14:textId="77777777" w:rsidR="00CF6B13" w:rsidRPr="00DF62A3" w:rsidRDefault="00CF6B13" w:rsidP="00CF6B13">
      <w:pPr>
        <w:jc w:val="both"/>
        <w:rPr>
          <w:rFonts w:ascii="Times New Roman" w:eastAsia="맑은 고딕" w:hAnsi="Times New Roman" w:cs="Times New Roman"/>
          <w:b/>
          <w:color w:val="000000"/>
          <w:sz w:val="24"/>
        </w:rPr>
      </w:pPr>
    </w:p>
    <w:p w14:paraId="45A0D895" w14:textId="77777777" w:rsidR="00CF6B13" w:rsidRPr="00DF62A3" w:rsidRDefault="00CF6B13" w:rsidP="00CF6B13">
      <w:pPr>
        <w:jc w:val="both"/>
        <w:rPr>
          <w:rFonts w:ascii="Times New Roman" w:eastAsia="맑은 고딕" w:hAnsi="Times New Roman" w:cs="Times New Roman"/>
          <w:b/>
          <w:color w:val="000000"/>
          <w:sz w:val="24"/>
        </w:rPr>
      </w:pPr>
      <w:r w:rsidRPr="00DF62A3">
        <w:rPr>
          <w:rFonts w:ascii="Times New Roman" w:eastAsia="맑은 고딕" w:hAnsi="Times New Roman" w:cs="Times New Roman"/>
          <w:b/>
          <w:color w:val="000000"/>
          <w:sz w:val="24"/>
        </w:rPr>
        <w:t>Proteomic Data Processing and Statistical Analysis</w:t>
      </w:r>
    </w:p>
    <w:p w14:paraId="46A19569" w14:textId="47D00240" w:rsidR="00CF6B13" w:rsidRPr="00DF62A3" w:rsidRDefault="00CF6B13" w:rsidP="00CF6B13">
      <w:pPr>
        <w:jc w:val="both"/>
        <w:rPr>
          <w:rFonts w:ascii="Times New Roman" w:eastAsia="맑은 고딕" w:hAnsi="Times New Roman" w:cs="Times New Roman"/>
          <w:color w:val="000000"/>
          <w:sz w:val="24"/>
        </w:rPr>
      </w:pPr>
      <w:r w:rsidRPr="00DF62A3">
        <w:rPr>
          <w:rFonts w:ascii="Times New Roman" w:eastAsia="맑은 고딕" w:hAnsi="Times New Roman" w:cs="Times New Roman"/>
          <w:color w:val="000000"/>
          <w:sz w:val="24"/>
        </w:rPr>
        <w:t xml:space="preserve">Raw proteomic data were analyzed using </w:t>
      </w:r>
      <w:proofErr w:type="spellStart"/>
      <w:r w:rsidRPr="00DF62A3">
        <w:rPr>
          <w:rFonts w:ascii="Times New Roman" w:eastAsia="맑은 고딕" w:hAnsi="Times New Roman" w:cs="Times New Roman"/>
          <w:color w:val="000000"/>
          <w:sz w:val="24"/>
        </w:rPr>
        <w:t>MaxQuant</w:t>
      </w:r>
      <w:proofErr w:type="spellEnd"/>
      <w:r w:rsidRPr="00DF62A3">
        <w:rPr>
          <w:rFonts w:ascii="Times New Roman" w:eastAsia="맑은 고딕" w:hAnsi="Times New Roman" w:cs="Times New Roman"/>
          <w:color w:val="000000"/>
          <w:sz w:val="24"/>
        </w:rPr>
        <w:t xml:space="preserve"> (version 2.0) with the </w:t>
      </w:r>
      <w:proofErr w:type="spellStart"/>
      <w:r w:rsidRPr="00DF62A3">
        <w:rPr>
          <w:rFonts w:ascii="Times New Roman" w:eastAsia="맑은 고딕" w:hAnsi="Times New Roman" w:cs="Times New Roman"/>
          <w:color w:val="000000"/>
          <w:sz w:val="24"/>
        </w:rPr>
        <w:t>UniProt</w:t>
      </w:r>
      <w:proofErr w:type="spellEnd"/>
      <w:r w:rsidRPr="00DF62A3">
        <w:rPr>
          <w:rFonts w:ascii="Times New Roman" w:eastAsia="맑은 고딕" w:hAnsi="Times New Roman" w:cs="Times New Roman"/>
          <w:color w:val="000000"/>
          <w:sz w:val="24"/>
        </w:rPr>
        <w:t xml:space="preserve"> Homo sapiens database. </w:t>
      </w:r>
      <w:proofErr w:type="spellStart"/>
      <w:r w:rsidRPr="00DF62A3">
        <w:rPr>
          <w:rFonts w:ascii="Times New Roman" w:eastAsia="맑은 고딕" w:hAnsi="Times New Roman" w:cs="Times New Roman"/>
          <w:color w:val="000000"/>
          <w:sz w:val="24"/>
        </w:rPr>
        <w:t>Carbamidomethylation</w:t>
      </w:r>
      <w:proofErr w:type="spellEnd"/>
      <w:r w:rsidRPr="00DF62A3">
        <w:rPr>
          <w:rFonts w:ascii="Times New Roman" w:eastAsia="맑은 고딕" w:hAnsi="Times New Roman" w:cs="Times New Roman"/>
          <w:color w:val="000000"/>
          <w:sz w:val="24"/>
        </w:rPr>
        <w:t xml:space="preserve"> of cysteine was set as a fixed modification, while oxidation of methionine and N-terminal acetylation were set as variable modifications. False discovery rates (FDR) for proteins and peptides were controlled at 1%. Label-free quantification was performed using the LFQ algorithm implemented in </w:t>
      </w:r>
      <w:proofErr w:type="spellStart"/>
      <w:r w:rsidRPr="00DF62A3">
        <w:rPr>
          <w:rFonts w:ascii="Times New Roman" w:eastAsia="맑은 고딕" w:hAnsi="Times New Roman" w:cs="Times New Roman"/>
          <w:color w:val="000000"/>
          <w:sz w:val="24"/>
        </w:rPr>
        <w:t>MaxQuant</w:t>
      </w:r>
      <w:proofErr w:type="spellEnd"/>
      <w:r w:rsidRPr="00DF62A3">
        <w:rPr>
          <w:rFonts w:ascii="Times New Roman" w:eastAsia="맑은 고딕" w:hAnsi="Times New Roman" w:cs="Times New Roman"/>
          <w:color w:val="000000"/>
          <w:sz w:val="24"/>
        </w:rPr>
        <w:t xml:space="preserve">. Differentially expressed proteins were identified using the </w:t>
      </w:r>
      <w:proofErr w:type="spellStart"/>
      <w:r w:rsidRPr="00DF62A3">
        <w:rPr>
          <w:rFonts w:ascii="Times New Roman" w:eastAsia="맑은 고딕" w:hAnsi="Times New Roman" w:cs="Times New Roman"/>
          <w:color w:val="000000"/>
          <w:sz w:val="24"/>
        </w:rPr>
        <w:t>limma</w:t>
      </w:r>
      <w:proofErr w:type="spellEnd"/>
      <w:r w:rsidRPr="00DF62A3">
        <w:rPr>
          <w:rFonts w:ascii="Times New Roman" w:eastAsia="맑은 고딕" w:hAnsi="Times New Roman" w:cs="Times New Roman"/>
          <w:color w:val="000000"/>
          <w:sz w:val="24"/>
        </w:rPr>
        <w:t xml:space="preserve"> R package, with Benjamini–Hochberg correction (q &lt; 0.1).</w:t>
      </w:r>
    </w:p>
    <w:p w14:paraId="3FEDA959" w14:textId="77777777" w:rsidR="00CF6B13" w:rsidRPr="00DF62A3" w:rsidRDefault="00CF6B13" w:rsidP="00CF6B13">
      <w:pPr>
        <w:jc w:val="both"/>
        <w:rPr>
          <w:rFonts w:ascii="Times New Roman" w:eastAsia="맑은 고딕" w:hAnsi="Times New Roman" w:cs="Times New Roman"/>
          <w:b/>
          <w:color w:val="000000"/>
          <w:sz w:val="24"/>
        </w:rPr>
      </w:pPr>
    </w:p>
    <w:p w14:paraId="1B868AC2" w14:textId="77777777" w:rsidR="00CF6B13" w:rsidRPr="00DF62A3" w:rsidRDefault="00CF6B13" w:rsidP="00CF6B13">
      <w:pPr>
        <w:jc w:val="both"/>
        <w:rPr>
          <w:rFonts w:ascii="Times New Roman" w:eastAsia="맑은 고딕" w:hAnsi="Times New Roman" w:cs="Times New Roman"/>
          <w:b/>
          <w:color w:val="000000"/>
          <w:sz w:val="24"/>
        </w:rPr>
      </w:pPr>
      <w:r w:rsidRPr="00DF62A3">
        <w:rPr>
          <w:rFonts w:ascii="Times New Roman" w:eastAsia="맑은 고딕" w:hAnsi="Times New Roman" w:cs="Times New Roman"/>
          <w:b/>
          <w:color w:val="000000"/>
          <w:sz w:val="24"/>
        </w:rPr>
        <w:t>Pathway and Network Analysis</w:t>
      </w:r>
    </w:p>
    <w:p w14:paraId="1385FCA3" w14:textId="77777777" w:rsidR="00CF6B13" w:rsidRPr="00DF62A3" w:rsidRDefault="00CF6B13" w:rsidP="00CF6B13">
      <w:pPr>
        <w:jc w:val="both"/>
        <w:rPr>
          <w:rFonts w:ascii="Times New Roman" w:eastAsia="맑은 고딕" w:hAnsi="Times New Roman" w:cs="Times New Roman"/>
          <w:color w:val="000000"/>
          <w:sz w:val="24"/>
        </w:rPr>
      </w:pPr>
      <w:r w:rsidRPr="00DF62A3">
        <w:rPr>
          <w:rFonts w:ascii="Times New Roman" w:eastAsia="맑은 고딕" w:hAnsi="Times New Roman" w:cs="Times New Roman"/>
          <w:color w:val="000000"/>
          <w:sz w:val="24"/>
        </w:rPr>
        <w:t xml:space="preserve">Pathway enrichment of significant proteins and metabolites was performed using KEGG, </w:t>
      </w:r>
      <w:proofErr w:type="spellStart"/>
      <w:r w:rsidRPr="00DF62A3">
        <w:rPr>
          <w:rFonts w:ascii="Times New Roman" w:eastAsia="맑은 고딕" w:hAnsi="Times New Roman" w:cs="Times New Roman"/>
          <w:color w:val="000000"/>
          <w:sz w:val="24"/>
        </w:rPr>
        <w:t>Reactome</w:t>
      </w:r>
      <w:proofErr w:type="spellEnd"/>
      <w:r w:rsidRPr="00DF62A3">
        <w:rPr>
          <w:rFonts w:ascii="Times New Roman" w:eastAsia="맑은 고딕" w:hAnsi="Times New Roman" w:cs="Times New Roman"/>
          <w:color w:val="000000"/>
          <w:sz w:val="24"/>
        </w:rPr>
        <w:t xml:space="preserve">, and Gene Ontology (GO) databases. Protein–protein interaction (PPI) networks were constructed using STRING v11.5 with a high confidence interaction score (&gt;0.9) and visualized in </w:t>
      </w:r>
      <w:proofErr w:type="spellStart"/>
      <w:r w:rsidRPr="00DF62A3">
        <w:rPr>
          <w:rFonts w:ascii="Times New Roman" w:eastAsia="맑은 고딕" w:hAnsi="Times New Roman" w:cs="Times New Roman"/>
          <w:color w:val="000000"/>
          <w:sz w:val="24"/>
        </w:rPr>
        <w:t>Cytoscape</w:t>
      </w:r>
      <w:proofErr w:type="spellEnd"/>
      <w:r w:rsidRPr="00DF62A3">
        <w:rPr>
          <w:rFonts w:ascii="Times New Roman" w:eastAsia="맑은 고딕" w:hAnsi="Times New Roman" w:cs="Times New Roman"/>
          <w:color w:val="000000"/>
          <w:sz w:val="24"/>
        </w:rPr>
        <w:t xml:space="preserve">. Integrated pathway analysis of proteomics and metabolomics datasets was performed in </w:t>
      </w:r>
      <w:proofErr w:type="spellStart"/>
      <w:r w:rsidRPr="00DF62A3">
        <w:rPr>
          <w:rFonts w:ascii="Times New Roman" w:eastAsia="맑은 고딕" w:hAnsi="Times New Roman" w:cs="Times New Roman"/>
          <w:color w:val="000000"/>
          <w:sz w:val="24"/>
        </w:rPr>
        <w:t>MetaboAnalyst</w:t>
      </w:r>
      <w:proofErr w:type="spellEnd"/>
      <w:r w:rsidRPr="00DF62A3">
        <w:rPr>
          <w:rFonts w:ascii="Times New Roman" w:eastAsia="맑은 고딕" w:hAnsi="Times New Roman" w:cs="Times New Roman"/>
          <w:color w:val="000000"/>
          <w:sz w:val="24"/>
        </w:rPr>
        <w:t xml:space="preserve"> 5.0 using the Joint Pathway Analysis module, applying hypergeometric testing for enrichment and degree centrality for topology weighting.</w:t>
      </w:r>
    </w:p>
    <w:p w14:paraId="1639A99F" w14:textId="11F33EA6" w:rsidR="00CF6B13" w:rsidRPr="00DF62A3" w:rsidRDefault="00CF6B13" w:rsidP="00CF6B13">
      <w:pPr>
        <w:jc w:val="both"/>
        <w:rPr>
          <w:rFonts w:ascii="Times New Roman" w:eastAsia="맑은 고딕" w:hAnsi="Times New Roman" w:cs="Times New Roman"/>
          <w:b/>
          <w:color w:val="000000"/>
          <w:sz w:val="24"/>
        </w:rPr>
      </w:pPr>
    </w:p>
    <w:p w14:paraId="3BB72146" w14:textId="77777777" w:rsidR="00CF6B13" w:rsidRPr="00DF62A3" w:rsidRDefault="00CF6B13" w:rsidP="00CF6B13">
      <w:pPr>
        <w:jc w:val="both"/>
        <w:rPr>
          <w:rFonts w:ascii="Times New Roman" w:eastAsia="맑은 고딕" w:hAnsi="Times New Roman" w:cs="Times New Roman"/>
          <w:b/>
          <w:color w:val="000000"/>
          <w:sz w:val="24"/>
        </w:rPr>
      </w:pPr>
    </w:p>
    <w:p w14:paraId="43219B5B" w14:textId="77777777" w:rsidR="00CF6B13" w:rsidRPr="00DF62A3" w:rsidRDefault="00CF6B13" w:rsidP="00CF6B13">
      <w:pPr>
        <w:jc w:val="both"/>
        <w:rPr>
          <w:rFonts w:ascii="Times New Roman" w:eastAsia="맑은 고딕" w:hAnsi="Times New Roman" w:cs="Times New Roman"/>
          <w:b/>
          <w:color w:val="000000"/>
          <w:sz w:val="24"/>
        </w:rPr>
      </w:pPr>
    </w:p>
    <w:p w14:paraId="1DA9BE21" w14:textId="6DC03824" w:rsidR="00E74220" w:rsidRPr="00DF62A3" w:rsidRDefault="00AE62E0" w:rsidP="00CF6B13">
      <w:pPr>
        <w:jc w:val="both"/>
        <w:rPr>
          <w:rFonts w:ascii="Times New Roman" w:hAnsi="Times New Roman" w:cs="Times New Roman"/>
          <w:b/>
          <w:bCs/>
          <w:caps/>
          <w:sz w:val="24"/>
        </w:rPr>
      </w:pPr>
      <w:r>
        <w:rPr>
          <w:rFonts w:ascii="Times New Roman" w:hAnsi="Times New Roman" w:cs="Times New Roman"/>
          <w:b/>
          <w:bCs/>
          <w:noProof/>
          <w:sz w:val="24"/>
        </w:rPr>
        <w:lastRenderedPageBreak/>
        <w:drawing>
          <wp:anchor distT="0" distB="0" distL="114300" distR="114300" simplePos="0" relativeHeight="251671552" behindDoc="0" locked="0" layoutInCell="1" allowOverlap="1" wp14:anchorId="475BCF9F" wp14:editId="50680BE9">
            <wp:simplePos x="0" y="0"/>
            <wp:positionH relativeFrom="margin">
              <wp:posOffset>-215265</wp:posOffset>
            </wp:positionH>
            <wp:positionV relativeFrom="paragraph">
              <wp:posOffset>350713</wp:posOffset>
            </wp:positionV>
            <wp:extent cx="6162040" cy="4288790"/>
            <wp:effectExtent l="0" t="0" r="0" b="0"/>
            <wp:wrapSquare wrapText="bothSides"/>
            <wp:docPr id="6271163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2040" cy="4288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0565">
        <w:rPr>
          <w:rFonts w:ascii="Times New Roman" w:eastAsia="맑은 고딕" w:hAnsi="Times New Roman" w:cs="Times New Roman"/>
          <w:b/>
          <w:color w:val="000000"/>
          <w:sz w:val="24"/>
        </w:rPr>
        <w:t>Supplementary</w:t>
      </w:r>
      <w:r w:rsidR="00965389">
        <w:rPr>
          <w:rFonts w:ascii="Times New Roman" w:eastAsia="맑은 고딕" w:hAnsi="Times New Roman" w:cs="Times New Roman"/>
          <w:b/>
          <w:color w:val="000000"/>
          <w:sz w:val="24"/>
        </w:rPr>
        <w:t xml:space="preserve"> </w:t>
      </w:r>
      <w:r w:rsidR="007358BE" w:rsidRPr="00DF62A3">
        <w:rPr>
          <w:rFonts w:ascii="Times New Roman" w:hAnsi="Times New Roman" w:cs="Times New Roman"/>
          <w:b/>
          <w:bCs/>
          <w:sz w:val="24"/>
        </w:rPr>
        <w:t>Figures</w:t>
      </w:r>
    </w:p>
    <w:p w14:paraId="3A61D738" w14:textId="5BD51819" w:rsidR="00A03590" w:rsidRPr="00DF62A3" w:rsidRDefault="00A03590" w:rsidP="00980E4A">
      <w:pPr>
        <w:rPr>
          <w:rFonts w:ascii="Times New Roman" w:hAnsi="Times New Roman" w:cs="Times New Roman"/>
          <w:b/>
          <w:bCs/>
          <w:sz w:val="24"/>
        </w:rPr>
      </w:pPr>
    </w:p>
    <w:p w14:paraId="1C010EDC" w14:textId="6C2135C2" w:rsidR="00734431" w:rsidRPr="00DF62A3" w:rsidRDefault="00E359C5" w:rsidP="00A03590">
      <w:pPr>
        <w:jc w:val="both"/>
        <w:rPr>
          <w:rFonts w:ascii="Times New Roman" w:hAnsi="Times New Roman" w:cs="Times New Roman"/>
          <w:bCs/>
          <w:sz w:val="24"/>
        </w:rPr>
      </w:pPr>
      <w:r>
        <w:rPr>
          <w:rFonts w:ascii="Times New Roman" w:hAnsi="Times New Roman" w:cs="Times New Roman"/>
          <w:b/>
          <w:bCs/>
          <w:sz w:val="24"/>
        </w:rPr>
        <w:t>FIGURE S</w:t>
      </w:r>
      <w:r w:rsidR="00A03590" w:rsidRPr="00DF62A3">
        <w:rPr>
          <w:rFonts w:ascii="Times New Roman" w:hAnsi="Times New Roman" w:cs="Times New Roman"/>
          <w:b/>
          <w:bCs/>
          <w:sz w:val="24"/>
        </w:rPr>
        <w:t xml:space="preserve">1 </w:t>
      </w:r>
      <w:r w:rsidR="00A03590" w:rsidRPr="00DF62A3">
        <w:rPr>
          <w:rFonts w:ascii="Times New Roman" w:hAnsi="Times New Roman" w:cs="Times New Roman"/>
          <w:bCs/>
          <w:sz w:val="24"/>
        </w:rPr>
        <w:t xml:space="preserve">Characterization of multi-lineage differentiation potential of PDLSCs. </w:t>
      </w:r>
      <w:r w:rsidR="007358BE" w:rsidRPr="007358BE">
        <w:rPr>
          <w:rFonts w:ascii="Times New Roman" w:hAnsi="Times New Roman" w:cs="Times New Roman"/>
          <w:b/>
          <w:bCs/>
          <w:sz w:val="24"/>
        </w:rPr>
        <w:t>(A)</w:t>
      </w:r>
      <w:r w:rsidR="00A03590" w:rsidRPr="00DF62A3">
        <w:rPr>
          <w:rFonts w:ascii="Times New Roman" w:hAnsi="Times New Roman" w:cs="Times New Roman"/>
          <w:bCs/>
          <w:sz w:val="24"/>
        </w:rPr>
        <w:t xml:space="preserve"> Representative images of PDLSCs after differentiation induction. Osteogenic differentiation was confirmed by Alizarin Red S staining showing calcium deposits (red). Chondrogenic differentiation was verified by Alcian Blue staining indicating proteoglycan accumulation (blue). </w:t>
      </w:r>
      <w:proofErr w:type="spellStart"/>
      <w:r w:rsidR="00A03590" w:rsidRPr="00DF62A3">
        <w:rPr>
          <w:rFonts w:ascii="Times New Roman" w:hAnsi="Times New Roman" w:cs="Times New Roman"/>
          <w:bCs/>
          <w:sz w:val="24"/>
        </w:rPr>
        <w:t>Adipogenic</w:t>
      </w:r>
      <w:proofErr w:type="spellEnd"/>
      <w:r w:rsidR="00A03590" w:rsidRPr="00DF62A3">
        <w:rPr>
          <w:rFonts w:ascii="Times New Roman" w:hAnsi="Times New Roman" w:cs="Times New Roman"/>
          <w:bCs/>
          <w:sz w:val="24"/>
        </w:rPr>
        <w:t xml:space="preserve"> differentiation was demonstrated by Oil Red O staining revealing lipid droplet formation (red). Control groups showed no positive staining.</w:t>
      </w:r>
      <w:r w:rsidR="00980E4A" w:rsidRPr="00980E4A">
        <w:rPr>
          <w:noProof/>
        </w:rPr>
        <w:t xml:space="preserve"> </w:t>
      </w:r>
      <w:r w:rsidR="00A03590" w:rsidRPr="00DF62A3">
        <w:rPr>
          <w:rFonts w:ascii="Times New Roman" w:hAnsi="Times New Roman" w:cs="Times New Roman"/>
          <w:bCs/>
          <w:sz w:val="24"/>
        </w:rPr>
        <w:t xml:space="preserve">Scale bars = 100 </w:t>
      </w:r>
      <w:proofErr w:type="spellStart"/>
      <w:r w:rsidR="00A03590" w:rsidRPr="00DF62A3">
        <w:rPr>
          <w:rFonts w:ascii="Times New Roman" w:hAnsi="Times New Roman" w:cs="Times New Roman"/>
          <w:bCs/>
          <w:sz w:val="24"/>
        </w:rPr>
        <w:t>μm</w:t>
      </w:r>
      <w:proofErr w:type="spellEnd"/>
      <w:r w:rsidR="00A03590" w:rsidRPr="00DF62A3">
        <w:rPr>
          <w:rFonts w:ascii="Times New Roman" w:hAnsi="Times New Roman" w:cs="Times New Roman"/>
          <w:bCs/>
          <w:sz w:val="24"/>
        </w:rPr>
        <w:t xml:space="preserve">. </w:t>
      </w:r>
      <w:r w:rsidR="00C66D8F">
        <w:rPr>
          <w:rFonts w:ascii="Times New Roman" w:hAnsi="Times New Roman" w:cs="Times New Roman"/>
          <w:bCs/>
          <w:sz w:val="24"/>
        </w:rPr>
        <w:t xml:space="preserve"> </w:t>
      </w:r>
      <w:r w:rsidR="007358BE" w:rsidRPr="007358BE">
        <w:rPr>
          <w:rFonts w:ascii="Times New Roman" w:hAnsi="Times New Roman" w:cs="Times New Roman"/>
          <w:b/>
          <w:bCs/>
          <w:sz w:val="24"/>
        </w:rPr>
        <w:t>(B)</w:t>
      </w:r>
      <w:r w:rsidR="00C66D8F">
        <w:rPr>
          <w:rFonts w:ascii="Times New Roman" w:hAnsi="Times New Roman" w:cs="Times New Roman"/>
          <w:bCs/>
          <w:sz w:val="24"/>
        </w:rPr>
        <w:t xml:space="preserve"> </w:t>
      </w:r>
      <w:r w:rsidR="00A03590" w:rsidRPr="00DF62A3">
        <w:rPr>
          <w:rFonts w:ascii="Times New Roman" w:hAnsi="Times New Roman" w:cs="Times New Roman"/>
          <w:bCs/>
          <w:sz w:val="24"/>
        </w:rPr>
        <w:t>Flow cytometry analysis of mesenchymal stem cell surface markers on PDLSCs. Cells were positive for CD73 (99.7%), CD90 (97.9%), and CD105 (99.6%), while negative for the hematopoietic marker CD45 (0.9%). Black lines represent isotype control IgG; red lines represent specific antibody staining.</w:t>
      </w:r>
    </w:p>
    <w:p w14:paraId="1E44232B" w14:textId="00C087BD" w:rsidR="00A03590" w:rsidRDefault="00A03590" w:rsidP="00A03590">
      <w:pPr>
        <w:jc w:val="both"/>
        <w:rPr>
          <w:rFonts w:ascii="Times New Roman" w:hAnsi="Times New Roman" w:cs="Times New Roman"/>
          <w:caps/>
          <w:noProof/>
        </w:rPr>
      </w:pPr>
    </w:p>
    <w:p w14:paraId="69E9AA62" w14:textId="25F42D59" w:rsidR="00980E4A" w:rsidRDefault="00980E4A" w:rsidP="00A03590">
      <w:pPr>
        <w:jc w:val="both"/>
        <w:rPr>
          <w:rFonts w:ascii="Times New Roman" w:hAnsi="Times New Roman" w:cs="Times New Roman"/>
          <w:caps/>
          <w:noProof/>
        </w:rPr>
      </w:pPr>
    </w:p>
    <w:p w14:paraId="237C8294" w14:textId="7AAA3A09" w:rsidR="00980E4A" w:rsidRDefault="00980E4A" w:rsidP="00A03590">
      <w:pPr>
        <w:jc w:val="both"/>
        <w:rPr>
          <w:rFonts w:ascii="Times New Roman" w:hAnsi="Times New Roman" w:cs="Times New Roman"/>
          <w:caps/>
          <w:noProof/>
        </w:rPr>
      </w:pPr>
    </w:p>
    <w:p w14:paraId="6F81560A" w14:textId="4FCEB7B1" w:rsidR="00980E4A" w:rsidRDefault="00980E4A" w:rsidP="00A03590">
      <w:pPr>
        <w:jc w:val="both"/>
        <w:rPr>
          <w:rFonts w:ascii="Times New Roman" w:hAnsi="Times New Roman" w:cs="Times New Roman"/>
          <w:caps/>
          <w:noProof/>
        </w:rPr>
      </w:pPr>
    </w:p>
    <w:p w14:paraId="4869D718" w14:textId="7416489A" w:rsidR="00980E4A" w:rsidRPr="00DF62A3" w:rsidRDefault="00980E4A" w:rsidP="00A03590">
      <w:pPr>
        <w:jc w:val="both"/>
        <w:rPr>
          <w:rFonts w:ascii="Times New Roman" w:hAnsi="Times New Roman" w:cs="Times New Roman"/>
          <w:caps/>
          <w:noProof/>
        </w:rPr>
      </w:pPr>
    </w:p>
    <w:p w14:paraId="521A3B07" w14:textId="39B9A5C6" w:rsidR="00D70639" w:rsidRDefault="00D70639" w:rsidP="00980E4A">
      <w:pPr>
        <w:jc w:val="center"/>
        <w:rPr>
          <w:rFonts w:ascii="Times New Roman" w:hAnsi="Times New Roman" w:cs="Times New Roman"/>
          <w:b/>
          <w:bCs/>
          <w:sz w:val="24"/>
        </w:rPr>
      </w:pPr>
    </w:p>
    <w:p w14:paraId="221965E9" w14:textId="43677256" w:rsidR="00980E4A" w:rsidRDefault="00980E4A" w:rsidP="00980E4A">
      <w:pPr>
        <w:jc w:val="center"/>
        <w:rPr>
          <w:rFonts w:ascii="Times New Roman" w:hAnsi="Times New Roman" w:cs="Times New Roman"/>
          <w:b/>
          <w:bCs/>
          <w:sz w:val="24"/>
        </w:rPr>
      </w:pPr>
    </w:p>
    <w:p w14:paraId="729A2D26" w14:textId="082B413E" w:rsidR="00980E4A" w:rsidRDefault="00AE62E0" w:rsidP="00980E4A">
      <w:pPr>
        <w:jc w:val="center"/>
        <w:rPr>
          <w:rFonts w:ascii="Times New Roman" w:hAnsi="Times New Roman" w:cs="Times New Roman"/>
          <w:b/>
          <w:bCs/>
          <w:sz w:val="24"/>
        </w:rPr>
      </w:pPr>
      <w:r>
        <w:rPr>
          <w:noProof/>
        </w:rPr>
        <w:lastRenderedPageBreak/>
        <w:drawing>
          <wp:anchor distT="0" distB="0" distL="114300" distR="114300" simplePos="0" relativeHeight="251660288" behindDoc="0" locked="0" layoutInCell="1" allowOverlap="1" wp14:anchorId="68AAAEEF" wp14:editId="628306DD">
            <wp:simplePos x="0" y="0"/>
            <wp:positionH relativeFrom="margin">
              <wp:posOffset>318722</wp:posOffset>
            </wp:positionH>
            <wp:positionV relativeFrom="margin">
              <wp:posOffset>-157432</wp:posOffset>
            </wp:positionV>
            <wp:extent cx="5140960" cy="3484880"/>
            <wp:effectExtent l="0" t="0" r="2540" b="1270"/>
            <wp:wrapSquare wrapText="bothSides"/>
            <wp:docPr id="2" name="그림 2" descr="C:\Users\한연호\AppData\Local\Microsoft\Windows\INetCache\Content.Word\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한연호\AppData\Local\Microsoft\Windows\INetCache\Content.Word\2.tif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44973"/>
                    <a:stretch>
                      <a:fillRect/>
                    </a:stretch>
                  </pic:blipFill>
                  <pic:spPr bwMode="auto">
                    <a:xfrm>
                      <a:off x="0" y="0"/>
                      <a:ext cx="5140960" cy="3484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CCA20D" w14:textId="2DCD8645" w:rsidR="00E74220" w:rsidRPr="00DF62A3" w:rsidRDefault="00E359C5" w:rsidP="00CF6B13">
      <w:pPr>
        <w:jc w:val="both"/>
        <w:rPr>
          <w:rFonts w:ascii="Times New Roman" w:hAnsi="Times New Roman" w:cs="Times New Roman"/>
          <w:noProof/>
        </w:rPr>
      </w:pPr>
      <w:r>
        <w:rPr>
          <w:rFonts w:ascii="Times New Roman" w:hAnsi="Times New Roman" w:cs="Times New Roman"/>
          <w:b/>
          <w:bCs/>
          <w:sz w:val="24"/>
        </w:rPr>
        <w:t>FIGURE S</w:t>
      </w:r>
      <w:r w:rsidR="00A03590" w:rsidRPr="00DF62A3">
        <w:rPr>
          <w:rFonts w:ascii="Times New Roman" w:hAnsi="Times New Roman" w:cs="Times New Roman"/>
          <w:b/>
          <w:bCs/>
          <w:sz w:val="24"/>
        </w:rPr>
        <w:t>2</w:t>
      </w:r>
      <w:r w:rsidR="00E74220" w:rsidRPr="00DF62A3">
        <w:rPr>
          <w:rFonts w:ascii="Times New Roman" w:hAnsi="Times New Roman" w:cs="Times New Roman"/>
          <w:b/>
          <w:bCs/>
          <w:sz w:val="24"/>
        </w:rPr>
        <w:t xml:space="preserve"> </w:t>
      </w:r>
      <w:r w:rsidR="00E74220" w:rsidRPr="00DF62A3">
        <w:rPr>
          <w:rFonts w:ascii="Times New Roman" w:hAnsi="Times New Roman" w:cs="Times New Roman"/>
          <w:bCs/>
          <w:sz w:val="24"/>
        </w:rPr>
        <w:t xml:space="preserve">Representative H&amp;E-stained tissue sections comparing control and PDLSC-treated groups at different time points. Left panels (Control group): Day 3 and Day 5 control samples </w:t>
      </w:r>
      <w:r w:rsidR="00EE696F" w:rsidRPr="00EE696F">
        <w:rPr>
          <w:rFonts w:ascii="Times New Roman" w:hAnsi="Times New Roman" w:cs="Times New Roman"/>
          <w:bCs/>
          <w:sz w:val="24"/>
        </w:rPr>
        <w:t>showing severe tissue damage characterized by epithelial disruption, loss of keratinized layers, and inflammatory cell infiltration within the lamina propria.</w:t>
      </w:r>
      <w:r w:rsidR="00E74220" w:rsidRPr="00DF62A3">
        <w:rPr>
          <w:rFonts w:ascii="Times New Roman" w:hAnsi="Times New Roman" w:cs="Times New Roman"/>
          <w:bCs/>
          <w:sz w:val="24"/>
        </w:rPr>
        <w:t xml:space="preserve"> Right panels (PDLSC group): Day 3 and Day 5 PDLSC-treated samples demonstrating therapeutic effects with extensive but organized inflammatory infiltration, reduced inflammatory infiltration, organized connective tissue formation, and preserved epithelial continuity. Red arrows indicate areas of tissue damage and inflammatory infiltration; green arrows highlight preserved structural elements and tissue repair processes. PDLSC treatment promotes faster healing with maintained tissue architecture compared to control conditions.</w:t>
      </w:r>
    </w:p>
    <w:p w14:paraId="6F896E22" w14:textId="482B2136" w:rsidR="00F6042C" w:rsidRPr="00DF62A3" w:rsidRDefault="00F6042C" w:rsidP="00CF6B13">
      <w:pPr>
        <w:jc w:val="both"/>
        <w:rPr>
          <w:rFonts w:ascii="Times New Roman" w:eastAsia="맑은 고딕" w:hAnsi="Times New Roman" w:cs="Times New Roman"/>
          <w:b/>
          <w:color w:val="000000"/>
          <w:sz w:val="24"/>
        </w:rPr>
      </w:pPr>
    </w:p>
    <w:p w14:paraId="2B2B5A69" w14:textId="77777777" w:rsidR="002C0237" w:rsidRPr="00DF62A3" w:rsidRDefault="002C0237" w:rsidP="00CF6B13">
      <w:pPr>
        <w:jc w:val="both"/>
        <w:rPr>
          <w:rFonts w:ascii="Times New Roman" w:eastAsia="맑은 고딕" w:hAnsi="Times New Roman" w:cs="Times New Roman"/>
          <w:b/>
          <w:color w:val="000000"/>
          <w:sz w:val="24"/>
        </w:rPr>
      </w:pPr>
    </w:p>
    <w:p w14:paraId="4561822C" w14:textId="77777777" w:rsidR="002C0237" w:rsidRPr="00DF62A3" w:rsidRDefault="002C0237" w:rsidP="00CF6B13">
      <w:pPr>
        <w:jc w:val="both"/>
        <w:rPr>
          <w:rFonts w:ascii="Times New Roman" w:eastAsia="맑은 고딕" w:hAnsi="Times New Roman" w:cs="Times New Roman"/>
          <w:b/>
          <w:color w:val="000000"/>
          <w:sz w:val="24"/>
        </w:rPr>
      </w:pPr>
    </w:p>
    <w:p w14:paraId="47A599AC" w14:textId="2CA97BF2" w:rsidR="002C0237" w:rsidRPr="00DF62A3" w:rsidRDefault="002C0237" w:rsidP="00CF6B13">
      <w:pPr>
        <w:jc w:val="both"/>
        <w:rPr>
          <w:rFonts w:ascii="Times New Roman" w:eastAsia="맑은 고딕" w:hAnsi="Times New Roman" w:cs="Times New Roman"/>
          <w:b/>
          <w:color w:val="000000"/>
          <w:sz w:val="24"/>
        </w:rPr>
      </w:pPr>
    </w:p>
    <w:p w14:paraId="7D04B11A" w14:textId="380B2982" w:rsidR="005016FA" w:rsidRPr="00DF62A3" w:rsidRDefault="005016FA" w:rsidP="00CF6B13">
      <w:pPr>
        <w:jc w:val="both"/>
        <w:rPr>
          <w:rFonts w:ascii="Times New Roman" w:eastAsia="맑은 고딕" w:hAnsi="Times New Roman" w:cs="Times New Roman"/>
          <w:b/>
          <w:color w:val="000000"/>
          <w:sz w:val="24"/>
        </w:rPr>
      </w:pPr>
    </w:p>
    <w:p w14:paraId="1F442BD5" w14:textId="1552486C" w:rsidR="005016FA" w:rsidRDefault="005016FA" w:rsidP="00CF6B13">
      <w:pPr>
        <w:jc w:val="both"/>
        <w:rPr>
          <w:rFonts w:ascii="Times New Roman" w:eastAsia="맑은 고딕" w:hAnsi="Times New Roman" w:cs="Times New Roman"/>
          <w:b/>
          <w:color w:val="000000"/>
          <w:sz w:val="24"/>
        </w:rPr>
      </w:pPr>
    </w:p>
    <w:p w14:paraId="2D995A66" w14:textId="77777777" w:rsidR="00906BDF" w:rsidRPr="00DF62A3" w:rsidRDefault="00906BDF" w:rsidP="00CF6B13">
      <w:pPr>
        <w:jc w:val="both"/>
        <w:rPr>
          <w:rFonts w:ascii="Times New Roman" w:eastAsia="맑은 고딕" w:hAnsi="Times New Roman" w:cs="Times New Roman"/>
          <w:b/>
          <w:color w:val="000000"/>
          <w:sz w:val="24"/>
        </w:rPr>
      </w:pPr>
    </w:p>
    <w:p w14:paraId="10B11A00" w14:textId="497A6E27" w:rsidR="005016FA" w:rsidRPr="00DF62A3" w:rsidRDefault="005016FA" w:rsidP="00980E4A">
      <w:pPr>
        <w:jc w:val="center"/>
        <w:rPr>
          <w:rFonts w:ascii="Times New Roman" w:eastAsia="맑은 고딕" w:hAnsi="Times New Roman" w:cs="Times New Roman"/>
          <w:b/>
          <w:color w:val="000000"/>
          <w:sz w:val="24"/>
        </w:rPr>
      </w:pPr>
    </w:p>
    <w:p w14:paraId="6E059E24" w14:textId="61C513B4" w:rsidR="000834E4" w:rsidRDefault="000834E4" w:rsidP="000834E4">
      <w:pPr>
        <w:jc w:val="both"/>
        <w:rPr>
          <w:rFonts w:ascii="Times New Roman" w:eastAsia="맑은 고딕" w:hAnsi="Times New Roman" w:cs="Times New Roman"/>
          <w:b/>
          <w:color w:val="000000"/>
          <w:sz w:val="24"/>
        </w:rPr>
      </w:pPr>
    </w:p>
    <w:p w14:paraId="5E774EE0" w14:textId="77777777" w:rsidR="00AE62E0" w:rsidRDefault="00AE62E0" w:rsidP="000834E4">
      <w:pPr>
        <w:jc w:val="both"/>
        <w:rPr>
          <w:rFonts w:ascii="Times New Roman" w:eastAsia="맑은 고딕" w:hAnsi="Times New Roman" w:cs="Times New Roman"/>
          <w:b/>
          <w:color w:val="000000"/>
          <w:sz w:val="24"/>
        </w:rPr>
      </w:pPr>
    </w:p>
    <w:p w14:paraId="109D9A41" w14:textId="77777777" w:rsidR="00AE62E0" w:rsidRDefault="00AE62E0" w:rsidP="000834E4">
      <w:pPr>
        <w:jc w:val="both"/>
        <w:rPr>
          <w:rFonts w:ascii="Times New Roman" w:eastAsia="맑은 고딕" w:hAnsi="Times New Roman" w:cs="Times New Roman"/>
          <w:b/>
          <w:color w:val="000000"/>
          <w:sz w:val="24"/>
        </w:rPr>
      </w:pPr>
    </w:p>
    <w:p w14:paraId="13564791" w14:textId="77777777" w:rsidR="00AE62E0" w:rsidRDefault="00AE62E0" w:rsidP="000834E4">
      <w:pPr>
        <w:jc w:val="both"/>
        <w:rPr>
          <w:rFonts w:ascii="Times New Roman" w:eastAsia="맑은 고딕" w:hAnsi="Times New Roman" w:cs="Times New Roman"/>
          <w:b/>
          <w:color w:val="000000"/>
          <w:sz w:val="24"/>
        </w:rPr>
      </w:pPr>
    </w:p>
    <w:p w14:paraId="559EA97B" w14:textId="464BD6DE" w:rsidR="00AE62E0" w:rsidRPr="00DF62A3" w:rsidRDefault="00AE62E0" w:rsidP="000834E4">
      <w:pPr>
        <w:jc w:val="both"/>
        <w:rPr>
          <w:rFonts w:ascii="Times New Roman" w:eastAsia="맑은 고딕" w:hAnsi="Times New Roman" w:cs="Times New Roman"/>
          <w:b/>
          <w:color w:val="000000"/>
          <w:sz w:val="24"/>
        </w:rPr>
      </w:pPr>
      <w:r>
        <w:rPr>
          <w:rFonts w:ascii="Times New Roman" w:eastAsia="맑은 고딕" w:hAnsi="Times New Roman" w:cs="Times New Roman" w:hint="eastAsia"/>
          <w:b/>
          <w:noProof/>
          <w:color w:val="000000"/>
          <w:sz w:val="24"/>
        </w:rPr>
        <w:lastRenderedPageBreak/>
        <w:drawing>
          <wp:anchor distT="0" distB="0" distL="114300" distR="114300" simplePos="0" relativeHeight="251672576" behindDoc="0" locked="0" layoutInCell="1" allowOverlap="1" wp14:anchorId="51E8BEC7" wp14:editId="1C984BB1">
            <wp:simplePos x="0" y="0"/>
            <wp:positionH relativeFrom="margin">
              <wp:posOffset>-525145</wp:posOffset>
            </wp:positionH>
            <wp:positionV relativeFrom="paragraph">
              <wp:posOffset>135890</wp:posOffset>
            </wp:positionV>
            <wp:extent cx="6999605" cy="8149590"/>
            <wp:effectExtent l="0" t="0" r="0" b="3810"/>
            <wp:wrapSquare wrapText="bothSides"/>
            <wp:docPr id="2050069545"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99605" cy="8149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0A7F8A" w14:textId="0CD500D0" w:rsidR="000834E4" w:rsidRPr="00DF62A3" w:rsidRDefault="00E359C5" w:rsidP="007D2BFC">
      <w:pPr>
        <w:jc w:val="both"/>
        <w:rPr>
          <w:rFonts w:ascii="Times New Roman" w:hAnsi="Times New Roman" w:cs="Times New Roman"/>
          <w:sz w:val="24"/>
        </w:rPr>
      </w:pPr>
      <w:r>
        <w:rPr>
          <w:rFonts w:ascii="Times New Roman" w:hAnsi="Times New Roman" w:cs="Times New Roman"/>
          <w:b/>
          <w:bCs/>
          <w:sz w:val="24"/>
        </w:rPr>
        <w:lastRenderedPageBreak/>
        <w:t>FIGURE S</w:t>
      </w:r>
      <w:r w:rsidR="005016FA" w:rsidRPr="00DF62A3">
        <w:rPr>
          <w:rFonts w:ascii="Times New Roman" w:hAnsi="Times New Roman" w:cs="Times New Roman"/>
          <w:b/>
          <w:bCs/>
          <w:sz w:val="24"/>
        </w:rPr>
        <w:t>3</w:t>
      </w:r>
      <w:r w:rsidR="004E2F6D" w:rsidRPr="00DF62A3">
        <w:rPr>
          <w:rFonts w:ascii="Times New Roman" w:hAnsi="Times New Roman" w:cs="Times New Roman"/>
          <w:b/>
          <w:bCs/>
          <w:sz w:val="24"/>
        </w:rPr>
        <w:t xml:space="preserve"> </w:t>
      </w:r>
      <w:r w:rsidR="007D2BFC" w:rsidRPr="007E1901">
        <w:rPr>
          <w:rFonts w:ascii="Times New Roman" w:hAnsi="Times New Roman" w:cs="Times New Roman"/>
          <w:bCs/>
          <w:sz w:val="24"/>
        </w:rPr>
        <w:t>Quality control, global expression distribution, and pathway enrichment analysis of transcriptomic data from THP-1 macrophages co-cultured with PDLSCs</w:t>
      </w:r>
      <w:r w:rsidR="007D2BFC" w:rsidRPr="00DF62A3">
        <w:rPr>
          <w:rFonts w:ascii="Times New Roman" w:hAnsi="Times New Roman" w:cs="Times New Roman"/>
          <w:b/>
          <w:bCs/>
          <w:sz w:val="24"/>
        </w:rPr>
        <w:t xml:space="preserve"> </w:t>
      </w:r>
      <w:r w:rsidR="007358BE" w:rsidRPr="007358BE">
        <w:rPr>
          <w:rFonts w:ascii="Times New Roman" w:hAnsi="Times New Roman" w:cs="Times New Roman"/>
          <w:b/>
          <w:bCs/>
          <w:sz w:val="24"/>
        </w:rPr>
        <w:t>(A)</w:t>
      </w:r>
      <w:r w:rsidR="007D2BFC" w:rsidRPr="00DF62A3">
        <w:rPr>
          <w:rFonts w:ascii="Times New Roman" w:hAnsi="Times New Roman" w:cs="Times New Roman"/>
          <w:sz w:val="24"/>
        </w:rPr>
        <w:t xml:space="preserve"> Box plots showing the distribution of log₂-transformed gene expression values after quantile normalization in THP-1 monoculture and PDLSC co-culture samples, demonstrating comparable signal distributions across conditions. </w:t>
      </w:r>
      <w:r w:rsidR="007358BE" w:rsidRPr="007358BE">
        <w:rPr>
          <w:rFonts w:ascii="Times New Roman" w:hAnsi="Times New Roman" w:cs="Times New Roman"/>
          <w:b/>
          <w:bCs/>
          <w:sz w:val="24"/>
        </w:rPr>
        <w:t>(B)</w:t>
      </w:r>
      <w:r w:rsidR="007D2BFC" w:rsidRPr="00DF62A3">
        <w:rPr>
          <w:rFonts w:ascii="Times New Roman" w:hAnsi="Times New Roman" w:cs="Times New Roman"/>
          <w:sz w:val="24"/>
        </w:rPr>
        <w:t xml:space="preserve"> Histogram of expression level frequencies illustrating similar global expression profiles between THP-1 monoculture and PDLSC co-culture samples after normalization. </w:t>
      </w:r>
      <w:r w:rsidR="007358BE" w:rsidRPr="007358BE">
        <w:rPr>
          <w:rFonts w:ascii="Times New Roman" w:hAnsi="Times New Roman" w:cs="Times New Roman"/>
          <w:b/>
          <w:bCs/>
          <w:sz w:val="24"/>
        </w:rPr>
        <w:t>(C)</w:t>
      </w:r>
      <w:r w:rsidR="007D2BFC" w:rsidRPr="00DF62A3">
        <w:rPr>
          <w:rFonts w:ascii="Times New Roman" w:hAnsi="Times New Roman" w:cs="Times New Roman"/>
          <w:sz w:val="24"/>
        </w:rPr>
        <w:t xml:space="preserve"> Pairwise scatter plot and density distribution of gene expression levels between THP-1 monoculture and PDLSC co-culture samples, with Pearson’s correlation coefficient (r = 0.982) indicating high reproducibility and minimal technical variation. </w:t>
      </w:r>
      <w:r w:rsidR="007358BE" w:rsidRPr="007358BE">
        <w:rPr>
          <w:rFonts w:ascii="Times New Roman" w:hAnsi="Times New Roman" w:cs="Times New Roman"/>
          <w:b/>
          <w:bCs/>
          <w:sz w:val="24"/>
        </w:rPr>
        <w:t>(D)</w:t>
      </w:r>
      <w:r w:rsidR="007E1901">
        <w:rPr>
          <w:rFonts w:ascii="Times New Roman" w:hAnsi="Times New Roman" w:cs="Times New Roman"/>
          <w:sz w:val="24"/>
        </w:rPr>
        <w:t xml:space="preserve"> </w:t>
      </w:r>
      <w:r w:rsidR="007D2BFC" w:rsidRPr="00DF62A3">
        <w:rPr>
          <w:rFonts w:ascii="Times New Roman" w:hAnsi="Times New Roman" w:cs="Times New Roman"/>
          <w:sz w:val="24"/>
        </w:rPr>
        <w:t xml:space="preserve">Correlation matrix heatmap confirming strong overall correlation between samples, supporting the robustness of the transcriptomic dataset. </w:t>
      </w:r>
      <w:r w:rsidR="007358BE" w:rsidRPr="007358BE">
        <w:rPr>
          <w:rFonts w:ascii="Times New Roman" w:hAnsi="Times New Roman" w:cs="Times New Roman"/>
          <w:b/>
          <w:bCs/>
          <w:sz w:val="24"/>
        </w:rPr>
        <w:t>(E)</w:t>
      </w:r>
      <w:r w:rsidR="007D2BFC" w:rsidRPr="00DF62A3">
        <w:rPr>
          <w:rFonts w:ascii="Times New Roman" w:hAnsi="Times New Roman" w:cs="Times New Roman"/>
          <w:sz w:val="24"/>
        </w:rPr>
        <w:t xml:space="preserve"> Two-way hierarchical clustering heatmap of significantly regulated probes (|FC| ≥ 1.5), showing clear segregation between THP-1 monoculture and PDLSC co-culture groups. </w:t>
      </w:r>
      <w:r w:rsidR="007358BE">
        <w:rPr>
          <w:rFonts w:ascii="Times New Roman" w:hAnsi="Times New Roman" w:cs="Times New Roman" w:hint="eastAsia"/>
          <w:b/>
          <w:sz w:val="24"/>
        </w:rPr>
        <w:t>(F)</w:t>
      </w:r>
      <w:r w:rsidR="007D2BFC" w:rsidRPr="00DF62A3">
        <w:rPr>
          <w:rFonts w:ascii="Times New Roman" w:hAnsi="Times New Roman" w:cs="Times New Roman"/>
          <w:sz w:val="24"/>
        </w:rPr>
        <w:t xml:space="preserve"> Scatter plot comparing probe expression levels between THP-1 monoculture and PDLSC co-culture conditions, with significantly altered probes highlighted, indicating broad transcriptional remodeling induced by PDLSC co-culture. </w:t>
      </w:r>
      <w:r w:rsidR="007358BE">
        <w:rPr>
          <w:rFonts w:ascii="Times New Roman" w:hAnsi="Times New Roman" w:cs="Times New Roman" w:hint="eastAsia"/>
          <w:b/>
          <w:sz w:val="24"/>
        </w:rPr>
        <w:t>(G)</w:t>
      </w:r>
      <w:r w:rsidR="007D2BFC" w:rsidRPr="00DF62A3">
        <w:rPr>
          <w:rFonts w:ascii="Times New Roman" w:hAnsi="Times New Roman" w:cs="Times New Roman"/>
          <w:sz w:val="24"/>
        </w:rPr>
        <w:t xml:space="preserve"> KEGG pathway enrichment analysis of differentially expressed genes, highlighting immune- and inflammation-related pathways, including cytokine–cytokine receptor interaction, IL-17 signaling, PI3K-Akt signaling, NF-</w:t>
      </w:r>
      <w:proofErr w:type="spellStart"/>
      <w:r w:rsidR="007D2BFC" w:rsidRPr="00DF62A3">
        <w:rPr>
          <w:rFonts w:ascii="Times New Roman" w:hAnsi="Times New Roman" w:cs="Times New Roman"/>
          <w:sz w:val="24"/>
        </w:rPr>
        <w:t>κB</w:t>
      </w:r>
      <w:proofErr w:type="spellEnd"/>
      <w:r w:rsidR="007D2BFC" w:rsidRPr="00DF62A3">
        <w:rPr>
          <w:rFonts w:ascii="Times New Roman" w:hAnsi="Times New Roman" w:cs="Times New Roman"/>
          <w:sz w:val="24"/>
        </w:rPr>
        <w:t xml:space="preserve"> signaling, and JAK-STAT signaling pathways.</w:t>
      </w:r>
    </w:p>
    <w:p w14:paraId="133C32D4" w14:textId="012DA68C" w:rsidR="000834E4" w:rsidRPr="00DF62A3" w:rsidRDefault="000834E4" w:rsidP="000834E4">
      <w:pPr>
        <w:jc w:val="both"/>
        <w:rPr>
          <w:rFonts w:ascii="Times New Roman" w:hAnsi="Times New Roman" w:cs="Times New Roman"/>
          <w:sz w:val="24"/>
        </w:rPr>
      </w:pPr>
    </w:p>
    <w:p w14:paraId="568EF90C" w14:textId="77777777" w:rsidR="008F01EA" w:rsidRPr="00DF62A3" w:rsidRDefault="008F01EA" w:rsidP="000834E4">
      <w:pPr>
        <w:jc w:val="both"/>
        <w:rPr>
          <w:rFonts w:ascii="Times New Roman" w:hAnsi="Times New Roman" w:cs="Times New Roman"/>
          <w:sz w:val="24"/>
        </w:rPr>
      </w:pPr>
    </w:p>
    <w:p w14:paraId="679CDFA3" w14:textId="77777777" w:rsidR="008F01EA" w:rsidRPr="00DF62A3" w:rsidRDefault="008F01EA" w:rsidP="000834E4">
      <w:pPr>
        <w:jc w:val="both"/>
        <w:rPr>
          <w:rFonts w:ascii="Times New Roman" w:hAnsi="Times New Roman" w:cs="Times New Roman"/>
          <w:sz w:val="24"/>
        </w:rPr>
      </w:pPr>
    </w:p>
    <w:p w14:paraId="0E111452" w14:textId="77777777" w:rsidR="008F01EA" w:rsidRPr="00DF62A3" w:rsidRDefault="008F01EA" w:rsidP="000834E4">
      <w:pPr>
        <w:jc w:val="both"/>
        <w:rPr>
          <w:rFonts w:ascii="Times New Roman" w:hAnsi="Times New Roman" w:cs="Times New Roman"/>
          <w:sz w:val="24"/>
        </w:rPr>
      </w:pPr>
    </w:p>
    <w:p w14:paraId="3A16D432" w14:textId="77777777" w:rsidR="008F01EA" w:rsidRPr="00DF62A3" w:rsidRDefault="008F01EA" w:rsidP="000834E4">
      <w:pPr>
        <w:jc w:val="both"/>
        <w:rPr>
          <w:rFonts w:ascii="Times New Roman" w:hAnsi="Times New Roman" w:cs="Times New Roman"/>
          <w:sz w:val="24"/>
        </w:rPr>
      </w:pPr>
    </w:p>
    <w:p w14:paraId="1A923149" w14:textId="77777777" w:rsidR="008F01EA" w:rsidRPr="00DF62A3" w:rsidRDefault="008F01EA" w:rsidP="000834E4">
      <w:pPr>
        <w:jc w:val="both"/>
        <w:rPr>
          <w:rFonts w:ascii="Times New Roman" w:hAnsi="Times New Roman" w:cs="Times New Roman"/>
          <w:sz w:val="24"/>
        </w:rPr>
      </w:pPr>
    </w:p>
    <w:p w14:paraId="514F3D05" w14:textId="77777777" w:rsidR="008F01EA" w:rsidRPr="00DF62A3" w:rsidRDefault="008F01EA" w:rsidP="000834E4">
      <w:pPr>
        <w:jc w:val="both"/>
        <w:rPr>
          <w:rFonts w:ascii="Times New Roman" w:hAnsi="Times New Roman" w:cs="Times New Roman"/>
          <w:sz w:val="24"/>
        </w:rPr>
      </w:pPr>
    </w:p>
    <w:p w14:paraId="4FE9A33C" w14:textId="77777777" w:rsidR="008F01EA" w:rsidRPr="00DF62A3" w:rsidRDefault="008F01EA" w:rsidP="000834E4">
      <w:pPr>
        <w:jc w:val="both"/>
        <w:rPr>
          <w:rFonts w:ascii="Times New Roman" w:hAnsi="Times New Roman" w:cs="Times New Roman"/>
          <w:sz w:val="24"/>
        </w:rPr>
      </w:pPr>
    </w:p>
    <w:p w14:paraId="09AC4A8B" w14:textId="77777777" w:rsidR="008F01EA" w:rsidRPr="00DF62A3" w:rsidRDefault="008F01EA" w:rsidP="000834E4">
      <w:pPr>
        <w:jc w:val="both"/>
        <w:rPr>
          <w:rFonts w:ascii="Times New Roman" w:hAnsi="Times New Roman" w:cs="Times New Roman"/>
          <w:sz w:val="24"/>
        </w:rPr>
      </w:pPr>
    </w:p>
    <w:p w14:paraId="7396ED01" w14:textId="77777777" w:rsidR="008F01EA" w:rsidRPr="00DF62A3" w:rsidRDefault="008F01EA" w:rsidP="000834E4">
      <w:pPr>
        <w:jc w:val="both"/>
        <w:rPr>
          <w:rFonts w:ascii="Times New Roman" w:hAnsi="Times New Roman" w:cs="Times New Roman"/>
          <w:sz w:val="24"/>
        </w:rPr>
      </w:pPr>
    </w:p>
    <w:p w14:paraId="5FF01E7F" w14:textId="77777777" w:rsidR="008F01EA" w:rsidRPr="00DF62A3" w:rsidRDefault="008F01EA" w:rsidP="000834E4">
      <w:pPr>
        <w:jc w:val="both"/>
        <w:rPr>
          <w:rFonts w:ascii="Times New Roman" w:hAnsi="Times New Roman" w:cs="Times New Roman"/>
          <w:sz w:val="24"/>
        </w:rPr>
      </w:pPr>
    </w:p>
    <w:p w14:paraId="2E6A2F27" w14:textId="77777777" w:rsidR="008F01EA" w:rsidRPr="00DF62A3" w:rsidRDefault="008F01EA" w:rsidP="000834E4">
      <w:pPr>
        <w:jc w:val="both"/>
        <w:rPr>
          <w:rFonts w:ascii="Times New Roman" w:hAnsi="Times New Roman" w:cs="Times New Roman"/>
          <w:sz w:val="24"/>
        </w:rPr>
      </w:pPr>
    </w:p>
    <w:p w14:paraId="1EFF47C5" w14:textId="77777777" w:rsidR="008F01EA" w:rsidRPr="00DF62A3" w:rsidRDefault="008F01EA" w:rsidP="000834E4">
      <w:pPr>
        <w:jc w:val="both"/>
        <w:rPr>
          <w:rFonts w:ascii="Times New Roman" w:hAnsi="Times New Roman" w:cs="Times New Roman"/>
          <w:sz w:val="24"/>
        </w:rPr>
      </w:pPr>
    </w:p>
    <w:p w14:paraId="0872209B" w14:textId="77777777" w:rsidR="008F01EA" w:rsidRPr="00DF62A3" w:rsidRDefault="008F01EA" w:rsidP="000834E4">
      <w:pPr>
        <w:jc w:val="both"/>
        <w:rPr>
          <w:rFonts w:ascii="Times New Roman" w:hAnsi="Times New Roman" w:cs="Times New Roman"/>
          <w:sz w:val="24"/>
        </w:rPr>
      </w:pPr>
    </w:p>
    <w:p w14:paraId="10E03B57" w14:textId="77777777" w:rsidR="008F01EA" w:rsidRPr="00DF62A3" w:rsidRDefault="008F01EA" w:rsidP="000834E4">
      <w:pPr>
        <w:jc w:val="both"/>
        <w:rPr>
          <w:rFonts w:ascii="Times New Roman" w:hAnsi="Times New Roman" w:cs="Times New Roman"/>
          <w:sz w:val="24"/>
        </w:rPr>
      </w:pPr>
    </w:p>
    <w:p w14:paraId="1673CF09" w14:textId="6FA0E960" w:rsidR="008F01EA" w:rsidRDefault="008F01EA" w:rsidP="000834E4">
      <w:pPr>
        <w:jc w:val="both"/>
        <w:rPr>
          <w:rFonts w:ascii="Times New Roman" w:hAnsi="Times New Roman" w:cs="Times New Roman"/>
          <w:sz w:val="24"/>
        </w:rPr>
      </w:pPr>
    </w:p>
    <w:p w14:paraId="0B25F4E6" w14:textId="7EAD39F8" w:rsidR="00400488" w:rsidRDefault="00400488" w:rsidP="000834E4">
      <w:pPr>
        <w:jc w:val="both"/>
        <w:rPr>
          <w:rFonts w:ascii="Times New Roman" w:hAnsi="Times New Roman" w:cs="Times New Roman"/>
          <w:sz w:val="24"/>
        </w:rPr>
      </w:pPr>
    </w:p>
    <w:p w14:paraId="5695E4C4" w14:textId="77777777" w:rsidR="00400488" w:rsidRPr="00DF62A3" w:rsidRDefault="00400488" w:rsidP="000834E4">
      <w:pPr>
        <w:jc w:val="both"/>
        <w:rPr>
          <w:rFonts w:ascii="Times New Roman" w:hAnsi="Times New Roman" w:cs="Times New Roman"/>
          <w:sz w:val="24"/>
        </w:rPr>
      </w:pPr>
    </w:p>
    <w:p w14:paraId="1958D6B4" w14:textId="77777777" w:rsidR="008F01EA" w:rsidRPr="00DF62A3" w:rsidRDefault="008F01EA" w:rsidP="000834E4">
      <w:pPr>
        <w:jc w:val="both"/>
        <w:rPr>
          <w:rFonts w:ascii="Times New Roman" w:hAnsi="Times New Roman" w:cs="Times New Roman"/>
          <w:sz w:val="24"/>
        </w:rPr>
      </w:pPr>
    </w:p>
    <w:p w14:paraId="0658B03C" w14:textId="7765422B" w:rsidR="008F01EA" w:rsidRPr="00DF62A3" w:rsidRDefault="00AE62E0" w:rsidP="000834E4">
      <w:pPr>
        <w:jc w:val="both"/>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673600" behindDoc="0" locked="0" layoutInCell="1" allowOverlap="1" wp14:anchorId="457D4929" wp14:editId="5AC2708D">
            <wp:simplePos x="0" y="0"/>
            <wp:positionH relativeFrom="margin">
              <wp:align>left</wp:align>
            </wp:positionH>
            <wp:positionV relativeFrom="paragraph">
              <wp:posOffset>635</wp:posOffset>
            </wp:positionV>
            <wp:extent cx="5553710" cy="5112385"/>
            <wp:effectExtent l="0" t="0" r="8890" b="0"/>
            <wp:wrapSquare wrapText="bothSides"/>
            <wp:docPr id="381582348"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3710" cy="5112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1F25FA" w14:textId="54CD8C58" w:rsidR="00DA112B" w:rsidRPr="00DF62A3" w:rsidRDefault="00E359C5" w:rsidP="00C64CAF">
      <w:pPr>
        <w:jc w:val="both"/>
        <w:rPr>
          <w:rFonts w:ascii="Times New Roman" w:hAnsi="Times New Roman" w:cs="Times New Roman"/>
          <w:sz w:val="24"/>
        </w:rPr>
      </w:pPr>
      <w:r>
        <w:rPr>
          <w:rFonts w:ascii="Times New Roman" w:hAnsi="Times New Roman" w:cs="Times New Roman"/>
          <w:b/>
          <w:bCs/>
          <w:sz w:val="24"/>
        </w:rPr>
        <w:t>FIGURE S</w:t>
      </w:r>
      <w:r w:rsidR="005016FA" w:rsidRPr="00DF62A3">
        <w:rPr>
          <w:rFonts w:ascii="Times New Roman" w:hAnsi="Times New Roman" w:cs="Times New Roman"/>
          <w:b/>
          <w:bCs/>
          <w:sz w:val="24"/>
        </w:rPr>
        <w:t>4</w:t>
      </w:r>
      <w:r w:rsidR="004E2F6D" w:rsidRPr="00DF62A3">
        <w:rPr>
          <w:rFonts w:ascii="Times New Roman" w:hAnsi="Times New Roman" w:cs="Times New Roman"/>
          <w:b/>
          <w:bCs/>
          <w:sz w:val="24"/>
        </w:rPr>
        <w:t xml:space="preserve"> </w:t>
      </w:r>
      <w:r w:rsidR="00C64CAF" w:rsidRPr="007E1901">
        <w:rPr>
          <w:rFonts w:ascii="Times New Roman" w:hAnsi="Times New Roman" w:cs="Times New Roman"/>
          <w:bCs/>
          <w:sz w:val="24"/>
        </w:rPr>
        <w:t xml:space="preserve">Functional enrichment analysis reveals </w:t>
      </w:r>
      <w:r w:rsidR="00AE5F37" w:rsidRPr="007E1901">
        <w:rPr>
          <w:rFonts w:ascii="Times New Roman" w:hAnsi="Times New Roman" w:cs="Times New Roman"/>
          <w:bCs/>
          <w:sz w:val="24"/>
        </w:rPr>
        <w:t xml:space="preserve">modulation </w:t>
      </w:r>
      <w:r w:rsidR="00C64CAF" w:rsidRPr="007E1901">
        <w:rPr>
          <w:rFonts w:ascii="Times New Roman" w:hAnsi="Times New Roman" w:cs="Times New Roman"/>
          <w:bCs/>
          <w:sz w:val="24"/>
        </w:rPr>
        <w:t>of innate immune and interferon-related pathways in PDLSC co-cultured THP-1 macrophages</w:t>
      </w:r>
      <w:r w:rsidR="00C64CAF" w:rsidRPr="00DF62A3">
        <w:rPr>
          <w:rFonts w:ascii="Times New Roman" w:hAnsi="Times New Roman" w:cs="Times New Roman"/>
          <w:b/>
          <w:bCs/>
          <w:sz w:val="24"/>
        </w:rPr>
        <w:t xml:space="preserve"> </w:t>
      </w:r>
      <w:r w:rsidR="007358BE" w:rsidRPr="007358BE">
        <w:rPr>
          <w:rFonts w:ascii="Times New Roman" w:hAnsi="Times New Roman" w:cs="Times New Roman"/>
          <w:b/>
          <w:bCs/>
          <w:sz w:val="24"/>
        </w:rPr>
        <w:t>(A)</w:t>
      </w:r>
      <w:r w:rsidR="00C64CAF" w:rsidRPr="00DF62A3">
        <w:rPr>
          <w:rFonts w:ascii="Times New Roman" w:hAnsi="Times New Roman" w:cs="Times New Roman"/>
          <w:sz w:val="24"/>
        </w:rPr>
        <w:t xml:space="preserve"> Gene Ontology (GO) Biological Process enrichment analysis of differentially expressed genes between THP-1 monoculture and PDLSC co-culture conditions. Significantly enriched terms are predominantly associated with antiviral defense, innate immune responses, and regulation of viral processes, including defense response to virus, response to virus, innate immune response, and interleukin-27–mediated signaling.</w:t>
      </w:r>
      <w:r w:rsidR="007E1901">
        <w:rPr>
          <w:rFonts w:ascii="Times New Roman" w:hAnsi="Times New Roman" w:cs="Times New Roman"/>
          <w:sz w:val="24"/>
        </w:rPr>
        <w:t xml:space="preserve"> </w:t>
      </w:r>
      <w:r w:rsidR="007358BE" w:rsidRPr="007358BE">
        <w:rPr>
          <w:rFonts w:ascii="Times New Roman" w:hAnsi="Times New Roman" w:cs="Times New Roman"/>
          <w:b/>
          <w:bCs/>
          <w:sz w:val="24"/>
        </w:rPr>
        <w:t>(B)</w:t>
      </w:r>
      <w:r w:rsidR="00C64CAF" w:rsidRPr="00DF62A3">
        <w:rPr>
          <w:rFonts w:ascii="Times New Roman" w:hAnsi="Times New Roman" w:cs="Times New Roman"/>
          <w:sz w:val="24"/>
        </w:rPr>
        <w:t xml:space="preserve"> </w:t>
      </w:r>
      <w:proofErr w:type="spellStart"/>
      <w:r w:rsidR="00C64CAF" w:rsidRPr="00DF62A3">
        <w:rPr>
          <w:rFonts w:ascii="Times New Roman" w:hAnsi="Times New Roman" w:cs="Times New Roman"/>
          <w:sz w:val="24"/>
        </w:rPr>
        <w:t>Reactome</w:t>
      </w:r>
      <w:proofErr w:type="spellEnd"/>
      <w:r w:rsidR="00C64CAF" w:rsidRPr="00DF62A3">
        <w:rPr>
          <w:rFonts w:ascii="Times New Roman" w:hAnsi="Times New Roman" w:cs="Times New Roman"/>
          <w:sz w:val="24"/>
        </w:rPr>
        <w:t xml:space="preserve"> pathway enrichment analysis highlighting immune-related signaling pathways affected by PDLSC co-culture. Enriched pathways include interferon alpha/beta signaling, interferon signaling, cytokine signaling in the immune system, innate immune system, neutrophil degranulation, and antiviral mechanisms mediated by interferon-stimulated genes (ISGs). </w:t>
      </w:r>
    </w:p>
    <w:p w14:paraId="0B73B95E" w14:textId="77777777" w:rsidR="007D2BFC" w:rsidRPr="00DF62A3" w:rsidRDefault="007D2BFC" w:rsidP="000834E4">
      <w:pPr>
        <w:jc w:val="both"/>
        <w:rPr>
          <w:rFonts w:ascii="Times New Roman" w:hAnsi="Times New Roman" w:cs="Times New Roman"/>
          <w:sz w:val="24"/>
        </w:rPr>
      </w:pPr>
    </w:p>
    <w:p w14:paraId="2271FABA" w14:textId="77777777" w:rsidR="008F01EA" w:rsidRDefault="008F01EA" w:rsidP="000834E4">
      <w:pPr>
        <w:jc w:val="both"/>
        <w:rPr>
          <w:rFonts w:ascii="Times New Roman" w:hAnsi="Times New Roman" w:cs="Times New Roman"/>
          <w:sz w:val="24"/>
        </w:rPr>
      </w:pPr>
    </w:p>
    <w:p w14:paraId="601A80F5" w14:textId="77777777" w:rsidR="00AE62E0" w:rsidRDefault="00AE62E0" w:rsidP="000834E4">
      <w:pPr>
        <w:jc w:val="both"/>
        <w:rPr>
          <w:rFonts w:ascii="Times New Roman" w:hAnsi="Times New Roman" w:cs="Times New Roman"/>
          <w:sz w:val="24"/>
        </w:rPr>
      </w:pPr>
    </w:p>
    <w:p w14:paraId="60D6925C" w14:textId="77777777" w:rsidR="00AE62E0" w:rsidRPr="00DF62A3" w:rsidRDefault="00AE62E0" w:rsidP="000834E4">
      <w:pPr>
        <w:jc w:val="both"/>
        <w:rPr>
          <w:rFonts w:ascii="Times New Roman" w:hAnsi="Times New Roman" w:cs="Times New Roman"/>
          <w:sz w:val="24"/>
        </w:rPr>
      </w:pPr>
    </w:p>
    <w:p w14:paraId="521B6B34" w14:textId="7E34AD52" w:rsidR="00DA112B" w:rsidRPr="00DF62A3" w:rsidRDefault="00AE62E0" w:rsidP="000834E4">
      <w:pPr>
        <w:jc w:val="both"/>
        <w:rPr>
          <w:rFonts w:ascii="Times New Roman" w:hAnsi="Times New Roman" w:cs="Times New Roman"/>
          <w:b/>
          <w:bCs/>
          <w:sz w:val="24"/>
        </w:rPr>
      </w:pPr>
      <w:r>
        <w:rPr>
          <w:rFonts w:ascii="Times New Roman" w:hAnsi="Times New Roman" w:cs="Times New Roman"/>
          <w:b/>
          <w:bCs/>
          <w:noProof/>
          <w:sz w:val="24"/>
        </w:rPr>
        <w:lastRenderedPageBreak/>
        <w:drawing>
          <wp:anchor distT="0" distB="0" distL="114300" distR="114300" simplePos="0" relativeHeight="251674624" behindDoc="0" locked="0" layoutInCell="1" allowOverlap="1" wp14:anchorId="610D2F79" wp14:editId="159F3E7F">
            <wp:simplePos x="0" y="0"/>
            <wp:positionH relativeFrom="margin">
              <wp:align>left</wp:align>
            </wp:positionH>
            <wp:positionV relativeFrom="paragraph">
              <wp:posOffset>635</wp:posOffset>
            </wp:positionV>
            <wp:extent cx="5698490" cy="2671445"/>
            <wp:effectExtent l="0" t="0" r="0" b="0"/>
            <wp:wrapSquare wrapText="bothSides"/>
            <wp:docPr id="739221580"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8490" cy="2671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F0474B" w14:textId="19883574" w:rsidR="00DA112B" w:rsidRPr="00DF62A3" w:rsidRDefault="00E359C5" w:rsidP="000834E4">
      <w:pPr>
        <w:jc w:val="both"/>
        <w:rPr>
          <w:rFonts w:ascii="Times New Roman" w:hAnsi="Times New Roman" w:cs="Times New Roman"/>
          <w:sz w:val="24"/>
        </w:rPr>
      </w:pPr>
      <w:r>
        <w:rPr>
          <w:rFonts w:ascii="Times New Roman" w:hAnsi="Times New Roman" w:cs="Times New Roman"/>
          <w:b/>
          <w:bCs/>
          <w:sz w:val="24"/>
        </w:rPr>
        <w:t>FIGURE S</w:t>
      </w:r>
      <w:r w:rsidR="00DA112B" w:rsidRPr="00DF62A3">
        <w:rPr>
          <w:rFonts w:ascii="Times New Roman" w:hAnsi="Times New Roman" w:cs="Times New Roman"/>
          <w:b/>
          <w:bCs/>
          <w:sz w:val="24"/>
        </w:rPr>
        <w:t xml:space="preserve">5 </w:t>
      </w:r>
      <w:r w:rsidR="00DA112B" w:rsidRPr="007E1901">
        <w:rPr>
          <w:rFonts w:ascii="Times New Roman" w:hAnsi="Times New Roman" w:cs="Times New Roman"/>
          <w:bCs/>
          <w:sz w:val="24"/>
        </w:rPr>
        <w:t>Metabolomic profiling reveals distinct metabolic reprogramming induced by PDLSC co-culture</w:t>
      </w:r>
      <w:r w:rsidR="00DA112B" w:rsidRPr="00DF62A3">
        <w:rPr>
          <w:rFonts w:ascii="Times New Roman" w:hAnsi="Times New Roman" w:cs="Times New Roman"/>
          <w:b/>
          <w:bCs/>
          <w:sz w:val="24"/>
        </w:rPr>
        <w:t xml:space="preserve"> </w:t>
      </w:r>
      <w:r w:rsidR="007358BE" w:rsidRPr="007358BE">
        <w:rPr>
          <w:rFonts w:ascii="Times New Roman" w:hAnsi="Times New Roman" w:cs="Times New Roman"/>
          <w:b/>
          <w:bCs/>
          <w:sz w:val="24"/>
        </w:rPr>
        <w:t>(A)</w:t>
      </w:r>
      <w:r w:rsidR="00DA112B" w:rsidRPr="00DF62A3">
        <w:rPr>
          <w:rFonts w:ascii="Times New Roman" w:hAnsi="Times New Roman" w:cs="Times New Roman"/>
          <w:sz w:val="24"/>
        </w:rPr>
        <w:t xml:space="preserve"> Manhattan plot showing differential metabolite features between THP-1 monoculture and PDLSC co-culture. Red and blue dots indicate significantly altered metabolites (p &lt; 0.05) above the threshold line, with distinct clusters corresponding to reduced or elevated abundance. </w:t>
      </w:r>
      <w:r w:rsidR="007358BE" w:rsidRPr="007358BE">
        <w:rPr>
          <w:rFonts w:ascii="Times New Roman" w:hAnsi="Times New Roman" w:cs="Times New Roman"/>
          <w:b/>
          <w:bCs/>
          <w:sz w:val="24"/>
        </w:rPr>
        <w:t>(B)</w:t>
      </w:r>
      <w:r w:rsidR="00DA112B" w:rsidRPr="00DF62A3">
        <w:rPr>
          <w:rFonts w:ascii="Times New Roman" w:hAnsi="Times New Roman" w:cs="Times New Roman"/>
          <w:sz w:val="24"/>
        </w:rPr>
        <w:t xml:space="preserve"> Hierarchical clustering heatmap of significantly regulated metabolites showing clear separation between THP-1 monoculture and PDLSC co-culture, highlighting distinct metabolic signatures.</w:t>
      </w:r>
    </w:p>
    <w:p w14:paraId="0C4C8963" w14:textId="77777777" w:rsidR="00DA112B" w:rsidRPr="00DF62A3" w:rsidRDefault="00DA112B" w:rsidP="000834E4">
      <w:pPr>
        <w:jc w:val="both"/>
        <w:rPr>
          <w:rFonts w:ascii="Times New Roman" w:hAnsi="Times New Roman" w:cs="Times New Roman"/>
          <w:sz w:val="24"/>
        </w:rPr>
      </w:pPr>
    </w:p>
    <w:p w14:paraId="6D269A66" w14:textId="77777777" w:rsidR="00DA112B" w:rsidRPr="00DF62A3" w:rsidRDefault="00DA112B" w:rsidP="000834E4">
      <w:pPr>
        <w:jc w:val="both"/>
        <w:rPr>
          <w:rFonts w:ascii="Times New Roman" w:hAnsi="Times New Roman" w:cs="Times New Roman"/>
          <w:sz w:val="24"/>
        </w:rPr>
      </w:pPr>
    </w:p>
    <w:p w14:paraId="3D208829" w14:textId="77777777" w:rsidR="00DA112B" w:rsidRPr="00DF62A3" w:rsidRDefault="00DA112B" w:rsidP="000834E4">
      <w:pPr>
        <w:jc w:val="both"/>
        <w:rPr>
          <w:rFonts w:ascii="Times New Roman" w:hAnsi="Times New Roman" w:cs="Times New Roman"/>
          <w:sz w:val="24"/>
        </w:rPr>
      </w:pPr>
    </w:p>
    <w:p w14:paraId="3B716618" w14:textId="77777777" w:rsidR="00DA112B" w:rsidRPr="00DF62A3" w:rsidRDefault="00DA112B" w:rsidP="000834E4">
      <w:pPr>
        <w:jc w:val="both"/>
        <w:rPr>
          <w:rFonts w:ascii="Times New Roman" w:hAnsi="Times New Roman" w:cs="Times New Roman"/>
          <w:sz w:val="24"/>
        </w:rPr>
      </w:pPr>
    </w:p>
    <w:p w14:paraId="5D92D450" w14:textId="77777777" w:rsidR="00DA112B" w:rsidRPr="00DF62A3" w:rsidRDefault="00DA112B" w:rsidP="000834E4">
      <w:pPr>
        <w:jc w:val="both"/>
        <w:rPr>
          <w:rFonts w:ascii="Times New Roman" w:hAnsi="Times New Roman" w:cs="Times New Roman"/>
          <w:sz w:val="24"/>
        </w:rPr>
      </w:pPr>
    </w:p>
    <w:p w14:paraId="5481F850" w14:textId="77777777" w:rsidR="008F01EA" w:rsidRPr="00DF62A3" w:rsidRDefault="008F01EA" w:rsidP="000834E4">
      <w:pPr>
        <w:jc w:val="both"/>
        <w:rPr>
          <w:rFonts w:ascii="Times New Roman" w:hAnsi="Times New Roman" w:cs="Times New Roman"/>
          <w:sz w:val="24"/>
        </w:rPr>
      </w:pPr>
    </w:p>
    <w:p w14:paraId="7C5020BB" w14:textId="77777777" w:rsidR="008F01EA" w:rsidRPr="00DF62A3" w:rsidRDefault="008F01EA" w:rsidP="000834E4">
      <w:pPr>
        <w:jc w:val="both"/>
        <w:rPr>
          <w:rFonts w:ascii="Times New Roman" w:hAnsi="Times New Roman" w:cs="Times New Roman"/>
          <w:sz w:val="24"/>
        </w:rPr>
      </w:pPr>
    </w:p>
    <w:p w14:paraId="2ECBA80D" w14:textId="77777777" w:rsidR="008F01EA" w:rsidRPr="00DF62A3" w:rsidRDefault="008F01EA" w:rsidP="000834E4">
      <w:pPr>
        <w:jc w:val="both"/>
        <w:rPr>
          <w:rFonts w:ascii="Times New Roman" w:hAnsi="Times New Roman" w:cs="Times New Roman"/>
          <w:sz w:val="24"/>
        </w:rPr>
      </w:pPr>
    </w:p>
    <w:p w14:paraId="11C514FB" w14:textId="77777777" w:rsidR="008F01EA" w:rsidRPr="00DF62A3" w:rsidRDefault="008F01EA" w:rsidP="000834E4">
      <w:pPr>
        <w:jc w:val="both"/>
        <w:rPr>
          <w:rFonts w:ascii="Times New Roman" w:hAnsi="Times New Roman" w:cs="Times New Roman"/>
          <w:sz w:val="24"/>
        </w:rPr>
      </w:pPr>
    </w:p>
    <w:p w14:paraId="547D412D" w14:textId="77777777" w:rsidR="008F01EA" w:rsidRPr="00DF62A3" w:rsidRDefault="008F01EA" w:rsidP="000834E4">
      <w:pPr>
        <w:jc w:val="both"/>
        <w:rPr>
          <w:rFonts w:ascii="Times New Roman" w:hAnsi="Times New Roman" w:cs="Times New Roman"/>
          <w:sz w:val="24"/>
        </w:rPr>
      </w:pPr>
    </w:p>
    <w:p w14:paraId="2A984745" w14:textId="77777777" w:rsidR="008F01EA" w:rsidRPr="00DF62A3" w:rsidRDefault="008F01EA" w:rsidP="000834E4">
      <w:pPr>
        <w:jc w:val="both"/>
        <w:rPr>
          <w:rFonts w:ascii="Times New Roman" w:hAnsi="Times New Roman" w:cs="Times New Roman"/>
          <w:sz w:val="24"/>
        </w:rPr>
      </w:pPr>
    </w:p>
    <w:p w14:paraId="3AE7A2C1" w14:textId="7F653B95" w:rsidR="008F01EA" w:rsidRDefault="008F01EA" w:rsidP="000834E4">
      <w:pPr>
        <w:jc w:val="both"/>
        <w:rPr>
          <w:rFonts w:ascii="Times New Roman" w:hAnsi="Times New Roman" w:cs="Times New Roman"/>
          <w:sz w:val="24"/>
        </w:rPr>
      </w:pPr>
    </w:p>
    <w:p w14:paraId="69ABBADD" w14:textId="27E5498B" w:rsidR="00400488" w:rsidRDefault="00400488" w:rsidP="000834E4">
      <w:pPr>
        <w:jc w:val="both"/>
        <w:rPr>
          <w:rFonts w:ascii="Times New Roman" w:hAnsi="Times New Roman" w:cs="Times New Roman"/>
          <w:sz w:val="24"/>
        </w:rPr>
      </w:pPr>
    </w:p>
    <w:p w14:paraId="224330F1" w14:textId="77777777" w:rsidR="00400488" w:rsidRPr="00DF62A3" w:rsidRDefault="00400488" w:rsidP="000834E4">
      <w:pPr>
        <w:jc w:val="both"/>
        <w:rPr>
          <w:rFonts w:ascii="Times New Roman" w:hAnsi="Times New Roman" w:cs="Times New Roman"/>
          <w:sz w:val="24"/>
        </w:rPr>
      </w:pPr>
    </w:p>
    <w:p w14:paraId="4E02BA94" w14:textId="77777777" w:rsidR="008F01EA" w:rsidRPr="00DF62A3" w:rsidRDefault="008F01EA" w:rsidP="000834E4">
      <w:pPr>
        <w:jc w:val="both"/>
        <w:rPr>
          <w:rFonts w:ascii="Times New Roman" w:hAnsi="Times New Roman" w:cs="Times New Roman"/>
          <w:sz w:val="24"/>
        </w:rPr>
      </w:pPr>
    </w:p>
    <w:p w14:paraId="33C7FC32" w14:textId="514A40AB" w:rsidR="008F01EA" w:rsidRPr="00DF62A3" w:rsidRDefault="008F01EA" w:rsidP="000834E4">
      <w:pPr>
        <w:jc w:val="both"/>
        <w:rPr>
          <w:rFonts w:ascii="Times New Roman" w:hAnsi="Times New Roman" w:cs="Times New Roman"/>
          <w:sz w:val="24"/>
        </w:rPr>
      </w:pPr>
    </w:p>
    <w:p w14:paraId="168E2C14" w14:textId="0ABA6B7E" w:rsidR="000834E4" w:rsidRPr="00DF62A3" w:rsidRDefault="00AE62E0" w:rsidP="000834E4">
      <w:pPr>
        <w:jc w:val="both"/>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675648" behindDoc="0" locked="0" layoutInCell="1" allowOverlap="1" wp14:anchorId="5CE3E830" wp14:editId="6BCC5A82">
            <wp:simplePos x="0" y="0"/>
            <wp:positionH relativeFrom="margin">
              <wp:posOffset>-635</wp:posOffset>
            </wp:positionH>
            <wp:positionV relativeFrom="paragraph">
              <wp:posOffset>0</wp:posOffset>
            </wp:positionV>
            <wp:extent cx="6156325" cy="8873490"/>
            <wp:effectExtent l="0" t="0" r="0" b="3810"/>
            <wp:wrapSquare wrapText="bothSides"/>
            <wp:docPr id="1752199525"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6325" cy="88734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095953" w14:textId="2C9854C2" w:rsidR="000834E4" w:rsidRPr="00DF62A3" w:rsidRDefault="00AE62E0" w:rsidP="000834E4">
      <w:pPr>
        <w:jc w:val="both"/>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676672" behindDoc="0" locked="0" layoutInCell="1" allowOverlap="1" wp14:anchorId="1C49FAD0" wp14:editId="2AE9CB84">
            <wp:simplePos x="0" y="0"/>
            <wp:positionH relativeFrom="margin">
              <wp:posOffset>-635</wp:posOffset>
            </wp:positionH>
            <wp:positionV relativeFrom="paragraph">
              <wp:posOffset>635</wp:posOffset>
            </wp:positionV>
            <wp:extent cx="6193155" cy="7783830"/>
            <wp:effectExtent l="0" t="0" r="0" b="7620"/>
            <wp:wrapSquare wrapText="bothSides"/>
            <wp:docPr id="1568124174"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3155" cy="7783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B5B61" w14:textId="2DABA743" w:rsidR="0020531C" w:rsidRPr="00DF62A3" w:rsidRDefault="0020531C" w:rsidP="000834E4">
      <w:pPr>
        <w:jc w:val="both"/>
        <w:rPr>
          <w:rFonts w:ascii="Times New Roman" w:hAnsi="Times New Roman" w:cs="Times New Roman"/>
          <w:b/>
          <w:bCs/>
          <w:sz w:val="24"/>
        </w:rPr>
      </w:pPr>
    </w:p>
    <w:p w14:paraId="48F07D52" w14:textId="6D279C84" w:rsidR="0020531C" w:rsidRPr="00DF62A3" w:rsidRDefault="0020531C" w:rsidP="000834E4">
      <w:pPr>
        <w:jc w:val="both"/>
        <w:rPr>
          <w:rFonts w:ascii="Times New Roman" w:hAnsi="Times New Roman" w:cs="Times New Roman"/>
          <w:b/>
          <w:bCs/>
          <w:sz w:val="24"/>
        </w:rPr>
      </w:pPr>
    </w:p>
    <w:p w14:paraId="44CFD46D" w14:textId="0ADE82F9" w:rsidR="0020531C" w:rsidRPr="00DF62A3" w:rsidRDefault="00AE62E0" w:rsidP="000834E4">
      <w:pPr>
        <w:jc w:val="both"/>
        <w:rPr>
          <w:rFonts w:ascii="Times New Roman" w:hAnsi="Times New Roman" w:cs="Times New Roman"/>
          <w:b/>
          <w:bCs/>
          <w:sz w:val="24"/>
        </w:rPr>
      </w:pPr>
      <w:r>
        <w:rPr>
          <w:rFonts w:ascii="Times New Roman" w:hAnsi="Times New Roman" w:cs="Times New Roman"/>
          <w:b/>
          <w:bCs/>
          <w:noProof/>
          <w:sz w:val="24"/>
        </w:rPr>
        <w:lastRenderedPageBreak/>
        <w:drawing>
          <wp:anchor distT="0" distB="0" distL="114300" distR="114300" simplePos="0" relativeHeight="251677696" behindDoc="0" locked="0" layoutInCell="1" allowOverlap="1" wp14:anchorId="005EB16A" wp14:editId="0D69C9D9">
            <wp:simplePos x="0" y="0"/>
            <wp:positionH relativeFrom="margin">
              <wp:align>left</wp:align>
            </wp:positionH>
            <wp:positionV relativeFrom="paragraph">
              <wp:posOffset>635</wp:posOffset>
            </wp:positionV>
            <wp:extent cx="5966460" cy="6638925"/>
            <wp:effectExtent l="0" t="0" r="0" b="9525"/>
            <wp:wrapSquare wrapText="bothSides"/>
            <wp:docPr id="381643303"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9388" cy="66423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C38196" w14:textId="747DE619" w:rsidR="007561A9" w:rsidRPr="00DF62A3" w:rsidRDefault="007561A9" w:rsidP="00D559EB">
      <w:pPr>
        <w:jc w:val="both"/>
        <w:rPr>
          <w:rFonts w:ascii="Times New Roman" w:hAnsi="Times New Roman" w:cs="Times New Roman"/>
          <w:b/>
          <w:bCs/>
          <w:sz w:val="24"/>
        </w:rPr>
      </w:pPr>
    </w:p>
    <w:p w14:paraId="6D8A2798" w14:textId="2528EC5A" w:rsidR="007561A9" w:rsidRDefault="007561A9" w:rsidP="00D559EB">
      <w:pPr>
        <w:jc w:val="both"/>
        <w:rPr>
          <w:rFonts w:ascii="Times New Roman" w:hAnsi="Times New Roman" w:cs="Times New Roman"/>
          <w:b/>
          <w:bCs/>
          <w:sz w:val="24"/>
        </w:rPr>
      </w:pPr>
    </w:p>
    <w:p w14:paraId="5982E6B7" w14:textId="0DD9E1BC" w:rsidR="00980E4A" w:rsidRDefault="00980E4A" w:rsidP="00D559EB">
      <w:pPr>
        <w:jc w:val="both"/>
        <w:rPr>
          <w:rFonts w:ascii="Times New Roman" w:hAnsi="Times New Roman" w:cs="Times New Roman"/>
          <w:b/>
          <w:bCs/>
          <w:sz w:val="24"/>
        </w:rPr>
      </w:pPr>
    </w:p>
    <w:p w14:paraId="7AB5A84F" w14:textId="2606D5B0" w:rsidR="00980E4A" w:rsidRDefault="00980E4A" w:rsidP="00D559EB">
      <w:pPr>
        <w:jc w:val="both"/>
        <w:rPr>
          <w:rFonts w:ascii="Times New Roman" w:hAnsi="Times New Roman" w:cs="Times New Roman"/>
          <w:b/>
          <w:bCs/>
          <w:sz w:val="24"/>
        </w:rPr>
      </w:pPr>
    </w:p>
    <w:p w14:paraId="4794E507" w14:textId="77777777" w:rsidR="00AE62E0" w:rsidRDefault="00AE62E0" w:rsidP="00D559EB">
      <w:pPr>
        <w:jc w:val="both"/>
        <w:rPr>
          <w:rFonts w:ascii="Times New Roman" w:hAnsi="Times New Roman" w:cs="Times New Roman"/>
          <w:b/>
          <w:bCs/>
          <w:sz w:val="24"/>
        </w:rPr>
      </w:pPr>
    </w:p>
    <w:p w14:paraId="7D168752" w14:textId="77777777" w:rsidR="00AE62E0" w:rsidRDefault="00AE62E0" w:rsidP="00D559EB">
      <w:pPr>
        <w:jc w:val="both"/>
        <w:rPr>
          <w:rFonts w:ascii="Times New Roman" w:hAnsi="Times New Roman" w:cs="Times New Roman"/>
          <w:b/>
          <w:bCs/>
          <w:sz w:val="24"/>
        </w:rPr>
      </w:pPr>
    </w:p>
    <w:p w14:paraId="43320170" w14:textId="1030BF0B" w:rsidR="00AE62E0" w:rsidRDefault="00AE62E0" w:rsidP="00D559EB">
      <w:pPr>
        <w:jc w:val="both"/>
        <w:rPr>
          <w:rFonts w:ascii="Times New Roman" w:hAnsi="Times New Roman" w:cs="Times New Roman"/>
          <w:b/>
          <w:bCs/>
          <w:sz w:val="24"/>
        </w:rPr>
      </w:pPr>
      <w:r>
        <w:rPr>
          <w:rFonts w:ascii="Times New Roman" w:hAnsi="Times New Roman" w:cs="Times New Roman"/>
          <w:b/>
          <w:bCs/>
          <w:noProof/>
          <w:sz w:val="24"/>
        </w:rPr>
        <w:lastRenderedPageBreak/>
        <w:drawing>
          <wp:anchor distT="0" distB="0" distL="114300" distR="114300" simplePos="0" relativeHeight="251678720" behindDoc="0" locked="0" layoutInCell="1" allowOverlap="1" wp14:anchorId="43A90ED4" wp14:editId="391DCBC2">
            <wp:simplePos x="0" y="0"/>
            <wp:positionH relativeFrom="margin">
              <wp:align>left</wp:align>
            </wp:positionH>
            <wp:positionV relativeFrom="paragraph">
              <wp:posOffset>635</wp:posOffset>
            </wp:positionV>
            <wp:extent cx="5651500" cy="5883910"/>
            <wp:effectExtent l="0" t="0" r="6350" b="2540"/>
            <wp:wrapSquare wrapText="bothSides"/>
            <wp:docPr id="1161845356"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1500" cy="5883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4AB2FC" w14:textId="13CF6B3A" w:rsidR="00C153AB" w:rsidRPr="00DF62A3" w:rsidRDefault="00E359C5" w:rsidP="00D559EB">
      <w:pPr>
        <w:jc w:val="both"/>
        <w:rPr>
          <w:rFonts w:ascii="Times New Roman" w:hAnsi="Times New Roman" w:cs="Times New Roman"/>
          <w:sz w:val="24"/>
        </w:rPr>
      </w:pPr>
      <w:r>
        <w:rPr>
          <w:rFonts w:ascii="Times New Roman" w:hAnsi="Times New Roman" w:cs="Times New Roman"/>
          <w:b/>
          <w:bCs/>
          <w:sz w:val="24"/>
        </w:rPr>
        <w:t>FIGURE S</w:t>
      </w:r>
      <w:r w:rsidR="00DA112B" w:rsidRPr="00DF62A3">
        <w:rPr>
          <w:rFonts w:ascii="Times New Roman" w:hAnsi="Times New Roman" w:cs="Times New Roman"/>
          <w:b/>
          <w:bCs/>
          <w:sz w:val="24"/>
        </w:rPr>
        <w:t>6</w:t>
      </w:r>
      <w:r w:rsidR="00D559EB" w:rsidRPr="00DF62A3">
        <w:rPr>
          <w:rFonts w:ascii="Times New Roman" w:hAnsi="Times New Roman" w:cs="Times New Roman"/>
          <w:b/>
          <w:bCs/>
          <w:sz w:val="24"/>
        </w:rPr>
        <w:t xml:space="preserve"> </w:t>
      </w:r>
      <w:r w:rsidR="00D559EB" w:rsidRPr="007E1901">
        <w:rPr>
          <w:rFonts w:ascii="Times New Roman" w:hAnsi="Times New Roman" w:cs="Times New Roman"/>
          <w:bCs/>
          <w:sz w:val="24"/>
        </w:rPr>
        <w:t>Pathway-specific metabolomic alterations between THP-1 macrophages and PDLSC co-culture system.</w:t>
      </w:r>
      <w:r w:rsidR="008D2CD7" w:rsidRPr="00DF62A3">
        <w:rPr>
          <w:rFonts w:ascii="Times New Roman" w:hAnsi="Times New Roman" w:cs="Times New Roman"/>
          <w:b/>
          <w:bCs/>
          <w:sz w:val="24"/>
        </w:rPr>
        <w:t xml:space="preserve"> </w:t>
      </w:r>
      <w:r w:rsidR="007358BE" w:rsidRPr="007358BE">
        <w:rPr>
          <w:rFonts w:ascii="Times New Roman" w:hAnsi="Times New Roman" w:cs="Times New Roman"/>
          <w:b/>
          <w:bCs/>
          <w:sz w:val="24"/>
        </w:rPr>
        <w:t>(A</w:t>
      </w:r>
      <w:r w:rsidR="005908BF">
        <w:rPr>
          <w:rFonts w:ascii="Times New Roman" w:hAnsi="Times New Roman" w:cs="Times New Roman" w:hint="eastAsia"/>
          <w:b/>
          <w:bCs/>
          <w:sz w:val="24"/>
        </w:rPr>
        <w:t>-</w:t>
      </w:r>
      <w:r w:rsidR="007358BE">
        <w:rPr>
          <w:rFonts w:ascii="Times New Roman" w:hAnsi="Times New Roman" w:cs="Times New Roman" w:hint="eastAsia"/>
          <w:b/>
          <w:bCs/>
          <w:sz w:val="24"/>
        </w:rPr>
        <w:t>P)</w:t>
      </w:r>
      <w:r w:rsidR="00AE5F37" w:rsidRPr="00DF62A3">
        <w:rPr>
          <w:rFonts w:ascii="Times New Roman" w:hAnsi="Times New Roman" w:cs="Times New Roman"/>
          <w:sz w:val="24"/>
        </w:rPr>
        <w:t xml:space="preserve"> Representative pathway maps illustrating metabolite-level alterations across multiple metabolic pathways in THP-1 macrophages under monoculture and PDLSC co-culture conditions. Each panel depicts pathway-specific changes in metabolite abundance identified by LC–MS-based metabolomic profiling. Differentially regulated metabolites were determined based on variable importance in projection (VIP) scores &gt; 1 from OPLS-DA and statistical significance (p &lt; 0.05) from univariate analysis. Metabolites showing significant differences between groups are highlighted within each pathway, reflecting coordinated alterations in nucleotide, amino acid, carbohydrate, lipid, and energy-related metabolic processes associated with PDLSC co-culture.</w:t>
      </w:r>
    </w:p>
    <w:p w14:paraId="5B952593" w14:textId="5B4598AA" w:rsidR="00400488" w:rsidRDefault="00400488" w:rsidP="000834E4">
      <w:pPr>
        <w:jc w:val="both"/>
        <w:rPr>
          <w:rFonts w:ascii="Times New Roman" w:hAnsi="Times New Roman" w:cs="Times New Roman"/>
          <w:b/>
          <w:bCs/>
          <w:sz w:val="24"/>
        </w:rPr>
      </w:pPr>
    </w:p>
    <w:p w14:paraId="6302A2AF" w14:textId="77777777" w:rsidR="00AE62E0" w:rsidRDefault="00AE62E0" w:rsidP="000834E4">
      <w:pPr>
        <w:jc w:val="both"/>
        <w:rPr>
          <w:rFonts w:ascii="Times New Roman" w:hAnsi="Times New Roman" w:cs="Times New Roman"/>
          <w:b/>
          <w:bCs/>
          <w:sz w:val="24"/>
        </w:rPr>
      </w:pPr>
    </w:p>
    <w:p w14:paraId="1133894D" w14:textId="66273754" w:rsidR="00AE62E0" w:rsidRPr="00DF62A3" w:rsidRDefault="003F196C" w:rsidP="000834E4">
      <w:pPr>
        <w:jc w:val="both"/>
        <w:rPr>
          <w:rFonts w:ascii="Times New Roman" w:hAnsi="Times New Roman" w:cs="Times New Roman"/>
          <w:b/>
          <w:bCs/>
          <w:sz w:val="24"/>
        </w:rPr>
      </w:pPr>
      <w:r>
        <w:rPr>
          <w:noProof/>
        </w:rPr>
        <w:lastRenderedPageBreak/>
        <w:pict w14:anchorId="073DDE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22.8pt;margin-top:9.5pt;width:524.55pt;height:163.9pt;z-index:251668480;mso-position-horizontal-relative:margin;mso-position-vertical-relative:margin">
            <v:imagedata r:id="rId16" o:title="10"/>
            <w10:wrap type="square" anchorx="margin" anchory="margin"/>
          </v:shape>
        </w:pict>
      </w:r>
    </w:p>
    <w:p w14:paraId="0A5D1D07" w14:textId="248A98AB" w:rsidR="00DA112B" w:rsidRPr="00DF62A3" w:rsidRDefault="00E359C5" w:rsidP="00DA112B">
      <w:pPr>
        <w:jc w:val="both"/>
        <w:rPr>
          <w:rFonts w:ascii="Times New Roman" w:hAnsi="Times New Roman" w:cs="Times New Roman"/>
          <w:sz w:val="24"/>
        </w:rPr>
      </w:pPr>
      <w:r>
        <w:rPr>
          <w:rFonts w:ascii="Times New Roman" w:hAnsi="Times New Roman" w:cs="Times New Roman"/>
          <w:b/>
          <w:bCs/>
          <w:sz w:val="24"/>
        </w:rPr>
        <w:t>FIGURE S</w:t>
      </w:r>
      <w:r w:rsidR="00DA112B" w:rsidRPr="00DF62A3">
        <w:rPr>
          <w:rFonts w:ascii="Times New Roman" w:hAnsi="Times New Roman" w:cs="Times New Roman"/>
          <w:b/>
          <w:bCs/>
          <w:sz w:val="24"/>
        </w:rPr>
        <w:t xml:space="preserve">7 </w:t>
      </w:r>
      <w:r w:rsidR="00DA112B" w:rsidRPr="007E1901">
        <w:rPr>
          <w:rFonts w:ascii="Times New Roman" w:hAnsi="Times New Roman" w:cs="Times New Roman"/>
          <w:bCs/>
          <w:sz w:val="24"/>
        </w:rPr>
        <w:t xml:space="preserve">Metabolic conversion of </w:t>
      </w:r>
      <w:proofErr w:type="spellStart"/>
      <w:r w:rsidR="00DA112B" w:rsidRPr="007E1901">
        <w:rPr>
          <w:rFonts w:ascii="Times New Roman" w:hAnsi="Times New Roman" w:cs="Times New Roman"/>
          <w:bCs/>
          <w:sz w:val="24"/>
        </w:rPr>
        <w:t>triacetyluridine</w:t>
      </w:r>
      <w:proofErr w:type="spellEnd"/>
      <w:r w:rsidR="00DA112B" w:rsidRPr="007E1901">
        <w:rPr>
          <w:rFonts w:ascii="Times New Roman" w:hAnsi="Times New Roman" w:cs="Times New Roman"/>
          <w:bCs/>
          <w:sz w:val="24"/>
        </w:rPr>
        <w:t xml:space="preserve"> (TAU) within the pyrimidine biosynthetic pathway </w:t>
      </w:r>
      <w:r w:rsidR="00DA112B" w:rsidRPr="00DF62A3">
        <w:rPr>
          <w:rFonts w:ascii="Times New Roman" w:hAnsi="Times New Roman" w:cs="Times New Roman"/>
          <w:sz w:val="24"/>
        </w:rPr>
        <w:t xml:space="preserve">Schematic representation of the metabolic conversion of </w:t>
      </w:r>
      <w:proofErr w:type="spellStart"/>
      <w:r w:rsidR="00DA112B" w:rsidRPr="00DF62A3">
        <w:rPr>
          <w:rFonts w:ascii="Times New Roman" w:hAnsi="Times New Roman" w:cs="Times New Roman"/>
          <w:sz w:val="24"/>
        </w:rPr>
        <w:t>triacetyluridine</w:t>
      </w:r>
      <w:proofErr w:type="spellEnd"/>
      <w:r w:rsidR="00DA112B" w:rsidRPr="00DF62A3">
        <w:rPr>
          <w:rFonts w:ascii="Times New Roman" w:hAnsi="Times New Roman" w:cs="Times New Roman"/>
          <w:sz w:val="24"/>
        </w:rPr>
        <w:t xml:space="preserve"> (TAU) into downstream pyrimidine nucleotides. TAU is rapidly deacetylated to uridine, which subsequently enters the pyrimidine biosynthetic pathway through sequential phosphorylation to uridine monophosphate (UMP), uridine diphosphate (UDP), and uridine triphosphate (UTP). UTP can further contribute to </w:t>
      </w:r>
      <w:proofErr w:type="spellStart"/>
      <w:r w:rsidR="00DA112B" w:rsidRPr="00DF62A3">
        <w:rPr>
          <w:rFonts w:ascii="Times New Roman" w:hAnsi="Times New Roman" w:cs="Times New Roman"/>
          <w:sz w:val="24"/>
        </w:rPr>
        <w:t>deoxypyrimidine</w:t>
      </w:r>
      <w:proofErr w:type="spellEnd"/>
      <w:r w:rsidR="00DA112B" w:rsidRPr="00DF62A3">
        <w:rPr>
          <w:rFonts w:ascii="Times New Roman" w:hAnsi="Times New Roman" w:cs="Times New Roman"/>
          <w:sz w:val="24"/>
        </w:rPr>
        <w:t xml:space="preserve"> nucleotide synthesis through conversion to </w:t>
      </w:r>
      <w:proofErr w:type="spellStart"/>
      <w:r w:rsidR="00DA112B" w:rsidRPr="00DF62A3">
        <w:rPr>
          <w:rFonts w:ascii="Times New Roman" w:hAnsi="Times New Roman" w:cs="Times New Roman"/>
          <w:sz w:val="24"/>
        </w:rPr>
        <w:t>deoxyuridine</w:t>
      </w:r>
      <w:proofErr w:type="spellEnd"/>
      <w:r w:rsidR="00DA112B" w:rsidRPr="00DF62A3">
        <w:rPr>
          <w:rFonts w:ascii="Times New Roman" w:hAnsi="Times New Roman" w:cs="Times New Roman"/>
          <w:sz w:val="24"/>
        </w:rPr>
        <w:t xml:space="preserve"> triphosphate (</w:t>
      </w:r>
      <w:proofErr w:type="spellStart"/>
      <w:r w:rsidR="00DA112B" w:rsidRPr="00DF62A3">
        <w:rPr>
          <w:rFonts w:ascii="Times New Roman" w:hAnsi="Times New Roman" w:cs="Times New Roman"/>
          <w:sz w:val="24"/>
        </w:rPr>
        <w:t>dUTP</w:t>
      </w:r>
      <w:proofErr w:type="spellEnd"/>
      <w:r w:rsidR="00DA112B" w:rsidRPr="00DF62A3">
        <w:rPr>
          <w:rFonts w:ascii="Times New Roman" w:hAnsi="Times New Roman" w:cs="Times New Roman"/>
          <w:sz w:val="24"/>
        </w:rPr>
        <w:t>), deoxythymidine diphosphate (</w:t>
      </w:r>
      <w:proofErr w:type="spellStart"/>
      <w:r w:rsidR="00DA112B" w:rsidRPr="00DF62A3">
        <w:rPr>
          <w:rFonts w:ascii="Times New Roman" w:hAnsi="Times New Roman" w:cs="Times New Roman"/>
          <w:sz w:val="24"/>
        </w:rPr>
        <w:t>dTDP</w:t>
      </w:r>
      <w:proofErr w:type="spellEnd"/>
      <w:r w:rsidR="00DA112B" w:rsidRPr="00DF62A3">
        <w:rPr>
          <w:rFonts w:ascii="Times New Roman" w:hAnsi="Times New Roman" w:cs="Times New Roman"/>
          <w:sz w:val="24"/>
        </w:rPr>
        <w:t>), and deoxythymidine triphosphate (dTTP). This pathway illustrates how TAU supplementation functionally increases intracellular pyrimidine nucleotide pools, providing a metabolic basis for its use as a surrogate modulator of pyrimidine metabolism in the present study.</w:t>
      </w:r>
    </w:p>
    <w:p w14:paraId="6F5BA6C9" w14:textId="77777777" w:rsidR="00DA112B" w:rsidRPr="00DF62A3" w:rsidRDefault="00DA112B" w:rsidP="00DA112B">
      <w:pPr>
        <w:jc w:val="both"/>
        <w:rPr>
          <w:rFonts w:ascii="Times New Roman" w:hAnsi="Times New Roman" w:cs="Times New Roman"/>
          <w:sz w:val="24"/>
        </w:rPr>
      </w:pPr>
    </w:p>
    <w:p w14:paraId="4EAEF353" w14:textId="77777777" w:rsidR="00DA112B" w:rsidRPr="00DF62A3" w:rsidRDefault="00DA112B" w:rsidP="00DA112B">
      <w:pPr>
        <w:jc w:val="both"/>
        <w:rPr>
          <w:rFonts w:ascii="Times New Roman" w:hAnsi="Times New Roman" w:cs="Times New Roman"/>
          <w:sz w:val="24"/>
        </w:rPr>
      </w:pPr>
    </w:p>
    <w:p w14:paraId="71D3FF38" w14:textId="77777777" w:rsidR="00DA112B" w:rsidRPr="00DF62A3" w:rsidRDefault="00DA112B" w:rsidP="00DA112B">
      <w:pPr>
        <w:jc w:val="both"/>
        <w:rPr>
          <w:rFonts w:ascii="Times New Roman" w:hAnsi="Times New Roman" w:cs="Times New Roman"/>
          <w:sz w:val="24"/>
        </w:rPr>
      </w:pPr>
    </w:p>
    <w:p w14:paraId="3E5666FF" w14:textId="77777777" w:rsidR="00DA112B" w:rsidRPr="00DF62A3" w:rsidRDefault="00DA112B" w:rsidP="00DA112B">
      <w:pPr>
        <w:jc w:val="both"/>
        <w:rPr>
          <w:rFonts w:ascii="Times New Roman" w:hAnsi="Times New Roman" w:cs="Times New Roman"/>
          <w:sz w:val="24"/>
        </w:rPr>
      </w:pPr>
    </w:p>
    <w:p w14:paraId="62D1A6CA" w14:textId="77777777" w:rsidR="00DA112B" w:rsidRPr="00DF62A3" w:rsidRDefault="00DA112B" w:rsidP="00DA112B">
      <w:pPr>
        <w:jc w:val="both"/>
        <w:rPr>
          <w:rFonts w:ascii="Times New Roman" w:hAnsi="Times New Roman" w:cs="Times New Roman"/>
          <w:sz w:val="24"/>
        </w:rPr>
      </w:pPr>
    </w:p>
    <w:p w14:paraId="19BF2728" w14:textId="77777777" w:rsidR="00DA112B" w:rsidRPr="00DF62A3" w:rsidRDefault="00DA112B" w:rsidP="00DA112B">
      <w:pPr>
        <w:jc w:val="both"/>
        <w:rPr>
          <w:rFonts w:ascii="Times New Roman" w:hAnsi="Times New Roman" w:cs="Times New Roman"/>
          <w:sz w:val="24"/>
        </w:rPr>
      </w:pPr>
    </w:p>
    <w:p w14:paraId="28215C05" w14:textId="77777777" w:rsidR="00DA112B" w:rsidRPr="00DF62A3" w:rsidRDefault="00DA112B" w:rsidP="00DA112B">
      <w:pPr>
        <w:jc w:val="both"/>
        <w:rPr>
          <w:rFonts w:ascii="Times New Roman" w:hAnsi="Times New Roman" w:cs="Times New Roman"/>
          <w:sz w:val="24"/>
        </w:rPr>
      </w:pPr>
    </w:p>
    <w:p w14:paraId="383DAE7C" w14:textId="77777777" w:rsidR="00DA112B" w:rsidRPr="00DF62A3" w:rsidRDefault="00DA112B" w:rsidP="00DA112B">
      <w:pPr>
        <w:jc w:val="both"/>
        <w:rPr>
          <w:rFonts w:ascii="Times New Roman" w:hAnsi="Times New Roman" w:cs="Times New Roman"/>
          <w:sz w:val="24"/>
        </w:rPr>
      </w:pPr>
    </w:p>
    <w:p w14:paraId="214207A0" w14:textId="77777777" w:rsidR="00DA112B" w:rsidRPr="00DF62A3" w:rsidRDefault="00DA112B" w:rsidP="00DA112B">
      <w:pPr>
        <w:jc w:val="both"/>
        <w:rPr>
          <w:rFonts w:ascii="Times New Roman" w:hAnsi="Times New Roman" w:cs="Times New Roman"/>
          <w:sz w:val="24"/>
        </w:rPr>
      </w:pPr>
    </w:p>
    <w:p w14:paraId="00EA5DCF" w14:textId="77777777" w:rsidR="00DA112B" w:rsidRPr="00DF62A3" w:rsidRDefault="00DA112B" w:rsidP="00DA112B">
      <w:pPr>
        <w:jc w:val="both"/>
        <w:rPr>
          <w:rFonts w:ascii="Times New Roman" w:hAnsi="Times New Roman" w:cs="Times New Roman"/>
          <w:sz w:val="24"/>
        </w:rPr>
      </w:pPr>
    </w:p>
    <w:p w14:paraId="1680B87E" w14:textId="77777777" w:rsidR="00DA112B" w:rsidRPr="00DF62A3" w:rsidRDefault="00DA112B" w:rsidP="00DA112B">
      <w:pPr>
        <w:jc w:val="both"/>
        <w:rPr>
          <w:rFonts w:ascii="Times New Roman" w:hAnsi="Times New Roman" w:cs="Times New Roman"/>
          <w:sz w:val="24"/>
        </w:rPr>
      </w:pPr>
    </w:p>
    <w:p w14:paraId="22988AC6" w14:textId="77777777" w:rsidR="00DA112B" w:rsidRPr="00DF62A3" w:rsidRDefault="00DA112B" w:rsidP="00DA112B">
      <w:pPr>
        <w:jc w:val="both"/>
        <w:rPr>
          <w:rFonts w:ascii="Times New Roman" w:hAnsi="Times New Roman" w:cs="Times New Roman"/>
          <w:sz w:val="24"/>
        </w:rPr>
      </w:pPr>
    </w:p>
    <w:p w14:paraId="059F7226" w14:textId="77777777" w:rsidR="00DA112B" w:rsidRPr="00DF62A3" w:rsidRDefault="00DA112B" w:rsidP="00DA112B">
      <w:pPr>
        <w:jc w:val="both"/>
        <w:rPr>
          <w:rFonts w:ascii="Times New Roman" w:hAnsi="Times New Roman" w:cs="Times New Roman"/>
          <w:sz w:val="24"/>
        </w:rPr>
      </w:pPr>
    </w:p>
    <w:p w14:paraId="5C46E182" w14:textId="77777777" w:rsidR="00DA112B" w:rsidRPr="00DF62A3" w:rsidRDefault="00DA112B" w:rsidP="00DA112B">
      <w:pPr>
        <w:jc w:val="both"/>
        <w:rPr>
          <w:rFonts w:ascii="Times New Roman" w:hAnsi="Times New Roman" w:cs="Times New Roman"/>
          <w:sz w:val="24"/>
        </w:rPr>
      </w:pPr>
    </w:p>
    <w:p w14:paraId="68BFCCE4" w14:textId="663012A3" w:rsidR="00DA112B" w:rsidRDefault="00DA112B" w:rsidP="00DA112B">
      <w:pPr>
        <w:jc w:val="both"/>
        <w:rPr>
          <w:rFonts w:ascii="Times New Roman" w:hAnsi="Times New Roman" w:cs="Times New Roman"/>
          <w:sz w:val="24"/>
        </w:rPr>
      </w:pPr>
    </w:p>
    <w:p w14:paraId="5D47E548" w14:textId="54C0739D" w:rsidR="00385EBA" w:rsidRDefault="00385EBA" w:rsidP="00DA112B">
      <w:pPr>
        <w:jc w:val="both"/>
        <w:rPr>
          <w:rFonts w:ascii="Times New Roman" w:hAnsi="Times New Roman" w:cs="Times New Roman"/>
          <w:sz w:val="24"/>
        </w:rPr>
      </w:pPr>
    </w:p>
    <w:p w14:paraId="2C1527F6" w14:textId="76202147" w:rsidR="00E359C5" w:rsidRPr="00DF62A3" w:rsidRDefault="00E359C5" w:rsidP="00902084">
      <w:pPr>
        <w:jc w:val="both"/>
        <w:rPr>
          <w:rFonts w:ascii="Times New Roman" w:hAnsi="Times New Roman" w:cs="Times New Roman"/>
          <w:sz w:val="24"/>
        </w:rPr>
      </w:pPr>
      <w:r>
        <w:rPr>
          <w:rFonts w:ascii="Times New Roman" w:hAnsi="Times New Roman" w:cs="Times New Roman"/>
          <w:sz w:val="24"/>
        </w:rPr>
        <w:lastRenderedPageBreak/>
        <w:tab/>
      </w:r>
    </w:p>
    <w:p w14:paraId="20CD2008" w14:textId="7C0851FD" w:rsidR="00B02D20" w:rsidRPr="00DF62A3" w:rsidRDefault="003F196C" w:rsidP="00B02D20">
      <w:pPr>
        <w:jc w:val="both"/>
        <w:rPr>
          <w:rFonts w:ascii="Times New Roman" w:hAnsi="Times New Roman" w:cs="Times New Roman"/>
          <w:sz w:val="24"/>
        </w:rPr>
      </w:pPr>
      <w:r>
        <w:rPr>
          <w:noProof/>
        </w:rPr>
        <w:pict w14:anchorId="189DCB0F">
          <v:shape id="_x0000_s2057" type="#_x0000_t75" style="position:absolute;left:0;text-align:left;margin-left:0;margin-top:0;width:451.15pt;height:331.7pt;z-index:251670528;mso-position-horizontal:left;mso-position-horizontal-relative:margin;mso-position-vertical:top;mso-position-vertical-relative:margin">
            <v:imagedata r:id="rId17" o:title="11"/>
            <w10:wrap type="square" anchorx="margin" anchory="margin"/>
          </v:shape>
        </w:pict>
      </w:r>
      <w:r w:rsidR="00B02D20" w:rsidRPr="00DF62A3">
        <w:rPr>
          <w:rFonts w:ascii="Times New Roman" w:hAnsi="Times New Roman" w:cs="Times New Roman"/>
          <w:b/>
          <w:bCs/>
          <w:sz w:val="24"/>
        </w:rPr>
        <w:t xml:space="preserve">Original Western blot images for protein expression analysis. </w:t>
      </w:r>
      <w:r w:rsidR="00B02D20" w:rsidRPr="00DF62A3">
        <w:rPr>
          <w:rFonts w:ascii="Times New Roman" w:hAnsi="Times New Roman" w:cs="Times New Roman"/>
          <w:sz w:val="24"/>
        </w:rPr>
        <w:t>Uncropped Western blot membranes are shown for the detection of target proteins across experimental conditions. Molecular weight markers (</w:t>
      </w:r>
      <w:proofErr w:type="spellStart"/>
      <w:r w:rsidR="00B02D20" w:rsidRPr="00DF62A3">
        <w:rPr>
          <w:rFonts w:ascii="Times New Roman" w:hAnsi="Times New Roman" w:cs="Times New Roman"/>
          <w:sz w:val="24"/>
        </w:rPr>
        <w:t>kDa</w:t>
      </w:r>
      <w:proofErr w:type="spellEnd"/>
      <w:r w:rsidR="00B02D20" w:rsidRPr="00DF62A3">
        <w:rPr>
          <w:rFonts w:ascii="Times New Roman" w:hAnsi="Times New Roman" w:cs="Times New Roman"/>
          <w:sz w:val="24"/>
        </w:rPr>
        <w:t xml:space="preserve">) are indicated on the left of each blot for reference. </w:t>
      </w:r>
    </w:p>
    <w:p w14:paraId="275A9118" w14:textId="6BB733E4" w:rsidR="00B02D20" w:rsidRPr="00DF62A3" w:rsidRDefault="00B02D20" w:rsidP="000834E4">
      <w:pPr>
        <w:jc w:val="both"/>
        <w:rPr>
          <w:rFonts w:ascii="Times New Roman" w:hAnsi="Times New Roman" w:cs="Times New Roman"/>
          <w:sz w:val="24"/>
        </w:rPr>
      </w:pPr>
    </w:p>
    <w:sectPr w:rsidR="00B02D20" w:rsidRPr="00DF62A3" w:rsidSect="00796CEC">
      <w:pgSz w:w="11906" w:h="16838"/>
      <w:pgMar w:top="1701" w:right="1440" w:bottom="1440" w:left="1440"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E1160" w14:textId="77777777" w:rsidR="003F196C" w:rsidRDefault="003F196C" w:rsidP="000834E4">
      <w:pPr>
        <w:spacing w:after="0"/>
      </w:pPr>
      <w:r>
        <w:separator/>
      </w:r>
    </w:p>
  </w:endnote>
  <w:endnote w:type="continuationSeparator" w:id="0">
    <w:p w14:paraId="105000D0" w14:textId="77777777" w:rsidR="003F196C" w:rsidRDefault="003F196C" w:rsidP="000834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09C65" w14:textId="77777777" w:rsidR="003F196C" w:rsidRDefault="003F196C" w:rsidP="000834E4">
      <w:pPr>
        <w:spacing w:after="0"/>
      </w:pPr>
      <w:r>
        <w:separator/>
      </w:r>
    </w:p>
  </w:footnote>
  <w:footnote w:type="continuationSeparator" w:id="0">
    <w:p w14:paraId="531AC105" w14:textId="77777777" w:rsidR="003F196C" w:rsidRDefault="003F196C" w:rsidP="000834E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4E4"/>
    <w:rsid w:val="00007F6F"/>
    <w:rsid w:val="0002475C"/>
    <w:rsid w:val="000302B5"/>
    <w:rsid w:val="000834E4"/>
    <w:rsid w:val="00135308"/>
    <w:rsid w:val="00154FCC"/>
    <w:rsid w:val="00155A7E"/>
    <w:rsid w:val="001F1FE6"/>
    <w:rsid w:val="0020531C"/>
    <w:rsid w:val="00216F3C"/>
    <w:rsid w:val="0021708F"/>
    <w:rsid w:val="0024268C"/>
    <w:rsid w:val="00264BF0"/>
    <w:rsid w:val="002C0237"/>
    <w:rsid w:val="0030632E"/>
    <w:rsid w:val="00385EBA"/>
    <w:rsid w:val="003F196C"/>
    <w:rsid w:val="00400488"/>
    <w:rsid w:val="0041291D"/>
    <w:rsid w:val="004664D6"/>
    <w:rsid w:val="00487315"/>
    <w:rsid w:val="004E2F6D"/>
    <w:rsid w:val="005016FA"/>
    <w:rsid w:val="005217C0"/>
    <w:rsid w:val="00537E2F"/>
    <w:rsid w:val="00550F30"/>
    <w:rsid w:val="005578B7"/>
    <w:rsid w:val="00573E90"/>
    <w:rsid w:val="005908BF"/>
    <w:rsid w:val="005B291C"/>
    <w:rsid w:val="005D3E5C"/>
    <w:rsid w:val="00734431"/>
    <w:rsid w:val="007358BE"/>
    <w:rsid w:val="007561A9"/>
    <w:rsid w:val="007902E3"/>
    <w:rsid w:val="00796CEC"/>
    <w:rsid w:val="007D2BFC"/>
    <w:rsid w:val="007E1901"/>
    <w:rsid w:val="007F5CAD"/>
    <w:rsid w:val="008111F4"/>
    <w:rsid w:val="00817887"/>
    <w:rsid w:val="008D2CD7"/>
    <w:rsid w:val="008F01EA"/>
    <w:rsid w:val="00902084"/>
    <w:rsid w:val="00906BDF"/>
    <w:rsid w:val="00950565"/>
    <w:rsid w:val="009614A8"/>
    <w:rsid w:val="00965389"/>
    <w:rsid w:val="00970797"/>
    <w:rsid w:val="00980E4A"/>
    <w:rsid w:val="00A03590"/>
    <w:rsid w:val="00A22A5A"/>
    <w:rsid w:val="00AA50BD"/>
    <w:rsid w:val="00AD02CE"/>
    <w:rsid w:val="00AE5F37"/>
    <w:rsid w:val="00AE62E0"/>
    <w:rsid w:val="00B02D20"/>
    <w:rsid w:val="00B20758"/>
    <w:rsid w:val="00C153AB"/>
    <w:rsid w:val="00C64CAF"/>
    <w:rsid w:val="00C66D8F"/>
    <w:rsid w:val="00CD10F1"/>
    <w:rsid w:val="00CF294C"/>
    <w:rsid w:val="00CF6B13"/>
    <w:rsid w:val="00D559EB"/>
    <w:rsid w:val="00D70639"/>
    <w:rsid w:val="00DA112B"/>
    <w:rsid w:val="00DE7A27"/>
    <w:rsid w:val="00DF62A3"/>
    <w:rsid w:val="00DF7960"/>
    <w:rsid w:val="00E359C5"/>
    <w:rsid w:val="00E71ED3"/>
    <w:rsid w:val="00E74220"/>
    <w:rsid w:val="00EA3BFE"/>
    <w:rsid w:val="00EE696F"/>
    <w:rsid w:val="00F4117D"/>
    <w:rsid w:val="00F6042C"/>
    <w:rsid w:val="00FC7EA7"/>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41E65C91"/>
  <w15:chartTrackingRefBased/>
  <w15:docId w15:val="{137213A7-29E8-4363-93A7-805D5871A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0834E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0834E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0834E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0834E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0834E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0834E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0834E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0834E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0834E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0834E4"/>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0834E4"/>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0834E4"/>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0834E4"/>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0834E4"/>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0834E4"/>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0834E4"/>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0834E4"/>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0834E4"/>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0834E4"/>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0834E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834E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0834E4"/>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0834E4"/>
    <w:pPr>
      <w:spacing w:before="160"/>
      <w:jc w:val="center"/>
    </w:pPr>
    <w:rPr>
      <w:i/>
      <w:iCs/>
      <w:color w:val="404040" w:themeColor="text1" w:themeTint="BF"/>
    </w:rPr>
  </w:style>
  <w:style w:type="character" w:customStyle="1" w:styleId="Char1">
    <w:name w:val="인용 Char"/>
    <w:basedOn w:val="a0"/>
    <w:link w:val="a5"/>
    <w:uiPriority w:val="29"/>
    <w:rsid w:val="000834E4"/>
    <w:rPr>
      <w:i/>
      <w:iCs/>
      <w:color w:val="404040" w:themeColor="text1" w:themeTint="BF"/>
    </w:rPr>
  </w:style>
  <w:style w:type="paragraph" w:styleId="a6">
    <w:name w:val="List Paragraph"/>
    <w:basedOn w:val="a"/>
    <w:uiPriority w:val="34"/>
    <w:qFormat/>
    <w:rsid w:val="000834E4"/>
    <w:pPr>
      <w:ind w:left="720"/>
      <w:contextualSpacing/>
    </w:pPr>
  </w:style>
  <w:style w:type="character" w:styleId="a7">
    <w:name w:val="Intense Emphasis"/>
    <w:basedOn w:val="a0"/>
    <w:uiPriority w:val="21"/>
    <w:qFormat/>
    <w:rsid w:val="000834E4"/>
    <w:rPr>
      <w:i/>
      <w:iCs/>
      <w:color w:val="0F4761" w:themeColor="accent1" w:themeShade="BF"/>
    </w:rPr>
  </w:style>
  <w:style w:type="paragraph" w:styleId="a8">
    <w:name w:val="Intense Quote"/>
    <w:basedOn w:val="a"/>
    <w:next w:val="a"/>
    <w:link w:val="Char2"/>
    <w:uiPriority w:val="30"/>
    <w:qFormat/>
    <w:rsid w:val="000834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0834E4"/>
    <w:rPr>
      <w:i/>
      <w:iCs/>
      <w:color w:val="0F4761" w:themeColor="accent1" w:themeShade="BF"/>
    </w:rPr>
  </w:style>
  <w:style w:type="character" w:styleId="a9">
    <w:name w:val="Intense Reference"/>
    <w:basedOn w:val="a0"/>
    <w:uiPriority w:val="32"/>
    <w:qFormat/>
    <w:rsid w:val="000834E4"/>
    <w:rPr>
      <w:b/>
      <w:bCs/>
      <w:smallCaps/>
      <w:color w:val="0F4761" w:themeColor="accent1" w:themeShade="BF"/>
      <w:spacing w:val="5"/>
    </w:rPr>
  </w:style>
  <w:style w:type="paragraph" w:styleId="aa">
    <w:name w:val="header"/>
    <w:basedOn w:val="a"/>
    <w:link w:val="Char3"/>
    <w:uiPriority w:val="99"/>
    <w:unhideWhenUsed/>
    <w:rsid w:val="000834E4"/>
    <w:pPr>
      <w:tabs>
        <w:tab w:val="center" w:pos="4513"/>
        <w:tab w:val="right" w:pos="9026"/>
      </w:tabs>
      <w:snapToGrid w:val="0"/>
    </w:pPr>
  </w:style>
  <w:style w:type="character" w:customStyle="1" w:styleId="Char3">
    <w:name w:val="머리글 Char"/>
    <w:basedOn w:val="a0"/>
    <w:link w:val="aa"/>
    <w:uiPriority w:val="99"/>
    <w:rsid w:val="000834E4"/>
  </w:style>
  <w:style w:type="paragraph" w:styleId="ab">
    <w:name w:val="footer"/>
    <w:basedOn w:val="a"/>
    <w:link w:val="Char4"/>
    <w:uiPriority w:val="99"/>
    <w:unhideWhenUsed/>
    <w:rsid w:val="000834E4"/>
    <w:pPr>
      <w:tabs>
        <w:tab w:val="center" w:pos="4513"/>
        <w:tab w:val="right" w:pos="9026"/>
      </w:tabs>
      <w:snapToGrid w:val="0"/>
    </w:pPr>
  </w:style>
  <w:style w:type="character" w:customStyle="1" w:styleId="Char4">
    <w:name w:val="바닥글 Char"/>
    <w:basedOn w:val="a0"/>
    <w:link w:val="ab"/>
    <w:uiPriority w:val="99"/>
    <w:rsid w:val="000834E4"/>
  </w:style>
  <w:style w:type="character" w:styleId="ac">
    <w:name w:val="line number"/>
    <w:basedOn w:val="a0"/>
    <w:uiPriority w:val="99"/>
    <w:semiHidden/>
    <w:unhideWhenUsed/>
    <w:rsid w:val="00796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9F3BD-8B3A-4811-9424-C6C0F4D53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14</Pages>
  <Words>1769</Words>
  <Characters>10089</Characters>
  <Application>Microsoft Office Word</Application>
  <DocSecurity>0</DocSecurity>
  <Lines>84</Lines>
  <Paragraphs>23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한연호</dc:creator>
  <cp:keywords/>
  <dc:description/>
  <cp:lastModifiedBy>한연호</cp:lastModifiedBy>
  <cp:revision>54</cp:revision>
  <dcterms:created xsi:type="dcterms:W3CDTF">2025-08-28T05:19:00Z</dcterms:created>
  <dcterms:modified xsi:type="dcterms:W3CDTF">2026-04-01T01:24:00Z</dcterms:modified>
</cp:coreProperties>
</file>